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000-52049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540" w:type="dxa"/>
            <w:vAlign w:val="bottom"/>
          </w:tcPr>
          <w:p>
            <w:pPr>
              <w:jc w:val="center"/>
              <w:ind w:lef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60" w:type="dxa"/>
            <w:vAlign w:val="bottom"/>
          </w:tcPr>
          <w:p>
            <w:pPr>
              <w:spacing w:after="0"/>
              <w:rPr>
                <w:sz w:val="20"/>
                <w:szCs w:val="20"/>
                <w:color w:val="auto"/>
              </w:rPr>
            </w:pPr>
          </w:p>
        </w:tc>
      </w:tr>
      <w:tr>
        <w:trPr>
          <w:trHeight w:val="402"/>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20"/>
        <w:spacing w:after="0" w:line="207" w:lineRule="exact"/>
        <w:tabs>
          <w:tab w:leader="none" w:pos="5020" w:val="left"/>
          <w:tab w:leader="none" w:pos="6660" w:val="left"/>
        </w:tabs>
        <w:rPr>
          <w:sz w:val="20"/>
          <w:szCs w:val="20"/>
          <w:color w:val="auto"/>
        </w:rPr>
      </w:pPr>
      <w:r>
        <w:rPr>
          <w:rFonts w:ascii="Arial" w:cs="Arial" w:eastAsia="Arial" w:hAnsi="Arial"/>
          <w:sz w:val="18"/>
          <w:szCs w:val="18"/>
          <w:color w:val="auto"/>
        </w:rPr>
        <w:t>Large accelerated filer o</w:t>
        <w:tab/>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5"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jc w:val="center"/>
              <w:ind w:right="290"/>
              <w:spacing w:after="0"/>
              <w:rPr>
                <w:sz w:val="20"/>
                <w:szCs w:val="20"/>
                <w:color w:val="auto"/>
              </w:rPr>
            </w:pPr>
            <w:r>
              <w:rPr>
                <w:rFonts w:ascii="Arial" w:cs="Arial" w:eastAsia="Arial" w:hAnsi="Arial"/>
                <w:sz w:val="18"/>
                <w:szCs w:val="18"/>
                <w:color w:val="auto"/>
                <w:w w:val="88"/>
              </w:rPr>
              <w:t>Class</w:t>
            </w:r>
          </w:p>
        </w:tc>
        <w:tc>
          <w:tcPr>
            <w:tcW w:w="5600" w:type="dxa"/>
            <w:vAlign w:val="bottom"/>
          </w:tcPr>
          <w:p>
            <w:pPr>
              <w:jc w:val="center"/>
              <w:ind w:left="70"/>
              <w:spacing w:after="0"/>
              <w:rPr>
                <w:sz w:val="20"/>
                <w:szCs w:val="20"/>
                <w:color w:val="auto"/>
              </w:rPr>
            </w:pPr>
            <w:r>
              <w:rPr>
                <w:rFonts w:ascii="Arial" w:cs="Arial" w:eastAsia="Arial" w:hAnsi="Arial"/>
                <w:sz w:val="18"/>
                <w:szCs w:val="18"/>
                <w:color w:val="auto"/>
                <w:w w:val="90"/>
              </w:rPr>
              <w:t>Outstanding at July 24, 2007</w:t>
            </w:r>
          </w:p>
        </w:tc>
      </w:tr>
      <w:tr>
        <w:trPr>
          <w:trHeight w:val="230"/>
        </w:trPr>
        <w:tc>
          <w:tcPr>
            <w:tcW w:w="5820" w:type="dxa"/>
            <w:vAlign w:val="bottom"/>
          </w:tcPr>
          <w:p>
            <w:pPr>
              <w:jc w:val="center"/>
              <w:ind w:right="290"/>
              <w:spacing w:after="0"/>
              <w:rPr>
                <w:sz w:val="20"/>
                <w:szCs w:val="20"/>
                <w:color w:val="auto"/>
              </w:rPr>
            </w:pPr>
            <w:r>
              <w:rPr>
                <w:rFonts w:ascii="Arial" w:cs="Arial" w:eastAsia="Arial" w:hAnsi="Arial"/>
                <w:sz w:val="18"/>
                <w:szCs w:val="18"/>
                <w:color w:val="auto"/>
                <w:w w:val="90"/>
              </w:rPr>
              <w:t>Common stock, $0.0001 par value</w:t>
            </w:r>
          </w:p>
        </w:tc>
        <w:tc>
          <w:tcPr>
            <w:tcW w:w="5600" w:type="dxa"/>
            <w:vAlign w:val="bottom"/>
          </w:tcPr>
          <w:p>
            <w:pPr>
              <w:jc w:val="center"/>
              <w:ind w:left="90"/>
              <w:spacing w:after="0"/>
              <w:rPr>
                <w:sz w:val="20"/>
                <w:szCs w:val="20"/>
                <w:color w:val="auto"/>
              </w:rPr>
            </w:pPr>
            <w:r>
              <w:rPr>
                <w:rFonts w:ascii="Arial" w:cs="Arial" w:eastAsia="Arial" w:hAnsi="Arial"/>
                <w:sz w:val="18"/>
                <w:szCs w:val="18"/>
                <w:color w:val="auto"/>
                <w:w w:val="87"/>
              </w:rPr>
              <w:t>32,389,217 shares</w:t>
            </w:r>
          </w:p>
        </w:tc>
      </w:tr>
      <w:tr>
        <w:trPr>
          <w:trHeight w:val="237"/>
        </w:trPr>
        <w:tc>
          <w:tcPr>
            <w:tcW w:w="582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r>
      <w:tr>
        <w:trPr>
          <w:trHeight w:val="631"/>
        </w:trPr>
        <w:tc>
          <w:tcPr>
            <w:tcW w:w="58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gridSpan w:val="18"/>
            <w:vMerge w:val="restart"/>
          </w:tcPr>
          <w:p>
            <w:pPr>
              <w:spacing w:after="0"/>
              <w:rPr>
                <w:sz w:val="20"/>
                <w:szCs w:val="20"/>
                <w:color w:val="auto"/>
              </w:rPr>
            </w:pPr>
            <w:r>
              <w:rPr>
                <w:rFonts w:ascii="Arial" w:cs="Arial" w:eastAsia="Arial" w:hAnsi="Arial"/>
                <w:sz w:val="18"/>
                <w:szCs w:val="18"/>
                <w:color w:val="auto"/>
              </w:rPr>
              <w:t>PART I. FINANCIAL INFORMATION</w:t>
            </w:r>
          </w:p>
        </w:tc>
        <w:tc>
          <w:tcPr>
            <w:tcW w:w="2320" w:type="dxa"/>
            <w:vAlign w:val="bottom"/>
          </w:tcPr>
          <w:p>
            <w:pPr>
              <w:ind w:left="1680"/>
              <w:spacing w:after="0"/>
              <w:rPr>
                <w:sz w:val="20"/>
                <w:szCs w:val="20"/>
                <w:color w:val="auto"/>
              </w:rPr>
            </w:pPr>
            <w:r>
              <w:rPr>
                <w:rFonts w:ascii="Arial" w:cs="Arial" w:eastAsia="Arial" w:hAnsi="Arial"/>
                <w:sz w:val="14"/>
                <w:szCs w:val="14"/>
                <w:color w:val="auto"/>
                <w:w w:val="91"/>
              </w:rPr>
              <w:t>PAGE NO.</w:t>
            </w:r>
          </w:p>
        </w:tc>
        <w:tc>
          <w:tcPr>
            <w:tcW w:w="0" w:type="dxa"/>
            <w:vAlign w:val="bottom"/>
          </w:tcPr>
          <w:p>
            <w:pPr>
              <w:spacing w:after="0"/>
              <w:rPr>
                <w:sz w:val="1"/>
                <w:szCs w:val="1"/>
                <w:color w:val="auto"/>
              </w:rPr>
            </w:pPr>
          </w:p>
        </w:tc>
      </w:tr>
      <w:tr>
        <w:trPr>
          <w:trHeight w:val="201"/>
        </w:trPr>
        <w:tc>
          <w:tcPr>
            <w:tcW w:w="9020" w:type="dxa"/>
            <w:vAlign w:val="bottom"/>
            <w:gridSpan w:val="18"/>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020" w:type="dxa"/>
            <w:vAlign w:val="bottom"/>
            <w:gridSpan w:val="18"/>
          </w:tcPr>
          <w:p>
            <w:pPr>
              <w:spacing w:after="0"/>
              <w:rPr>
                <w:sz w:val="20"/>
                <w:szCs w:val="20"/>
                <w:color w:val="auto"/>
              </w:rPr>
            </w:pPr>
            <w:r>
              <w:rPr>
                <w:rFonts w:ascii="Arial" w:cs="Arial" w:eastAsia="Arial" w:hAnsi="Arial"/>
                <w:sz w:val="18"/>
                <w:szCs w:val="18"/>
                <w:color w:val="auto"/>
              </w:rPr>
              <w:t>Item 1. Financial Statements and Notes</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88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Balance Sheets as of June 30, 2007 (unaudited) and December 31, 2006</w:t>
              </w:r>
            </w:hyperlink>
          </w:p>
        </w:tc>
        <w:tc>
          <w:tcPr>
            <w:tcW w:w="2320" w:type="dxa"/>
            <w:vAlign w:val="bottom"/>
          </w:tcPr>
          <w:p>
            <w:pPr>
              <w:jc w:val="center"/>
              <w:ind w:left="1591"/>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1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Statements of Operations (unaudited) for the Three and Six Months Ended June 30, 2007 and 2006</w:t>
              </w:r>
            </w:hyperlink>
          </w:p>
        </w:tc>
        <w:tc>
          <w:tcPr>
            <w:tcW w:w="1680" w:type="dxa"/>
            <w:vAlign w:val="bottom"/>
          </w:tcPr>
          <w:p>
            <w:pPr>
              <w:spacing w:after="0"/>
              <w:rPr>
                <w:sz w:val="24"/>
                <w:szCs w:val="24"/>
                <w:color w:val="auto"/>
              </w:rPr>
            </w:pPr>
          </w:p>
        </w:tc>
        <w:tc>
          <w:tcPr>
            <w:tcW w:w="2320" w:type="dxa"/>
            <w:vAlign w:val="bottom"/>
          </w:tcPr>
          <w:p>
            <w:pPr>
              <w:jc w:val="center"/>
              <w:ind w:left="159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8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Cash Flows (unaudited) for the Six Months Ended June 30, 2007 and 2006</w:t>
              </w:r>
            </w:hyperlink>
          </w:p>
        </w:tc>
        <w:tc>
          <w:tcPr>
            <w:tcW w:w="2320" w:type="dxa"/>
            <w:vAlign w:val="bottom"/>
          </w:tcPr>
          <w:p>
            <w:pPr>
              <w:jc w:val="center"/>
              <w:ind w:left="1591"/>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Financial Statements (unaudited)</w:t>
              </w:r>
            </w:hyperlink>
          </w:p>
        </w:tc>
        <w:tc>
          <w:tcPr>
            <w:tcW w:w="3380" w:type="dxa"/>
            <w:vAlign w:val="bottom"/>
            <w:tcBorders>
              <w:top w:val="single" w:sz="8" w:color="0000EE"/>
            </w:tcBorders>
            <w:gridSpan w:val="5"/>
          </w:tcPr>
          <w:p>
            <w:pPr>
              <w:spacing w:after="0"/>
              <w:rPr>
                <w:sz w:val="24"/>
                <w:szCs w:val="24"/>
                <w:color w:val="auto"/>
              </w:rPr>
            </w:pPr>
          </w:p>
        </w:tc>
        <w:tc>
          <w:tcPr>
            <w:tcW w:w="2400" w:type="dxa"/>
            <w:vAlign w:val="bottom"/>
            <w:gridSpan w:val="3"/>
          </w:tcPr>
          <w:p>
            <w:pPr>
              <w:spacing w:after="0"/>
              <w:rPr>
                <w:sz w:val="24"/>
                <w:szCs w:val="24"/>
                <w:color w:val="auto"/>
              </w:rPr>
            </w:pPr>
          </w:p>
        </w:tc>
        <w:tc>
          <w:tcPr>
            <w:tcW w:w="2320" w:type="dxa"/>
            <w:vAlign w:val="bottom"/>
          </w:tcPr>
          <w:p>
            <w:pPr>
              <w:jc w:val="center"/>
              <w:ind w:left="1591"/>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12"/>
        </w:trPr>
        <w:tc>
          <w:tcPr>
            <w:tcW w:w="9020" w:type="dxa"/>
            <w:vAlign w:val="bottom"/>
            <w:gridSpan w:val="1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2000" w:type="dxa"/>
            <w:vAlign w:val="bottom"/>
            <w:gridSpan w:val="2"/>
          </w:tcPr>
          <w:p>
            <w:pPr>
              <w:spacing w:after="0"/>
              <w:rPr>
                <w:sz w:val="24"/>
                <w:szCs w:val="24"/>
                <w:color w:val="auto"/>
              </w:rPr>
            </w:pPr>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6680" w:type="dxa"/>
            <w:vAlign w:val="bottom"/>
            <w:gridSpan w:val="11"/>
          </w:tcPr>
          <w:p>
            <w:pPr>
              <w:spacing w:after="0"/>
              <w:rPr>
                <w:sz w:val="24"/>
                <w:szCs w:val="24"/>
                <w:color w:val="auto"/>
              </w:rPr>
            </w:pPr>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902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2"/>
          </w:tcPr>
          <w:p>
            <w:pPr>
              <w:spacing w:after="0"/>
              <w:rPr>
                <w:sz w:val="24"/>
                <w:szCs w:val="24"/>
                <w:color w:val="auto"/>
              </w:rPr>
            </w:pPr>
          </w:p>
        </w:tc>
        <w:tc>
          <w:tcPr>
            <w:tcW w:w="6440" w:type="dxa"/>
            <w:vAlign w:val="bottom"/>
            <w:gridSpan w:val="10"/>
          </w:tcPr>
          <w:p>
            <w:pPr>
              <w:spacing w:after="0"/>
              <w:rPr>
                <w:sz w:val="24"/>
                <w:szCs w:val="24"/>
                <w:color w:val="auto"/>
              </w:rPr>
            </w:pPr>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1A. Risk Factors</w:t>
              </w:r>
            </w:hyperlink>
          </w:p>
        </w:tc>
        <w:tc>
          <w:tcPr>
            <w:tcW w:w="7420" w:type="dxa"/>
            <w:vAlign w:val="bottom"/>
            <w:gridSpan w:val="14"/>
          </w:tcPr>
          <w:p>
            <w:pPr>
              <w:spacing w:after="0"/>
              <w:rPr>
                <w:sz w:val="24"/>
                <w:szCs w:val="24"/>
                <w:color w:val="auto"/>
              </w:rPr>
            </w:pPr>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2. Unregistered Sales of Equity Securities and Use of Proceeds</w:t>
              </w:r>
            </w:hyperlink>
          </w:p>
        </w:tc>
        <w:tc>
          <w:tcPr>
            <w:tcW w:w="4100" w:type="dxa"/>
            <w:vAlign w:val="bottom"/>
            <w:gridSpan w:val="6"/>
          </w:tcPr>
          <w:p>
            <w:pPr>
              <w:spacing w:after="0"/>
              <w:rPr>
                <w:sz w:val="24"/>
                <w:szCs w:val="24"/>
                <w:color w:val="auto"/>
              </w:rPr>
            </w:pPr>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902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Defaults Upon Senior Securities</w:t>
              </w:r>
            </w:hyperlink>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2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 Submission of Matters to a Vote of Security Holders</w:t>
              </w:r>
            </w:hyperlink>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6"/>
          </w:tcPr>
          <w:p>
            <w:pPr>
              <w:spacing w:after="0"/>
              <w:rPr>
                <w:sz w:val="24"/>
                <w:szCs w:val="24"/>
                <w:color w:val="auto"/>
              </w:rPr>
            </w:pPr>
          </w:p>
        </w:tc>
        <w:tc>
          <w:tcPr>
            <w:tcW w:w="4700" w:type="dxa"/>
            <w:vAlign w:val="bottom"/>
            <w:gridSpan w:val="7"/>
          </w:tcPr>
          <w:p>
            <w:pPr>
              <w:spacing w:after="0"/>
              <w:rPr>
                <w:sz w:val="24"/>
                <w:szCs w:val="24"/>
                <w:color w:val="auto"/>
              </w:rPr>
            </w:pPr>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902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6. Exhibits</w:t>
              </w:r>
            </w:hyperlink>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3"/>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SIGNATURES</w:t>
              </w:r>
            </w:hyperlink>
          </w:p>
        </w:tc>
        <w:tc>
          <w:tcPr>
            <w:tcW w:w="7860" w:type="dxa"/>
            <w:vAlign w:val="bottom"/>
            <w:gridSpan w:val="15"/>
          </w:tcPr>
          <w:p>
            <w:pPr>
              <w:spacing w:after="0"/>
              <w:rPr>
                <w:sz w:val="24"/>
                <w:szCs w:val="24"/>
                <w:color w:val="auto"/>
              </w:rPr>
            </w:pPr>
          </w:p>
        </w:tc>
        <w:tc>
          <w:tcPr>
            <w:tcW w:w="2320" w:type="dxa"/>
            <w:vAlign w:val="bottom"/>
          </w:tcPr>
          <w:p>
            <w:pPr>
              <w:jc w:val="center"/>
              <w:ind w:left="1611"/>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53"/>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Exhibit Index</w:t>
            </w:r>
          </w:p>
        </w:tc>
        <w:tc>
          <w:tcPr>
            <w:tcW w:w="7920" w:type="dxa"/>
            <w:vAlign w:val="bottom"/>
            <w:gridSpan w:val="16"/>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EX-31.1: CERTIFICATION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 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PRINCIPAL EXECUTIVE OFFICER</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PRINCIPAL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PRINCIPAL EXECUTIVE OFFICER PURSUANT TO 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PRINCIPAL FINANCIAL OFFICER PURSUANT TO U.S.C. SECTIOON 1350</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73,164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1,895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$432 and $171 at June 30, 2007 and December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2006, respectively</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24,911</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2,279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102,579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10,525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117,455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104,925</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2,669</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Short-term portion of equipment loan payable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tcPr>
          <w:p>
            <w:pPr>
              <w:ind w:left="200"/>
              <w:spacing w:after="0" w:line="201" w:lineRule="exact"/>
              <w:rPr>
                <w:sz w:val="20"/>
                <w:szCs w:val="20"/>
                <w:color w:val="auto"/>
              </w:rPr>
            </w:pPr>
            <w:r>
              <w:rPr>
                <w:rFonts w:ascii="Arial" w:cs="Arial" w:eastAsia="Arial" w:hAnsi="Arial"/>
                <w:sz w:val="18"/>
                <w:szCs w:val="18"/>
                <w:color w:val="auto"/>
              </w:rPr>
              <w:t>Common stock, $0.0001 par value; 100,000 shares authorized, 32,475 and 32,250 shares issued; 32,379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32,154 outstanding at June 30, 2007 and December 31, 2006,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(96 shares at June 30, 2007 and December 31, 2006)</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92,742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13,581</w:t>
            </w:r>
          </w:p>
        </w:tc>
        <w:tc>
          <w:tcPr>
            <w:tcW w:w="68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106,305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95,273</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117,455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31,321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17,442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52,650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Cost of services ($0 and $1,578 were purchased from a related party during the</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three months ended June 30, 2007 and 2006, respectively and $0 and $3,714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were purchased from a related party during the six months ended June 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2007 and 2006, respectively)*</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14,505</w:t>
            </w: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9,643</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24,147</w:t>
            </w: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2,534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2,150</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4,466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2,377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22,959</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38,860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28,311</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13,790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15,666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(3,873)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(6,536)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32,150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23,234</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32,116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33,360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26,587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33,186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services excludes depreciation and amortization which is shown separately.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9,130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 related party</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432"/>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fixed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Maturity of marketable securities available for sale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4"/>
        </w:trPr>
        <w:tc>
          <w:tcPr>
            <w:tcW w:w="75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(7,014)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issuance of common stock – related party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offering costs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loan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73,905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73,164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54,851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FINANCIAL STATEMENTS – UNAUDITED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financial statements at June 30, 2007 and for the three and six months ended June 30, 2007 and 2006 are unaudited, but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incorporated by reference in Form 10-K for calendar year 2006. The results reported in these financial statements should not necessarily be taken as indicative of results that may be expected for the entire year. The balance sheet at December 31, 2006 has been derived from the audited financial statements at that date but does not include all of the information and footnotes required by U.S. GAAP for complete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Synchronoss Technologies, Inc. (the “Company” or “Synchronoss”) is a leading provider of on-demand multi-channel transaction management solutions to the communications services marketplace based on its penetration into key providers of communications services. The Company conducts its business operations primarily in the United States of America, with some aspects of its operations being outsourced to entities located in India and Canada. The Company’s proprietary on-demand platform enables communications service providers (“CSPs”) to take, manage and provision orders and other customer-oriented transactions and perform related critical service tasks. The Company targets complex and high-growth markets including wireless, high speed access (i.e., cable, DSL, and Wi-Max), Voice over Internet Protocol (“VoIP”), video and also target CSP’s bundling of these services (e.g., double, triple, and quadruple plays) and their intersection (i.e., video over wireless, IPTV, content activation). By simplifying technological complexities through the automation and integration of disparate systems, the Company’s platform automates, synchronizes and simplifies electronic order management, activation, and provisioning of these services.</w:t>
      </w:r>
    </w:p>
    <w:p>
      <w:pPr>
        <w:spacing w:after="0" w:line="89"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On June 20, 2006, the Company completed its initial public offering (“IPO”) pursuant to which it sold 6,532 shares of common stock at a price to the public of $8.00 per share. Upon completion of the IPO, all 13,549 outstanding shares of the Company’s Series A and Series 1 convertible preferred stock automatically converted into common stock on a one-for-one basis. On July 3, 2006, the Company’s IPO underwriters exercised their option to purchase an additional 960 shares of common stock at the IPO price of $8.00 per share before underwriting discounts and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Company provides services principally on a transaction fee basis or, at times, on a fixed fee basis and recognizes the revenues as the services are performed or delivered as described below:</w:t>
      </w:r>
    </w:p>
    <w:p>
      <w:pPr>
        <w:spacing w:after="0" w:line="62"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i w:val="1"/>
          <w:iCs w:val="1"/>
          <w:color w:val="auto"/>
        </w:rPr>
        <w:t xml:space="preserve">Transaction Service Arrangements: </w:t>
      </w:r>
      <w:r>
        <w:rPr>
          <w:rFonts w:ascii="Arial" w:cs="Arial" w:eastAsia="Arial" w:hAnsi="Arial"/>
          <w:sz w:val="17"/>
          <w:szCs w:val="17"/>
          <w:color w:val="auto"/>
        </w:rPr>
        <w:t>Transaction revenues consist of revenues derived from the processing of transactions through the Company’s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and represent approximately 85% and 86% of net revenues during the three months ended June 30, 2007 and 2006, respectively, and represents approximately 83% and 86% of net revenues for the six months ended June 30, 2007 and 2006, respectively. Transaction service arrangements include services such as equipment orders, new account set-up, number port requests, credit checks and inventory management.</w:t>
      </w:r>
    </w:p>
    <w:p>
      <w:pPr>
        <w:spacing w:after="0" w:line="63"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transactions. Many of the Company’s contracts guarantee minimum volume transactions from the customer. In these instances, if the customer’s total transaction volume for the period is less than the contractual amount, Synchronoss records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The amount of set-up fees amortized and recorded as revenue during the three months ended June 30, 2007 and 2006 was $59 and $90, respectively, and $280 and $147 for the six months ended June 30, 2007 and 2006, respectively. Revenues are presented net of a provision for discounts, which are volume level driven, or credits, which are performance driven, and are determined in the period in which the volume thresholds are met or the services are provided. Deferred revenues represent billings to customers for services in advance of the performance of services, with revenues recognized as the services are rendered.</w:t>
      </w:r>
    </w:p>
    <w:p>
      <w:pPr>
        <w:spacing w:after="0" w:line="7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i w:val="1"/>
          <w:iCs w:val="1"/>
          <w:color w:val="auto"/>
        </w:rPr>
        <w:t xml:space="preserve">Professional Service Arrangements: </w:t>
      </w:r>
      <w:r>
        <w:rPr>
          <w:rFonts w:ascii="Arial" w:cs="Arial" w:eastAsia="Arial" w:hAnsi="Arial"/>
          <w:sz w:val="18"/>
          <w:szCs w:val="18"/>
          <w:color w:val="auto"/>
        </w:rPr>
        <w:t>Professional services represented approximately 14% and 12% of net revenues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and 2006, respectively, and 16% and 12% of net revenues for the six months ended June 30, 2007 and 2006, respectively. Professional services include process and workflow consulting services and development services. Professional services, when sold with transactional service arrangements, are accounted for separately when the professional services have value to the customer on a standalone basis and there is objective and reliable evidence of fair value of the professional services. When accounted for separately, professional service revenues are recognized as services are performed and all other elements of revenue recognition have been satisfied.</w:t>
      </w:r>
    </w:p>
    <w:p>
      <w:pPr>
        <w:spacing w:after="0" w:line="85"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addition, in determining whether professional service revenues can be accounted for separately from transaction service revenues, the Company considers the following factors for each professional services agreement: availability of the consulting services from other vendors, whether objective and reliable evidence of fair value exists for these services and the undelivered transaction revenues,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a professional service arrangement does not qualify for separate accounting, the Company would recognize the professional service revenues ratably over the remaining term of the transaction contract. For the three and six months ended June 30, 2007 and 2006, all professional services have been accounted for separately.</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 xml:space="preserve">Subscription Service Arrangements: </w:t>
      </w:r>
      <w:r>
        <w:rPr>
          <w:rFonts w:ascii="Arial" w:cs="Arial" w:eastAsia="Arial" w:hAnsi="Arial"/>
          <w:sz w:val="18"/>
          <w:szCs w:val="18"/>
          <w:color w:val="auto"/>
        </w:rPr>
        <w:t>Subscription service arrangements which are generally based upon fixed fees represented approximately 1% and 2%</w:t>
      </w:r>
      <w:r>
        <w:rPr>
          <w:rFonts w:ascii="Arial" w:cs="Arial" w:eastAsia="Arial" w:hAnsi="Arial"/>
          <w:sz w:val="18"/>
          <w:szCs w:val="18"/>
          <w:i w:val="1"/>
          <w:iCs w:val="1"/>
          <w:color w:val="auto"/>
        </w:rPr>
        <w:t xml:space="preserve"> </w:t>
      </w:r>
      <w:r>
        <w:rPr>
          <w:rFonts w:ascii="Arial" w:cs="Arial" w:eastAsia="Arial" w:hAnsi="Arial"/>
          <w:sz w:val="18"/>
          <w:szCs w:val="18"/>
          <w:color w:val="auto"/>
        </w:rPr>
        <w:t>of net revenues for the three months ended June 30, 2007 and 2006, respectively, and 1% and 2% of net revenues for the six months ended June 30, 2007 and 2006, respectively, and relate principally to the Company’s enterprise portal management services. The Company records revenues on a straight-line basis over the life of the contract for its subscription service contracts.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invests in high-quality financial instruments, primarily money market funds, certificates of deposits and United States bonds. The Company has not recognized any losses in such accounts. The Company believes it is not exposed to significant credit risk on cash, cash equivalents and marketable securities. Concentration of credit risk with respect to accounts receivable is limited because of the creditworthiness of the Company’s major customers.</w:t>
      </w:r>
    </w:p>
    <w:p>
      <w:pPr>
        <w:spacing w:after="0" w:line="50"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Company’s top five customers accounted for 95% and 94% of net revenues for the three months ended June 30, 2007 and 2006, respectively, and 95% and 95% of net revenues for the six months ended June 30, 2007 and 2006, respectively. The Company’s top five customers accounted for 95% and 92% of accounts receivable at June 30, 2007 and December 31, 2006, respectively. Synchronoss is the primary provider of e-commerce transaction management solutions to AT&amp;T Mobility LLC (formerly Cingular Wireless), the Company’s largest customer, under an agreement which runs through January of 2008, but which will be automatically renewed for an additional twelve months unless either party terminates prior to November 1, 2007. Under the terms of this agreement, AT&amp;T Mobility LLC may terminate its relationship with the Company for convenience, although the Company believes AT&amp;T Mobility LLC would encounter substantial costs in replacing the Company’s transaction management solution.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Statement of Financial Accounting Standards (“SFAS”) No. 107, </w:t>
      </w:r>
      <w:r>
        <w:rPr>
          <w:rFonts w:ascii="Arial" w:cs="Arial" w:eastAsia="Arial" w:hAnsi="Arial"/>
          <w:sz w:val="17"/>
          <w:szCs w:val="17"/>
          <w:i w:val="1"/>
          <w:iCs w:val="1"/>
          <w:color w:val="auto"/>
        </w:rPr>
        <w:t>Disclosures about Fair Value of Financial Instruments</w:t>
      </w:r>
      <w:r>
        <w:rPr>
          <w:rFonts w:ascii="Arial" w:cs="Arial" w:eastAsia="Arial" w:hAnsi="Arial"/>
          <w:sz w:val="17"/>
          <w:szCs w:val="17"/>
          <w:color w:val="auto"/>
        </w:rPr>
        <w:t>, requires disclosures of fair value information about financial instruments, whether or not recognized in the balance sheet, for which it is practicable to estimate that value. Due to their short-term nature, the carrying amounts reported in the financial statements approximate the fair value for cash and cash equivalents, accounts receivable, equipment loan payable and accounts payable. The Company believes the carrying amount of its equipment loan approximates its fair value as of June 30, 2007 and December 31, 2006, since the interest rate of the equipment loan approximates a market rate.</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considers all highly liquid investments purchased with a maturity of three months or less at the date of acquisition to be cash equivalents.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Marketable securities consist of fixed income investments with a maturity of greater than three months and other highly liquid investments that can be readily purchased or sold using established markets. In accordance with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these investments are classified as available-for-sale and are reported at fair value on the Company’s balance sheet. The Company classifies its securities with maturity dates of 12 months or more as long term. Unrealized holding gains and losses are reported within accumulated other comprehensive loss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No other than temporary impairment charges have been recorded in any of the periods presented herein.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180" w:firstLine="215"/>
        <w:spacing w:after="0" w:line="312" w:lineRule="auto"/>
        <w:rPr>
          <w:sz w:val="20"/>
          <w:szCs w:val="20"/>
          <w:color w:val="auto"/>
        </w:rPr>
      </w:pPr>
      <w:r>
        <w:rPr>
          <w:rFonts w:ascii="Arial" w:cs="Arial" w:eastAsia="Arial" w:hAnsi="Arial"/>
          <w:sz w:val="16"/>
          <w:szCs w:val="16"/>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Property and equipment and leasehold improvements are stated at cost, net of accumulated depreciation and amortization. Depreciation and amortization are computed using the straight-line method over the estimated useful lives of the assets, which range from 3 to 5 years, or the lesser of the related initial term of the lease or useful life for leasehold improvements. Expenditures for routine maintenance and repairs are charged against cost of services. Major replacements, improvements and additions are capitalized.</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 xml:space="preserve">In accordance with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 There were no impairment charges recognized during the three and six months ended June 30, 2007 and 2006.</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Cost of services includes direct labor and those indirect costs related to revenues such as indirect labor, materials and supplies and facilities cost, exclusive of depreciation expense.</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No costs were deferred during the three and six months ended 2007 and 2006.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minor enhancements of its existing technology and services.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Company expenses advertising as incurred. Advertising expenses were $13 and $12 for the three months ended June 30, 2007 and 2006, respectively, and $13 and $12 for the six months ended June 30, 2007 and 2006, respectively.</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 xml:space="preserve">The Company accounts for income taxes in accordance with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Under SFAS No. 109, the liability method is used in accounting for income taxes. Under this method deferred income tax liabilities and assets are determined based on the difference between the financial statement carrying amounts and the tax basis of assets and liabilities. For operating losses and tax credit carryforwards, the Company determines the related deferred tax asset using enacted tax rates in effect in the years in which the differences are expected to reverse. A valuation allowance is recorded if it is “more likely than not” that a portion or all of a deferred tax asset will not be realized.</w:t>
      </w:r>
    </w:p>
    <w:p>
      <w:pPr>
        <w:spacing w:after="0" w:line="6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June 2006, the FASB issued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 to create a single model to address accounting for uncertainty 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The Company adopted FIN 48 as of January 1, 2007, as required and determined that the adoption of FIN 48 did not have a material impact on the Company’s financial position and results of operations. Interest costs and penalties related to income taxes are classified as interest expense and selling, general and administrative costs, respectively in the Company’s financial statements. The Company did not recognize interest or penalties related to income tax during the three months ended June 30, 2007 or 2006 and did not accrue for interest or penalties as of June 30, 2007 or December 31, 2006. The Company did not have any unrecognized tax benefits as of June 30, 2007 or December 31, 2006. Tax returns for all years 2000 and thereafter are subject to future examination by tax authorities.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700" w:firstLine="225"/>
        <w:spacing w:after="0" w:line="279" w:lineRule="auto"/>
        <w:rPr>
          <w:sz w:val="20"/>
          <w:szCs w:val="20"/>
          <w:color w:val="auto"/>
        </w:rPr>
      </w:pPr>
      <w:r>
        <w:rPr>
          <w:rFonts w:ascii="Arial" w:cs="Arial" w:eastAsia="Arial" w:hAnsi="Arial"/>
          <w:sz w:val="17"/>
          <w:szCs w:val="17"/>
          <w:color w:val="auto"/>
        </w:rPr>
        <w:t xml:space="preserve">SFAS No.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requires components of other comprehensive income, including unrealized gains and losses on available-for-sale securities, to be included as part of total comprehensive income. Comprehensive income is comprised of net income and other comprehensive income. Other comprehensive income includes changes in the fair value of the Company’s available-for-sale marketable securities. Comprehensive income for the three and six months ended June 30, 2005 and 2006 is shown below.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FINANCIAL STATEMENTS — UNAUDITED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Unrealized gain (loss) on available-for-sale securities, net of tax</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Basic and Diluted Net Income Attributable to Common Stockholders per Common Share</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 xml:space="preserve">The Company calculates net income per share 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The Company determined that its Series A redeemable convertible preferred stock represented a participating security prior to the IPO. Because the Series A redeemable convertible preferred stock participates equally with common stock in dividends and unallocated income, the Company calculated basic earnings per share when the Company reports net income using the if-converted method, which in the Company’s circumstances, is equivalent to the two class approach required by EITF 03-6, </w:t>
      </w:r>
      <w:r>
        <w:rPr>
          <w:rFonts w:ascii="Arial" w:cs="Arial" w:eastAsia="Arial" w:hAnsi="Arial"/>
          <w:sz w:val="18"/>
          <w:szCs w:val="18"/>
          <w:i w:val="1"/>
          <w:iCs w:val="1"/>
          <w:color w:val="auto"/>
        </w:rPr>
        <w:t>Participating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and the Two — Class Method under FASB Statement No. 128. </w:t>
      </w:r>
      <w:r>
        <w:rPr>
          <w:rFonts w:ascii="Arial" w:cs="Arial" w:eastAsia="Arial" w:hAnsi="Arial"/>
          <w:sz w:val="18"/>
          <w:szCs w:val="18"/>
          <w:color w:val="auto"/>
        </w:rPr>
        <w:t>Net losses are not allocated to the Series A redeemable convertible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85"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In connection with the Company’s IPO, all of the Company’s Series A and Series 1 redeemable convertible preferred stock was automatically converted into common stock. Since the Series A redeemable convertible preferred stock participated in dividend rights on a one-for-one basis with common stockholders, the security is included in the denominator of basic earnings per share for the period such preferred stock was outstanding. The Company’s Series 1 redeemable convertible preferred stock is included in the denominator of diluted earnings per share for the period it was outstanding.</w:t>
      </w:r>
    </w:p>
    <w:p>
      <w:pPr>
        <w:spacing w:after="0" w:line="46"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There were no stock options that were anti-dilutive and excluded from the following table for the three and six months ended June 30, 2007 and 2006.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  5,436</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  1,428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  9,130</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32,150</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13,081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32,116</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0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10,153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 basic</w:t>
            </w:r>
          </w:p>
        </w:tc>
        <w:tc>
          <w:tcPr>
            <w:tcW w:w="10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32,150</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23,234</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32,116</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Options and restricted shares</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1,210</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1,595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1,070</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Conversion of Series 1 convertible preferred stock into common stock</w:t>
            </w:r>
          </w:p>
        </w:tc>
        <w:tc>
          <w:tcPr>
            <w:tcW w:w="10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 diluted</w:t>
            </w:r>
          </w:p>
        </w:tc>
        <w:tc>
          <w:tcPr>
            <w:tcW w:w="10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33,360</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26,587</w:t>
            </w: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33,186</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80" w:type="dxa"/>
            <w:vAlign w:val="bottom"/>
            <w:vMerge w:val="restart"/>
          </w:tcPr>
          <w:p>
            <w:pPr>
              <w:jc w:val="right"/>
              <w:ind w:right="690"/>
              <w:spacing w:after="0"/>
              <w:rPr>
                <w:sz w:val="20"/>
                <w:szCs w:val="20"/>
                <w:color w:val="auto"/>
              </w:rPr>
            </w:pPr>
            <w:r>
              <w:rPr>
                <w:rFonts w:ascii="Arial" w:cs="Arial" w:eastAsia="Arial" w:hAnsi="Arial"/>
                <w:sz w:val="18"/>
                <w:szCs w:val="18"/>
                <w:color w:val="auto"/>
              </w:rPr>
              <w:t>9</w:t>
            </w: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 xml:space="preserve">As of June 30, 2007, the Company maintains two stock-based compensation plans. Prior to January 1, 2006, the Company was applying the disclosure only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25”).</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ind w:right="240" w:firstLine="225"/>
        <w:spacing w:after="0" w:line="279"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does not expect the adoption of this standard to have a significant impact on the Company’s financial statements.</w:t>
      </w:r>
    </w:p>
    <w:p>
      <w:pPr>
        <w:spacing w:after="0" w:line="63"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 xml:space="preserve">In February 2007, FASB issued SFAS No. 159, </w:t>
      </w:r>
      <w:r>
        <w:rPr>
          <w:rFonts w:ascii="Arial" w:cs="Arial" w:eastAsia="Arial" w:hAnsi="Arial"/>
          <w:sz w:val="16"/>
          <w:szCs w:val="16"/>
          <w:i w:val="1"/>
          <w:iCs w:val="1"/>
          <w:color w:val="auto"/>
        </w:rPr>
        <w:t>The Fair Value Option for Financial Assets and Financial Liabilities-Including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(“SFAS 159”). SFAS 159 provides companies with an option to report selected financial assets and liabilities at fair value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required to be measured at fair value. Accordingly, companies would then be required to report unrealized gains and losses on these items in earnings at each subsequent reporting date. The objective is to improve financial reporting by providing companies with the opportunity to mitigate volatility in reported earnings caused by measuring related assets and liabilities differently. SFAS 159 also establishes presentation and disclosure requirements designed to facilitate comparisons between companies that choose different measurement attributes for similar types of assets and liabilities. The Company is currently evaluating the effects of the adoption of SFAS 159 on the Company’s results of operations and financial position.</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Company currently operates in one business segment providing critical technology services to the communications industry.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 discrete financial information with respect to separate service lines and does not have separately reportable segments as defined by SFAS No. 131</w:t>
      </w:r>
      <w:r>
        <w:rPr>
          <w:rFonts w:ascii="Arial" w:cs="Arial" w:eastAsia="Arial" w:hAnsi="Arial"/>
          <w:sz w:val="17"/>
          <w:szCs w:val="17"/>
          <w:i w:val="1"/>
          <w:iCs w:val="1"/>
          <w:color w:val="auto"/>
        </w:rPr>
        <w:t>, Disclosure About Segments of an Enterprise and Related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is a summary of available-for-sale securities held by the Company at June 30, 2007 and December 31, 2006. All securities held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are domestic and gross unrealized gains and losses are reported before tax: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2007</w:t>
            </w:r>
          </w:p>
        </w:tc>
        <w:tc>
          <w:tcPr>
            <w:tcW w:w="2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1,947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9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4,428</w:t>
            </w:r>
          </w:p>
        </w:tc>
        <w:tc>
          <w:tcPr>
            <w:tcW w:w="3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4,425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2006</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1,937</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920" w:type="dxa"/>
            <w:vAlign w:val="bottom"/>
            <w:vMerge w:val="restart"/>
          </w:tcPr>
          <w:p>
            <w:pPr>
              <w:jc w:val="right"/>
              <w:ind w:right="65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Unrealized gains and losses are reported as a component of accumulated other comprehensive loss in stockholders’ equity. For the three and six months ended June 30, 2007 and 2006, realized gains and losses were insignificant. The cost of securities sold is based on specific identification method.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Plans</w:t>
      </w:r>
    </w:p>
    <w:p>
      <w:pPr>
        <w:spacing w:after="0" w:line="121"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 The weighted-average assumptions used in the Black-Scholes option pricing model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50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8180" w:type="dxa"/>
            <w:vAlign w:val="bottom"/>
          </w:tcPr>
          <w:p>
            <w:pPr>
              <w:spacing w:after="0"/>
              <w:rPr>
                <w:sz w:val="14"/>
                <w:szCs w:val="14"/>
                <w:color w:val="auto"/>
              </w:rPr>
            </w:pP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2007</w:t>
            </w:r>
          </w:p>
        </w:tc>
        <w:tc>
          <w:tcPr>
            <w:tcW w:w="500" w:type="dxa"/>
            <w:vAlign w:val="bottom"/>
          </w:tcPr>
          <w:p>
            <w:pPr>
              <w:spacing w:after="0"/>
              <w:rPr>
                <w:sz w:val="14"/>
                <w:szCs w:val="14"/>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June 30, 2007</w:t>
            </w: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62%</w:t>
            </w:r>
          </w:p>
        </w:tc>
        <w:tc>
          <w:tcPr>
            <w:tcW w:w="18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60%</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right"/>
              <w:ind w:right="336"/>
              <w:spacing w:after="0"/>
              <w:rPr>
                <w:sz w:val="20"/>
                <w:szCs w:val="20"/>
                <w:color w:val="auto"/>
              </w:rPr>
            </w:pPr>
            <w:r>
              <w:rPr>
                <w:rFonts w:ascii="Arial" w:cs="Arial" w:eastAsia="Arial" w:hAnsi="Arial"/>
                <w:sz w:val="18"/>
                <w:szCs w:val="18"/>
                <w:color w:val="auto"/>
              </w:rPr>
              <w:t>4.60%</w:t>
            </w:r>
          </w:p>
        </w:tc>
        <w:tc>
          <w:tcPr>
            <w:tcW w:w="1800" w:type="dxa"/>
            <w:vAlign w:val="bottom"/>
            <w:gridSpan w:val="2"/>
          </w:tcPr>
          <w:p>
            <w:pPr>
              <w:jc w:val="right"/>
              <w:ind w:right="268"/>
              <w:spacing w:after="0"/>
              <w:rPr>
                <w:sz w:val="20"/>
                <w:szCs w:val="20"/>
                <w:color w:val="auto"/>
              </w:rPr>
            </w:pPr>
            <w:r>
              <w:rPr>
                <w:rFonts w:ascii="Arial" w:cs="Arial" w:eastAsia="Arial" w:hAnsi="Arial"/>
                <w:sz w:val="18"/>
                <w:szCs w:val="18"/>
                <w:color w:val="auto"/>
              </w:rPr>
              <w:t>4.66%</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4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6.23</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6.15</w:t>
            </w: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right"/>
              <w:ind w:right="336"/>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The weighted-average fair value (as of the date of grant) of the options granted was $14.98 and $4.38 per share for the three months ended June 30, 2007 and 2006, respectively, and $13.28 and $4.38 per share for the six months ended June 30, 2007 and 2006, respectively. During the three and six months ended June 30, 2007, the Company recorded total pre-tax stock-based compensation expense of $725 ($423 after tax or $0.01 per diluted share) and $1.3 million ($752 after tax or $0.02 per diluted share), respectively, which includes both intrinsic value for equity awards issued prior to 2006 and fair value for equity awards issued after January 1, 2006. The total stock-based compensation cost related to non-vested equity awards not yet recognized as an expense as of June 30, 2007 was approximately $7.3 million. That cost is expected to be recognized over a weighted-average period of approximately 2.9 years.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and restricted stock awards.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2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168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w w:val="96"/>
              </w:rPr>
              <w:t>Exercise Price</w:t>
            </w:r>
          </w:p>
        </w:tc>
        <w:tc>
          <w:tcPr>
            <w:tcW w:w="120" w:type="dxa"/>
            <w:vAlign w:val="bottom"/>
          </w:tcPr>
          <w:p>
            <w:pPr>
              <w:spacing w:after="0"/>
              <w:rPr>
                <w:sz w:val="10"/>
                <w:szCs w:val="10"/>
                <w:color w:val="auto"/>
              </w:rPr>
            </w:pPr>
          </w:p>
        </w:tc>
        <w:tc>
          <w:tcPr>
            <w:tcW w:w="76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 Grant</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88"/>
              </w:rPr>
              <w:t>Range</w:t>
            </w:r>
          </w:p>
        </w:tc>
        <w:tc>
          <w:tcPr>
            <w:tcW w:w="62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$12.68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40"/>
              <w:spacing w:after="0"/>
              <w:rPr>
                <w:sz w:val="20"/>
                <w:szCs w:val="20"/>
                <w:color w:val="auto"/>
              </w:rPr>
            </w:pPr>
            <w:r>
              <w:rPr>
                <w:rFonts w:ascii="Arial" w:cs="Arial" w:eastAsia="Arial" w:hAnsi="Arial"/>
                <w:sz w:val="18"/>
                <w:szCs w:val="18"/>
                <w:color w:val="auto"/>
              </w:rPr>
              <w:t>Options granted</w:t>
            </w:r>
          </w:p>
        </w:tc>
        <w:tc>
          <w:tcPr>
            <w:tcW w:w="13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84"/>
              </w:rPr>
              <w:t>14.00</w:t>
            </w: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w w:val="90"/>
              </w:rPr>
              <w:t>- $27.84</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6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6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6040" w:type="dxa"/>
            <w:vAlign w:val="bottom"/>
          </w:tcPr>
          <w:p>
            <w:pPr>
              <w:ind w:left="140"/>
              <w:spacing w:after="0"/>
              <w:rPr>
                <w:sz w:val="20"/>
                <w:szCs w:val="20"/>
                <w:color w:val="auto"/>
              </w:rPr>
            </w:pPr>
            <w:r>
              <w:rPr>
                <w:rFonts w:ascii="Arial" w:cs="Arial" w:eastAsia="Arial" w:hAnsi="Arial"/>
                <w:sz w:val="18"/>
                <w:szCs w:val="18"/>
                <w:color w:val="auto"/>
              </w:rPr>
              <w:t>Options forfeited</w:t>
            </w: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6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0.29</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$24.46</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granted</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Balance at June 30, 2007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$27.84</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June 30, 2007</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$27.84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summary of the Company’s non-vested restricted stock at June 30, 2007, and changes during the six months ended June 30, 2007,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5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59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Granted</w:t>
            </w:r>
          </w:p>
        </w:tc>
        <w:tc>
          <w:tcPr>
            <w:tcW w:w="7500" w:type="dxa"/>
            <w:vAlign w:val="bottom"/>
            <w:gridSpan w:val="5"/>
          </w:tcPr>
          <w:p>
            <w:pPr>
              <w:jc w:val="right"/>
              <w:ind w:right="3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75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6900" w:type="dxa"/>
            <w:vAlign w:val="bottom"/>
            <w:gridSpan w:val="3"/>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2007</w:t>
            </w:r>
          </w:p>
        </w:tc>
        <w:tc>
          <w:tcPr>
            <w:tcW w:w="750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980" w:type="dxa"/>
            <w:vAlign w:val="bottom"/>
            <w:vMerge w:val="restart"/>
          </w:tcPr>
          <w:p>
            <w:pPr>
              <w:jc w:val="right"/>
              <w:ind w:right="4010"/>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Omniglobe International, L.L.C.</w:t>
      </w:r>
    </w:p>
    <w:p>
      <w:pPr>
        <w:spacing w:after="0" w:line="117"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Omniglobe International, L.L.C., (“Omniglobe”) a Delaware limited liability company with operations in India, provides data entry services relating to the Company’s exception handling management. The Company pays Omniglobe an hourly rate for each hour worked by each of its data entry agents. As of June 30, 2007 and 2006, the Company has a service agreement with Omniglobe. The Company’s agreement with Omniglobe provides for minimum levels of staffing at a specific price level resulting in an overall minimum commitment of $350 over a six month period. Services provided include data entry and related services as well as development and testing services. The current agreement may be terminated by either party without cause with 30 or 60 days written notice prior to the end of the term. Unless terminated, the agreement will automatically renew in six month increments. As of June 30, 2007, the Company fulfilled the overall minimum contractual commitment. The Company does not intend to terminate its arrangement with Omniglobe.</w:t>
      </w:r>
    </w:p>
    <w:p>
      <w:pPr>
        <w:spacing w:after="0" w:line="5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On March 12, 2004, certain of the Company’s executive officers and their family members acquired indirect equity interests in Omniglobe by purchasing an ownership interest in Rumson Hitters, L.L.C. (“Rumson Hitters”), a Delaware limited liability company,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Proceeds Received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Purchase Price of</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Sale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51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Position with Synchronoss</w:t>
            </w:r>
          </w:p>
        </w:tc>
        <w:tc>
          <w:tcPr>
            <w:tcW w:w="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Interest in</w:t>
            </w: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Interest in Rumson</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Rumson Hitters,</w:t>
            </w:r>
          </w:p>
        </w:tc>
        <w:tc>
          <w:tcPr>
            <w:tcW w:w="0" w:type="dxa"/>
            <w:vAlign w:val="bottom"/>
          </w:tcPr>
          <w:p>
            <w:pPr>
              <w:spacing w:after="0"/>
              <w:rPr>
                <w:sz w:val="1"/>
                <w:szCs w:val="1"/>
                <w:color w:val="auto"/>
              </w:rPr>
            </w:pPr>
          </w:p>
        </w:tc>
      </w:tr>
      <w:tr>
        <w:trPr>
          <w:trHeight w:val="171"/>
        </w:trPr>
        <w:tc>
          <w:tcPr>
            <w:tcW w:w="1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Omniglobe</w:t>
            </w:r>
          </w:p>
        </w:tc>
        <w:tc>
          <w:tcPr>
            <w:tcW w:w="1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Hitters, L.L.C.</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L.L.C.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Stephen G. Waldis</w:t>
            </w:r>
          </w:p>
        </w:tc>
        <w:tc>
          <w:tcPr>
            <w:tcW w:w="180" w:type="dxa"/>
            <w:vAlign w:val="bottom"/>
            <w:shd w:val="clear" w:color="auto" w:fill="CCEEFF"/>
          </w:tcPr>
          <w:p>
            <w:pPr>
              <w:spacing w:after="0"/>
              <w:rPr>
                <w:sz w:val="16"/>
                <w:szCs w:val="16"/>
                <w:color w:val="auto"/>
              </w:rPr>
            </w:pPr>
          </w:p>
        </w:tc>
        <w:tc>
          <w:tcPr>
            <w:tcW w:w="5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Chairman of the Board of Directors, President and Chief Executive</w:t>
            </w:r>
          </w:p>
        </w:tc>
        <w:tc>
          <w:tcPr>
            <w:tcW w:w="18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184"/>
              <w:spacing w:after="0" w:line="195" w:lineRule="exact"/>
              <w:rPr>
                <w:sz w:val="20"/>
                <w:szCs w:val="20"/>
                <w:color w:val="auto"/>
              </w:rPr>
            </w:pPr>
            <w:r>
              <w:rPr>
                <w:rFonts w:ascii="Arial" w:cs="Arial" w:eastAsia="Arial" w:hAnsi="Arial"/>
                <w:sz w:val="18"/>
                <w:szCs w:val="18"/>
                <w:color w:val="auto"/>
              </w:rPr>
              <w:t>12.23%</w:t>
            </w:r>
          </w:p>
        </w:tc>
        <w:tc>
          <w:tcPr>
            <w:tcW w:w="180" w:type="dxa"/>
            <w:vAlign w:val="bottom"/>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384"/>
              <w:spacing w:after="0" w:line="195" w:lineRule="exact"/>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ind w:right="445"/>
              <w:spacing w:after="0" w:line="195" w:lineRule="exact"/>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Lawrence R. Irving</w:t>
            </w:r>
          </w:p>
        </w:tc>
        <w:tc>
          <w:tcPr>
            <w:tcW w:w="53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Chief Financial Officer and Treasurer</w:t>
            </w:r>
          </w:p>
        </w:tc>
        <w:tc>
          <w:tcPr>
            <w:tcW w:w="1320" w:type="dxa"/>
            <w:vAlign w:val="bottom"/>
            <w:gridSpan w:val="2"/>
          </w:tcPr>
          <w:p>
            <w:pPr>
              <w:jc w:val="right"/>
              <w:ind w:right="184"/>
              <w:spacing w:after="0"/>
              <w:rPr>
                <w:sz w:val="20"/>
                <w:szCs w:val="20"/>
                <w:color w:val="auto"/>
              </w:rPr>
            </w:pPr>
            <w:r>
              <w:rPr>
                <w:rFonts w:ascii="Arial" w:cs="Arial" w:eastAsia="Arial" w:hAnsi="Arial"/>
                <w:sz w:val="18"/>
                <w:szCs w:val="18"/>
                <w:color w:val="auto"/>
              </w:rPr>
              <w:t>2.58%</w:t>
            </w:r>
          </w:p>
        </w:tc>
        <w:tc>
          <w:tcPr>
            <w:tcW w:w="1480" w:type="dxa"/>
            <w:vAlign w:val="bottom"/>
            <w:gridSpan w:val="2"/>
          </w:tcPr>
          <w:p>
            <w:pPr>
              <w:jc w:val="right"/>
              <w:ind w:right="384"/>
              <w:spacing w:after="0"/>
              <w:rPr>
                <w:sz w:val="20"/>
                <w:szCs w:val="20"/>
                <w:color w:val="auto"/>
              </w:rPr>
            </w:pPr>
            <w:r>
              <w:rPr>
                <w:rFonts w:ascii="Arial" w:cs="Arial" w:eastAsia="Arial" w:hAnsi="Arial"/>
                <w:sz w:val="18"/>
                <w:szCs w:val="18"/>
                <w:color w:val="auto"/>
              </w:rPr>
              <w:t>$20,000</w:t>
            </w:r>
          </w:p>
        </w:tc>
        <w:tc>
          <w:tcPr>
            <w:tcW w:w="1560" w:type="dxa"/>
            <w:vAlign w:val="bottom"/>
            <w:gridSpan w:val="2"/>
          </w:tcPr>
          <w:p>
            <w:pPr>
              <w:jc w:val="right"/>
              <w:ind w:right="445"/>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David E. Berry</w:t>
            </w:r>
          </w:p>
        </w:tc>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Vice President and Chief Technology Officer</w:t>
            </w: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2.58%</w:t>
            </w:r>
          </w:p>
        </w:tc>
        <w:tc>
          <w:tcPr>
            <w:tcW w:w="14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$20,000</w:t>
            </w:r>
          </w:p>
        </w:tc>
        <w:tc>
          <w:tcPr>
            <w:tcW w:w="156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Robert Garcia</w:t>
            </w:r>
          </w:p>
        </w:tc>
        <w:tc>
          <w:tcPr>
            <w:tcW w:w="53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Chief Operating Officer</w:t>
            </w:r>
          </w:p>
        </w:tc>
        <w:tc>
          <w:tcPr>
            <w:tcW w:w="1320" w:type="dxa"/>
            <w:vAlign w:val="bottom"/>
            <w:gridSpan w:val="2"/>
          </w:tcPr>
          <w:p>
            <w:pPr>
              <w:jc w:val="right"/>
              <w:ind w:right="184"/>
              <w:spacing w:after="0"/>
              <w:rPr>
                <w:sz w:val="20"/>
                <w:szCs w:val="20"/>
                <w:color w:val="auto"/>
              </w:rPr>
            </w:pPr>
            <w:r>
              <w:rPr>
                <w:rFonts w:ascii="Arial" w:cs="Arial" w:eastAsia="Arial" w:hAnsi="Arial"/>
                <w:sz w:val="18"/>
                <w:szCs w:val="18"/>
                <w:color w:val="auto"/>
              </w:rPr>
              <w:t>1.29%</w:t>
            </w:r>
          </w:p>
        </w:tc>
        <w:tc>
          <w:tcPr>
            <w:tcW w:w="1480" w:type="dxa"/>
            <w:vAlign w:val="bottom"/>
            <w:gridSpan w:val="2"/>
          </w:tcPr>
          <w:p>
            <w:pPr>
              <w:jc w:val="right"/>
              <w:ind w:right="384"/>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445"/>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June 20, 2006, members of Rumson Hitters repurchased, at the original purchase price, the equity interests in Rumson Hitters held by each of the Company’s employees and their family members, such that no employee of the Company or family member of such employee had any interest in Rumson Hitters or Omniglobe after June 20, 2006. Neither the Company nor any of its employees provided any of the funds to be used by members of Rumson Hitters in repurchasing such equity interests. Since June 20, 2006, Omniglobe is no longer a related party.</w:t>
      </w:r>
    </w:p>
    <w:p>
      <w:pPr>
        <w:spacing w:after="0" w:line="79"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From March 12, 2004 through June 12, 2006, Omniglobe paid an aggregate of $1,300 in distributions to all of its interest holders, including Rumson Hitters. In turn, during this period, Rumson Hitters paid an aggregate of $700 in distributions to its interest holders, including approximately $154 in distributions to Stephen G. Waldis and his family members, approximately $32 in distributions to Lawrence R. Irving, approximately $32 in distributions to David E. Berry and his family members and approximately $16 in distributions to Robert Garcia.</w:t>
      </w:r>
    </w:p>
    <w:p>
      <w:pPr>
        <w:spacing w:after="0" w:line="6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During the period in which the Company’s employees and their family members owned equity interests in Rumson Hitters, fees paid for services rendered related to these agreements for the three and six months ended June 30, 2006 were $1.6 million and $3.7 million respectively. Since June 20, 2006, Omniglobe is no longer a related party.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218"/>
        <w:spacing w:after="0" w:line="272" w:lineRule="auto"/>
        <w:rPr>
          <w:sz w:val="20"/>
          <w:szCs w:val="20"/>
          <w:color w:val="auto"/>
        </w:rPr>
      </w:pPr>
      <w:r>
        <w:rPr>
          <w:rFonts w:ascii="Arial" w:cs="Arial" w:eastAsia="Arial" w:hAnsi="Arial"/>
          <w:sz w:val="17"/>
          <w:szCs w:val="17"/>
          <w:color w:val="auto"/>
        </w:rPr>
        <w:t>You should read the following discussion and analysis in conjunction with the information set forth in our financial statements and related notes included elsewhere in this quarterly report on Form 10-Q and in our Form 10-K for the year ended December 31, 2006. All numbers are expressed in thousands unless otherwise stated.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this From 10-Q and our Annual Report on Form 10-K for the year ended December 31, 2006. Our actual results may differ materially from those contained herein to reflect any change in our expectations with regard thereto or any change in events, conditions or circumstances on which any such statements are based.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We are a leading provider of on-demand multi-channel transaction management solutions to communications service providers (CSPs). We have designed our solution to be flexible across communication services and channels (i.e., e-commerce, CSP stores and other retail outlets, etc.), allowing us to meet the rapidly changing and converging services offered by CSPs. By simplifying technological complexities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 We target complex and high-growth markets including wireless, high speed access (i.e., cable, DSL and wi-max), Voice over Internet Protocol (“VoIP”), video and also target the bundling of these services (e.g., double, triple and quadruple plays) and their intersection (i.e., video over wireless, IPTV, content activation). Our ActivationNow</w:t>
      </w:r>
      <w:r>
        <w:rPr>
          <w:rFonts w:ascii="Arial" w:cs="Arial" w:eastAsia="Arial" w:hAnsi="Arial"/>
          <w:sz w:val="14"/>
          <w:szCs w:val="14"/>
          <w:color w:val="auto"/>
        </w:rPr>
        <w:t>®</w:t>
      </w:r>
      <w:r>
        <w:rPr>
          <w:rFonts w:ascii="Arial" w:cs="Arial" w:eastAsia="Arial" w:hAnsi="Arial"/>
          <w:sz w:val="17"/>
          <w:szCs w:val="17"/>
          <w:color w:val="auto"/>
        </w:rPr>
        <w:t xml:space="preserve"> and ConvergenceNow</w:t>
      </w:r>
      <w:r>
        <w:rPr>
          <w:rFonts w:ascii="Arial" w:cs="Arial" w:eastAsia="Arial" w:hAnsi="Arial"/>
          <w:sz w:val="14"/>
          <w:szCs w:val="14"/>
          <w:color w:val="auto"/>
        </w:rPr>
        <w:t>TM</w:t>
      </w:r>
      <w:r>
        <w:rPr>
          <w:rFonts w:ascii="Arial" w:cs="Arial" w:eastAsia="Arial" w:hAnsi="Arial"/>
          <w:sz w:val="17"/>
          <w:szCs w:val="17"/>
          <w:color w:val="auto"/>
        </w:rPr>
        <w:t xml:space="preserve"> platforms automate, synchronize and simplify electronic order management, activation and provisioning of these services. Our industry-leading customers include AT&amp;T Inc., Vonage Holdings, Cablevision Systems Corporation, Level 3 Communications, Covad, Verizon Business Solutions, Clearwire, Time Warner Cable and Comcast. Our CSP customers use our platform and technology to service both consumer and business customers, including over 300 of the Fortune 500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contracts that extend up to 48 months. We have increased our revenues rapidly, growing at a compound annual growth rate of 67% from 2001 to 2006. Over the last three years we have derived an increasing percentage of our revenues from transactions. For the three months ended June 30, 2007, we derived approximately 85% of our revenues from transactions processed; and for the three months ended June 30, 2006, we derived approximately 86% of our revenues from transactions processed. The remainder of our revenues were generated by professional services and subscription revenues. As the year progresses, we expect to derive an increasing percentage of our net revenues from transaction processing.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costs and expenses consist of cost of services, research and development, selling, general and administrative and depreciation and amortization.</w:t>
      </w:r>
    </w:p>
    <w:p>
      <w:pPr>
        <w:spacing w:after="0" w:line="140"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Research and development expense consists primarily of costs related to personnel, including salaries and other personnel related expense, consulting fees and the costs of facilities, computer and support services used in service and technology development. We also expense costs relating to developing modifications and minor enhancements of our existing technology and services.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license fees and bad debt expense.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Depreciation and amortization relates to our property and equipment and includes our network infrastructure and facilities related to our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jc w:val="both"/>
        <w:ind w:right="40" w:firstLine="222"/>
        <w:spacing w:after="0" w:line="297" w:lineRule="auto"/>
        <w:rPr>
          <w:sz w:val="20"/>
          <w:szCs w:val="20"/>
          <w:color w:val="auto"/>
        </w:rPr>
      </w:pPr>
      <w:r>
        <w:rPr>
          <w:rFonts w:ascii="Arial" w:cs="Arial" w:eastAsia="Arial" w:hAnsi="Arial"/>
          <w:sz w:val="16"/>
          <w:szCs w:val="16"/>
          <w:color w:val="auto"/>
        </w:rPr>
        <w:t>We have experienced increased demand for our services, which has been driven by market trends such as local number portability, the implementation of new technologies, such as Voice over Internet Protocol, or VoIP, subscriber growth, competitive churn, network changes and consolidations. In particular, the emergence of VoIP and local number portability has increased the need for our services and will continue to be a factor contributing to competitive churn. As a result of market trends, our revenue stream has expanded from primarily wireline customers to the addition of wireless customers and services. In 2004 we began providing local number portability services, and in 2005 and 2006 we further expanded our service offerings into the VoIP markets.</w:t>
      </w:r>
    </w:p>
    <w:p>
      <w:pPr>
        <w:spacing w:after="0" w:line="50"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this program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on our financial statements, which have been prepared in accordance with U.S. generally accepted accounting principles (“U.S. GAAP”). The preparation of these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58"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121"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provide services principally on a transactional basis or, at times, on a fixed fee basis and recognize the revenues as the services are performed or delivered as discussed below:</w:t>
      </w:r>
    </w:p>
    <w:p>
      <w:pPr>
        <w:spacing w:after="0" w:line="62"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i w:val="1"/>
          <w:iCs w:val="1"/>
          <w:color w:val="auto"/>
        </w:rPr>
        <w:t xml:space="preserve">Transactional Service Arrangements: </w:t>
      </w:r>
      <w:r>
        <w:rPr>
          <w:rFonts w:ascii="Arial" w:cs="Arial" w:eastAsia="Arial" w:hAnsi="Arial"/>
          <w:sz w:val="17"/>
          <w:szCs w:val="17"/>
          <w:color w:val="auto"/>
        </w:rPr>
        <w:t>Transaction revenues consist of revenues derived from the processing of transactions through our service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and represented approximately 85% and 86% of our revenues for the three months ended June 30, 2007 and 2006, respectively. For the six months ended June 30, 2007 and 2006, transactions represented approximately 83% and 86% of our revenues, respectively. Transaction service arrangements include services such as equipment orders, new account set-up, number port requests, credit checks and inventory management.</w:t>
      </w:r>
    </w:p>
    <w:p>
      <w:pPr>
        <w:spacing w:after="0" w:line="63"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Transaction revenues are principally based on a set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Many of our contracts guarantee minimum volume transactions from the customer. In these instances, if the customer’s total transaction volume for the period is less than the contractual amount, we record revenues at the minimum guaranteed amount. Set-up fees for transactional service arrangements are deferred and recognized on a straight-line basis over the life of the contract since these amounts would not have been paid by the customer without the related transactional service arrangement. Revenues are presented net of a provision for discounts, which are volume level driven, or credits, which are performance driven, and are determined in the period in which the volume thresholds are met or the services are provided. Deferred revenues represent billings to customers for services in advance of the performance of services, with revenues recognized as the services are rendered.</w:t>
      </w:r>
    </w:p>
    <w:p>
      <w:pPr>
        <w:spacing w:after="0" w:line="57"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i w:val="1"/>
          <w:iCs w:val="1"/>
          <w:color w:val="auto"/>
        </w:rPr>
        <w:t xml:space="preserve">Professional Service Arrangements: </w:t>
      </w:r>
      <w:r>
        <w:rPr>
          <w:rFonts w:ascii="Arial" w:cs="Arial" w:eastAsia="Arial" w:hAnsi="Arial"/>
          <w:sz w:val="18"/>
          <w:szCs w:val="18"/>
          <w:color w:val="auto"/>
        </w:rPr>
        <w:t>Professional service revenues represented approximately 14% and 12% of our revenues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2007 and 2006, respectively. For the six months ended June 30, 2007 and 2006, professional services represented approximately 16% and 12% of our revenues, respectively. Professional services, when sold with transactional service arrangements, are accounted for separately when these services have value to the customer on a standalone basis and there is objective and reliable evidence of the fair value of the professional services. When accounted for separately, professional service revenues are recognized on a monthly basis, as services are performed and all other elements of revenue recognition have been satisfied.</w:t>
      </w:r>
    </w:p>
    <w:p>
      <w:pPr>
        <w:spacing w:after="0" w:line="8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determining whether professional services can be accounted for separately from transaction service revenues, we consider the following factors for each professional services agreement: availability of the consulting services from other vendors, whether objective and reliable evidence for fair value exists of the undelivered elements, the nature of the consulting services, the timing of when the consulting contract was signed in comparison to the transaction service start date and the contractual dependence of the transactional service on the customer’s satisfaction with the consulting work.</w:t>
      </w:r>
    </w:p>
    <w:p>
      <w:pPr>
        <w:spacing w:after="0" w:line="63" w:lineRule="exact"/>
        <w:rPr>
          <w:sz w:val="20"/>
          <w:szCs w:val="20"/>
          <w:color w:val="auto"/>
        </w:rPr>
      </w:pPr>
    </w:p>
    <w:p>
      <w:pPr>
        <w:ind w:right="400" w:firstLine="225"/>
        <w:spacing w:after="0" w:line="308" w:lineRule="auto"/>
        <w:rPr>
          <w:sz w:val="20"/>
          <w:szCs w:val="20"/>
          <w:color w:val="auto"/>
        </w:rPr>
      </w:pPr>
      <w:r>
        <w:rPr>
          <w:rFonts w:ascii="Arial" w:cs="Arial" w:eastAsia="Arial" w:hAnsi="Arial"/>
          <w:sz w:val="17"/>
          <w:szCs w:val="17"/>
          <w:color w:val="auto"/>
        </w:rPr>
        <w:t>If a professional service arrangement does not qualify for separate accounting, we would recognize the professional service revenues ratably over the remaining term of the transaction contract. There were no such arrangements for the three or six months ended June 30, 2007 and 2006.</w:t>
      </w:r>
    </w:p>
    <w:p>
      <w:pPr>
        <w:spacing w:after="0" w:line="38"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i w:val="1"/>
          <w:iCs w:val="1"/>
          <w:color w:val="auto"/>
        </w:rPr>
        <w:t xml:space="preserve">Subscription Service Arrangements: </w:t>
      </w:r>
      <w:r>
        <w:rPr>
          <w:rFonts w:ascii="Arial" w:cs="Arial" w:eastAsia="Arial" w:hAnsi="Arial"/>
          <w:sz w:val="16"/>
          <w:szCs w:val="16"/>
          <w:color w:val="auto"/>
        </w:rPr>
        <w:t>Subscription service arrangements represented approximately 1% and 2% of our revenues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2007 and 2006, respectively, and relate principally to our ActivationNow</w:t>
      </w:r>
      <w:r>
        <w:rPr>
          <w:rFonts w:ascii="Arial" w:cs="Arial" w:eastAsia="Arial" w:hAnsi="Arial"/>
          <w:sz w:val="13"/>
          <w:szCs w:val="13"/>
          <w:color w:val="auto"/>
        </w:rPr>
        <w:t>®</w:t>
      </w:r>
      <w:r>
        <w:rPr>
          <w:rFonts w:ascii="Arial" w:cs="Arial" w:eastAsia="Arial" w:hAnsi="Arial"/>
          <w:sz w:val="16"/>
          <w:szCs w:val="16"/>
          <w:color w:val="auto"/>
        </w:rPr>
        <w:t xml:space="preserve"> platform service which the customer accesses through a graphical user interface. For the sixth months ended June 30, 2007 and 2006, subsrciption service arrangements represented approximately 1% and 2% of our revenues, respectively. We record revenues on a straight-line basis over the life of the contract for our subscription service contracts.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Level Standards</w:t>
      </w:r>
    </w:p>
    <w:p>
      <w:pPr>
        <w:spacing w:after="0" w:line="121"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Pursuant to certain contracts, we are subject to service level standards and to corresponding penalties for failure to meet those standards. We record a provision for those performance-related penalties for failure to meet those standards. All performance-related penalties are reflected as a corresponding reduction of our revenues. These penalties, if applicable, are recorded in the month incurred.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We maintain an allowance for doubtful accounts for estimated bad debts resulting from the inability of our customers to make required payments. The amount of the allowance account is based on historical experience and our analysis of the accounts receivable balance outstanding. While credit losses have historically been within our expectations and the provisions established, we cannot guarantee that we will continue to experience the same credit losses that we have in the past or that our reserves will be adequate.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121"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We record a valuation allowance on our deferred tax assets when it is more likely than not that an asset will not be realized. Determining when we will recognize our deferred tax assets is a matter of judgment based on facts and circumstances. We determined that it was appropriate to record our deferred tax assets at full value at June 30, 2007 and December 31, 2006, based on our recent cumulative earnings history and our expected future earnings. However, if there were a significant change in facts, such as a loss of a significant customer, we may determine that a valuation allowance is required.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215"/>
        <w:spacing w:after="0" w:line="293" w:lineRule="auto"/>
        <w:rPr>
          <w:sz w:val="20"/>
          <w:szCs w:val="20"/>
          <w:color w:val="auto"/>
        </w:rPr>
      </w:pPr>
      <w:r>
        <w:rPr>
          <w:rFonts w:ascii="Arial" w:cs="Arial" w:eastAsia="Arial" w:hAnsi="Arial"/>
          <w:sz w:val="16"/>
          <w:szCs w:val="16"/>
          <w:color w:val="auto"/>
        </w:rPr>
        <w:t xml:space="preserve">As of June 30, 2007, we maintain two stock-based compensation plans. Prior to January 1, 2006, we were applying the disclosure only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(“APB 25”).</w:t>
      </w:r>
    </w:p>
    <w:p>
      <w:pPr>
        <w:spacing w:after="0" w:line="5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 xml:space="preserve">We utilize the Black-Scholes option pricing model for determining the estimated fair value for stock-based awards. Use of a valuation model requires management to make certain assumptions with respect to selected model inputs. Expected volatility was calculated based on a blended weighted-average of historical information of our stock and the weighted average of historical information of similar public entities for which historical information was available. We will continue to use a blended weighted average approach using our own historical volatility and other similar public entity volatility information until our historical volatility is relevant to measure expected volatility for future option grants. The average expected life was determined according to the SEC shortcut approach as described in Staff Accounting Bulletin (“SAB”) 107, </w:t>
      </w:r>
      <w:r>
        <w:rPr>
          <w:rFonts w:ascii="Arial" w:cs="Arial" w:eastAsia="Arial" w:hAnsi="Arial"/>
          <w:sz w:val="18"/>
          <w:szCs w:val="18"/>
          <w:i w:val="1"/>
          <w:iCs w:val="1"/>
          <w:color w:val="auto"/>
        </w:rPr>
        <w:t>Disclosure about Fair Value of Financial Instruments</w:t>
      </w:r>
      <w:r>
        <w:rPr>
          <w:rFonts w:ascii="Arial" w:cs="Arial" w:eastAsia="Arial" w:hAnsi="Arial"/>
          <w:sz w:val="18"/>
          <w:szCs w:val="18"/>
          <w:color w:val="auto"/>
        </w:rPr>
        <w:t>, which is the mid-point between the vesting date and the end of the contractual term. The risk-free interest rate is based on U.S. Treasury zero-coupon issues with a remaining term equal to the expected life assumed at the date of grant. Forfeitures are estimated based on voluntary termination behavior, as well as a historical analysis of actual option forfeitures.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weighted-average assumptions used in the Black-Scholes option pricing model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4560" w:type="dxa"/>
            <w:vAlign w:val="bottom"/>
            <w:gridSpan w:val="3"/>
          </w:tcPr>
          <w:p>
            <w:pPr>
              <w:jc w:val="center"/>
              <w:ind w:left="2374"/>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2007</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June 30, 2007</w:t>
            </w:r>
          </w:p>
        </w:tc>
        <w:tc>
          <w:tcPr>
            <w:tcW w:w="160" w:type="dxa"/>
            <w:vAlign w:val="bottom"/>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4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560" w:type="dxa"/>
            <w:vAlign w:val="bottom"/>
            <w:gridSpan w:val="3"/>
          </w:tcPr>
          <w:p>
            <w:pPr>
              <w:jc w:val="right"/>
              <w:ind w:right="260"/>
              <w:spacing w:after="0"/>
              <w:rPr>
                <w:sz w:val="20"/>
                <w:szCs w:val="20"/>
                <w:color w:val="auto"/>
              </w:rPr>
            </w:pPr>
            <w:r>
              <w:rPr>
                <w:rFonts w:ascii="Arial" w:cs="Arial" w:eastAsia="Arial" w:hAnsi="Arial"/>
                <w:sz w:val="18"/>
                <w:szCs w:val="18"/>
                <w:color w:val="auto"/>
              </w:rPr>
              <w:t>4.60%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4.66%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4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6.23</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56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jc w:val="both"/>
        <w:ind w:right="160" w:firstLine="222"/>
        <w:spacing w:after="0" w:line="286" w:lineRule="auto"/>
        <w:rPr>
          <w:sz w:val="20"/>
          <w:szCs w:val="20"/>
          <w:color w:val="auto"/>
        </w:rPr>
      </w:pPr>
      <w:r>
        <w:rPr>
          <w:rFonts w:ascii="Arial" w:cs="Arial" w:eastAsia="Arial" w:hAnsi="Arial"/>
          <w:sz w:val="17"/>
          <w:szCs w:val="17"/>
          <w:color w:val="auto"/>
        </w:rPr>
        <w:t>The weighted-average fair value (as of the date of grant) of the options granted was $14.98 and $4.38 per share for the three months ended June 30, 2007 and 2006, respectively, and $13.28 and $4.38 per share for the six months ended June 30, 2007 and 2006, respectively. The total stock-based compensation cost related to non-vested equity awards not yet recognized as an expense as of June 30, 2007 was approximately $7.3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2007 compared to the three months ended June 30, 2006</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June 30,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3"/>
          </w:tcPr>
          <w:p>
            <w:pPr>
              <w:jc w:val="center"/>
              <w:ind w:right="880"/>
              <w:spacing w:after="0" w:line="142"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 of</w:t>
            </w: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 of</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4"/>
          </w:tcPr>
          <w:p>
            <w:pPr>
              <w:jc w:val="center"/>
              <w:ind w:right="59"/>
              <w:spacing w:after="0" w:line="142" w:lineRule="exact"/>
              <w:rPr>
                <w:sz w:val="20"/>
                <w:szCs w:val="20"/>
                <w:color w:val="auto"/>
              </w:rPr>
            </w:pPr>
            <w:r>
              <w:rPr>
                <w:rFonts w:ascii="Arial" w:cs="Arial" w:eastAsia="Arial" w:hAnsi="Arial"/>
                <w:sz w:val="14"/>
                <w:szCs w:val="14"/>
                <w:b w:val="1"/>
                <w:bCs w:val="1"/>
                <w:color w:val="auto"/>
                <w:w w:val="91"/>
              </w:rPr>
              <w:t>2007 vs.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2"/>
          </w:tcPr>
          <w:p>
            <w:pPr>
              <w:jc w:val="right"/>
              <w:ind w:right="728"/>
              <w:spacing w:after="0" w:line="142" w:lineRule="exact"/>
              <w:rPr>
                <w:sz w:val="20"/>
                <w:szCs w:val="20"/>
                <w:color w:val="auto"/>
              </w:rPr>
            </w:pPr>
            <w:r>
              <w:rPr>
                <w:rFonts w:ascii="Arial" w:cs="Arial" w:eastAsia="Arial" w:hAnsi="Arial"/>
                <w:sz w:val="14"/>
                <w:szCs w:val="14"/>
                <w:b w:val="1"/>
                <w:bCs w:val="1"/>
                <w:color w:val="auto"/>
                <w:w w:val="99"/>
              </w:rPr>
              <w:t>Revenue</w:t>
            </w:r>
          </w:p>
        </w:tc>
        <w:tc>
          <w:tcPr>
            <w:tcW w:w="6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9"/>
              </w:rPr>
              <w:t>Revenue</w:t>
            </w:r>
          </w:p>
        </w:tc>
        <w:tc>
          <w:tcPr>
            <w:tcW w:w="2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Change</w:t>
            </w:r>
          </w:p>
        </w:tc>
        <w:tc>
          <w:tcPr>
            <w:tcW w:w="62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0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$ 31,321</w:t>
            </w:r>
          </w:p>
        </w:tc>
        <w:tc>
          <w:tcPr>
            <w:tcW w:w="19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$ 17,442</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13,879</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425"/>
        </w:trPr>
        <w:tc>
          <w:tcPr>
            <w:tcW w:w="3780" w:type="dxa"/>
            <w:vAlign w:val="bottom"/>
          </w:tcPr>
          <w:p>
            <w:pPr>
              <w:spacing w:after="0"/>
              <w:rPr>
                <w:sz w:val="20"/>
                <w:szCs w:val="20"/>
                <w:color w:val="auto"/>
              </w:rPr>
            </w:pPr>
            <w:r>
              <w:rPr>
                <w:rFonts w:ascii="Arial" w:cs="Arial" w:eastAsia="Arial" w:hAnsi="Arial"/>
                <w:sz w:val="18"/>
                <w:szCs w:val="18"/>
                <w:color w:val="auto"/>
              </w:rPr>
              <w:t>Cost of services (excluding depreciation</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and amortization shown separately below)</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14,505</w:t>
            </w:r>
          </w:p>
        </w:tc>
        <w:tc>
          <w:tcPr>
            <w:tcW w:w="1960" w:type="dxa"/>
            <w:vAlign w:val="bottom"/>
            <w:gridSpan w:val="3"/>
          </w:tcPr>
          <w:p>
            <w:pPr>
              <w:jc w:val="right"/>
              <w:ind w:right="488"/>
              <w:spacing w:after="0"/>
              <w:rPr>
                <w:sz w:val="20"/>
                <w:szCs w:val="20"/>
                <w:color w:val="auto"/>
              </w:rPr>
            </w:pPr>
            <w:r>
              <w:rPr>
                <w:rFonts w:ascii="Arial" w:cs="Arial" w:eastAsia="Arial" w:hAnsi="Arial"/>
                <w:sz w:val="18"/>
                <w:szCs w:val="18"/>
                <w:color w:val="auto"/>
              </w:rPr>
              <w:t>46.3%</w:t>
            </w:r>
          </w:p>
        </w:tc>
        <w:tc>
          <w:tcPr>
            <w:tcW w:w="680" w:type="dxa"/>
            <w:vAlign w:val="bottom"/>
          </w:tcPr>
          <w:p>
            <w:pPr>
              <w:jc w:val="right"/>
              <w:spacing w:after="0"/>
              <w:rPr>
                <w:sz w:val="20"/>
                <w:szCs w:val="20"/>
                <w:color w:val="auto"/>
              </w:rPr>
            </w:pPr>
            <w:r>
              <w:rPr>
                <w:rFonts w:ascii="Arial" w:cs="Arial" w:eastAsia="Arial" w:hAnsi="Arial"/>
                <w:sz w:val="18"/>
                <w:szCs w:val="18"/>
                <w:color w:val="auto"/>
              </w:rPr>
              <w:t>9,643</w:t>
            </w:r>
          </w:p>
        </w:tc>
        <w:tc>
          <w:tcPr>
            <w:tcW w:w="80" w:type="dxa"/>
            <w:vAlign w:val="bottom"/>
          </w:tcPr>
          <w:p>
            <w:pPr>
              <w:spacing w:after="0"/>
              <w:rPr>
                <w:sz w:val="20"/>
                <w:szCs w:val="20"/>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4,862</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w:t>
            </w:r>
          </w:p>
        </w:tc>
        <w:tc>
          <w:tcPr>
            <w:tcW w:w="19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4,630</w:t>
            </w:r>
          </w:p>
        </w:tc>
        <w:tc>
          <w:tcPr>
            <w:tcW w:w="1960" w:type="dxa"/>
            <w:vAlign w:val="bottom"/>
            <w:gridSpan w:val="3"/>
          </w:tcPr>
          <w:p>
            <w:pPr>
              <w:jc w:val="right"/>
              <w:ind w:right="488"/>
              <w:spacing w:after="0"/>
              <w:rPr>
                <w:sz w:val="20"/>
                <w:szCs w:val="20"/>
                <w:color w:val="auto"/>
              </w:rPr>
            </w:pPr>
            <w:r>
              <w:rPr>
                <w:rFonts w:ascii="Arial" w:cs="Arial" w:eastAsia="Arial" w:hAnsi="Arial"/>
                <w:sz w:val="18"/>
                <w:szCs w:val="18"/>
                <w:color w:val="auto"/>
              </w:rPr>
              <w:t>14.8%</w:t>
            </w:r>
          </w:p>
        </w:tc>
        <w:tc>
          <w:tcPr>
            <w:tcW w:w="680" w:type="dxa"/>
            <w:vAlign w:val="bottom"/>
          </w:tcPr>
          <w:p>
            <w:pPr>
              <w:jc w:val="right"/>
              <w:spacing w:after="0"/>
              <w:rPr>
                <w:sz w:val="20"/>
                <w:szCs w:val="20"/>
                <w:color w:val="auto"/>
              </w:rPr>
            </w:pPr>
            <w:r>
              <w:rPr>
                <w:rFonts w:ascii="Arial" w:cs="Arial" w:eastAsia="Arial" w:hAnsi="Arial"/>
                <w:sz w:val="18"/>
                <w:szCs w:val="18"/>
                <w:color w:val="auto"/>
              </w:rPr>
              <w:t>2,521</w:t>
            </w:r>
          </w:p>
        </w:tc>
        <w:tc>
          <w:tcPr>
            <w:tcW w:w="80" w:type="dxa"/>
            <w:vAlign w:val="bottom"/>
          </w:tcPr>
          <w:p>
            <w:pPr>
              <w:spacing w:after="0"/>
              <w:rPr>
                <w:sz w:val="18"/>
                <w:szCs w:val="18"/>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2,109</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19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22,959</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400" w:type="dxa"/>
            <w:vAlign w:val="bottom"/>
            <w:gridSpan w:val="2"/>
          </w:tcPr>
          <w:p>
            <w:pPr>
              <w:jc w:val="right"/>
              <w:ind w:right="488"/>
              <w:spacing w:after="0"/>
              <w:rPr>
                <w:sz w:val="20"/>
                <w:szCs w:val="20"/>
                <w:color w:val="auto"/>
              </w:rPr>
            </w:pPr>
            <w:r>
              <w:rPr>
                <w:rFonts w:ascii="Arial" w:cs="Arial" w:eastAsia="Arial" w:hAnsi="Arial"/>
                <w:sz w:val="18"/>
                <w:szCs w:val="18"/>
                <w:color w:val="auto"/>
              </w:rPr>
              <w:t>73.3%</w:t>
            </w:r>
          </w:p>
        </w:tc>
        <w:tc>
          <w:tcPr>
            <w:tcW w:w="680" w:type="dxa"/>
            <w:vAlign w:val="bottom"/>
          </w:tcPr>
          <w:p>
            <w:pPr>
              <w:jc w:val="right"/>
              <w:spacing w:after="0"/>
              <w:rPr>
                <w:sz w:val="20"/>
                <w:szCs w:val="20"/>
                <w:color w:val="auto"/>
              </w:rPr>
            </w:pPr>
            <w:r>
              <w:rPr>
                <w:rFonts w:ascii="Arial" w:cs="Arial" w:eastAsia="Arial" w:hAnsi="Arial"/>
                <w:sz w:val="18"/>
                <w:szCs w:val="18"/>
                <w:color w:val="auto"/>
              </w:rPr>
              <w:t>15,134</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86.8%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7,825</w:t>
            </w:r>
          </w:p>
        </w:tc>
        <w:tc>
          <w:tcPr>
            <w:tcW w:w="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8,362</w:t>
            </w:r>
          </w:p>
        </w:tc>
        <w:tc>
          <w:tcPr>
            <w:tcW w:w="196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26.7%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2,308</w:t>
            </w:r>
          </w:p>
        </w:tc>
        <w:tc>
          <w:tcPr>
            <w:tcW w:w="8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6,054</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$13.9 million to $31.3 million for the three months ended June 30, 2007, compared to the three months ended</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June 30, 2006. This increase is primarily due to increased revenues from existing customers. Net revenues from our wireless customer increased $13.3 million to $25.2 million for the three months ended June 30, 2007, compared to the three months ended June 30, 2006. LNP and VoIP transactions accounted for $6.0 million of our revenues during the three months ended June 30, 2007, as compared to $5.3 million for the corresponding period last year. Transaction revenues recognized for the three months ended June 30, 2007 represented 85% of net revenues compared to 86% for the same period in 2006. The increase in transaction revenues of $11.7 million was supplemented by an increase of professional service revenues of $2.3 million. Professional service revenues increased as a percentage of sales to 14% for the three months ended June 30, 2007, compared to 12% for the three months ended June 30, 2006. As the year progresses, we expect to derive an increasing percentage of our net revenues from transaction processing.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increased $4.9 million to $14.5 million for the three months ended June 30, 2007, compared to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2006, due primarily to the growth in personnel costs required to support higher transaction volumes submitted to us by our customers and increases in telecommunication costs. In particular, personnel and related costs and third party consulting service costs increased $4.4 million to manage exception handling. Also, additional telecommunication and maintenance expense in our data facilities, contributed approximately $425 to the increase in cost of services. Cost of services as a percentage of revenues decreased to 46.3% for the three months ended June 30, 2007, as compared to 55.3% for the three months ended June 30, 2006. We are continuing to realize the benefits and efficiencies gained by increased automation rates in our customers.</w:t>
      </w:r>
    </w:p>
    <w:p>
      <w:pPr>
        <w:spacing w:after="0" w:line="57"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$384 to $2.5 million for the three months ended June 30, 2007,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2006, due to the continued investment in and further development of the ActivationNow</w:t>
      </w:r>
      <w:r>
        <w:rPr>
          <w:rFonts w:ascii="Arial" w:cs="Arial" w:eastAsia="Arial" w:hAnsi="Arial"/>
          <w:sz w:val="15"/>
          <w:szCs w:val="15"/>
          <w:color w:val="auto"/>
        </w:rPr>
        <w:t>®</w:t>
      </w:r>
      <w:r>
        <w:rPr>
          <w:rFonts w:ascii="Arial" w:cs="Arial" w:eastAsia="Arial" w:hAnsi="Arial"/>
          <w:sz w:val="18"/>
          <w:szCs w:val="18"/>
          <w:color w:val="auto"/>
        </w:rPr>
        <w:t xml:space="preserve"> and ConvergenceNow</w:t>
      </w:r>
      <w:r>
        <w:rPr>
          <w:rFonts w:ascii="Arial" w:cs="Arial" w:eastAsia="Arial" w:hAnsi="Arial"/>
          <w:sz w:val="15"/>
          <w:szCs w:val="15"/>
          <w:color w:val="auto"/>
        </w:rPr>
        <w:t>TM</w:t>
      </w:r>
      <w:r>
        <w:rPr>
          <w:rFonts w:ascii="Arial" w:cs="Arial" w:eastAsia="Arial" w:hAnsi="Arial"/>
          <w:sz w:val="18"/>
          <w:szCs w:val="18"/>
          <w:color w:val="auto"/>
        </w:rPr>
        <w:t xml:space="preserve"> platforms to enhance our service offerings and increases in automation that have continued to allow us to gain operational efficiencies. Research and development expense as a percentage of revenues decreased to 8.1% for the three months ended June 30, 2007, as compared to 12.3% for the three months ended June 30, 2006.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Selling, general and administrative expense increased $2.1 million to $4.6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2007, compared to the three months ended June 30, 2006, due in part to increases in personnel and related costs totaling $837, increased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$461 associated with being a public company, and increased stock-based compensation expense of $428. Selling, general and administrative expense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revenues increased to 14.8% for the three months ended June 30, 2007, as compared to the three months ended June 30, 2006. We anticipate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our selling, general and administrative expenses will increase on an absolute basis in the future as we incur public company costs and make continued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sales and marketing.</w:t>
      </w:r>
    </w:p>
    <w:p>
      <w:pPr>
        <w:spacing w:after="0" w:line="103" w:lineRule="exact"/>
        <w:rPr>
          <w:sz w:val="20"/>
          <w:szCs w:val="20"/>
          <w:color w:val="auto"/>
        </w:rPr>
      </w:pPr>
    </w:p>
    <w:p>
      <w:pPr>
        <w:ind w:right="680" w:firstLine="225"/>
        <w:spacing w:after="0" w:line="34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increased $470 to $1.3 million for the three months ended June 30,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three months ended June 30, 2006, due to the commencement of depreciation expense associated with recent fixed asset additions.</w:t>
      </w:r>
    </w:p>
    <w:p>
      <w:pPr>
        <w:spacing w:after="0" w:line="16"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b w:val="1"/>
          <w:bCs w:val="1"/>
          <w:i w:val="1"/>
          <w:iCs w:val="1"/>
          <w:color w:val="auto"/>
        </w:rPr>
        <w:t xml:space="preserve">Income Tax. </w:t>
      </w:r>
      <w:r>
        <w:rPr>
          <w:rFonts w:ascii="Arial" w:cs="Arial" w:eastAsia="Arial" w:hAnsi="Arial"/>
          <w:sz w:val="16"/>
          <w:szCs w:val="16"/>
          <w:color w:val="auto"/>
        </w:rPr>
        <w:t>Our effective tax rate was approximately 41.6% during the three months ended June 30, 2007 and 2006. We review the expected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June 30, 2007 and 2006, we recognized approximately $3.9 million and $1.0 million in related tax expense,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2007, compared to the six months ended June 30, 2006</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six months ended June 30,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880"/>
              <w:spacing w:after="0" w:line="142"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 of</w:t>
            </w: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jc w:val="center"/>
              <w:ind w:right="39"/>
              <w:spacing w:after="0" w:line="142" w:lineRule="exact"/>
              <w:rPr>
                <w:sz w:val="20"/>
                <w:szCs w:val="20"/>
                <w:color w:val="auto"/>
              </w:rPr>
            </w:pPr>
            <w:r>
              <w:rPr>
                <w:rFonts w:ascii="Arial" w:cs="Arial" w:eastAsia="Arial" w:hAnsi="Arial"/>
                <w:sz w:val="14"/>
                <w:szCs w:val="14"/>
                <w:b w:val="1"/>
                <w:bCs w:val="1"/>
                <w:color w:val="auto"/>
                <w:w w:val="91"/>
              </w:rPr>
              <w:t>2007 vs. 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668"/>
              <w:spacing w:after="0" w:line="142" w:lineRule="exact"/>
              <w:rPr>
                <w:sz w:val="20"/>
                <w:szCs w:val="20"/>
                <w:color w:val="auto"/>
              </w:rPr>
            </w:pPr>
            <w:r>
              <w:rPr>
                <w:rFonts w:ascii="Arial" w:cs="Arial" w:eastAsia="Arial" w:hAnsi="Arial"/>
                <w:sz w:val="14"/>
                <w:szCs w:val="14"/>
                <w:b w:val="1"/>
                <w:bCs w:val="1"/>
                <w:color w:val="auto"/>
                <w:w w:val="99"/>
              </w:rPr>
              <w:t>Revenue</w:t>
            </w:r>
          </w:p>
        </w:tc>
        <w:tc>
          <w:tcPr>
            <w:tcW w:w="740" w:type="dxa"/>
            <w:vAlign w:val="bottom"/>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w w:val="99"/>
              </w:rPr>
              <w:t>Revenue</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Change</w:t>
            </w:r>
          </w:p>
        </w:tc>
        <w:tc>
          <w:tcPr>
            <w:tcW w:w="64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$ 52,650</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100.0%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$ 33,166</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19,484</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9"/>
        </w:trPr>
        <w:tc>
          <w:tcPr>
            <w:tcW w:w="3720" w:type="dxa"/>
            <w:vAlign w:val="bottom"/>
            <w:gridSpan w:val="2"/>
          </w:tcPr>
          <w:p>
            <w:pPr>
              <w:spacing w:after="0"/>
              <w:rPr>
                <w:sz w:val="20"/>
                <w:szCs w:val="20"/>
                <w:color w:val="auto"/>
              </w:rPr>
            </w:pPr>
            <w:r>
              <w:rPr>
                <w:rFonts w:ascii="Arial" w:cs="Arial" w:eastAsia="Arial" w:hAnsi="Arial"/>
                <w:sz w:val="18"/>
                <w:szCs w:val="18"/>
                <w:color w:val="auto"/>
              </w:rPr>
              <w:t>Cost of services (excluding depreciation</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and amortization shown separately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below)</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24,147</w:t>
            </w:r>
          </w:p>
        </w:tc>
        <w:tc>
          <w:tcPr>
            <w:tcW w:w="1920" w:type="dxa"/>
            <w:vAlign w:val="bottom"/>
            <w:gridSpan w:val="3"/>
          </w:tcPr>
          <w:p>
            <w:pPr>
              <w:jc w:val="right"/>
              <w:ind w:right="448"/>
              <w:spacing w:after="0"/>
              <w:rPr>
                <w:sz w:val="20"/>
                <w:szCs w:val="20"/>
                <w:color w:val="auto"/>
              </w:rPr>
            </w:pPr>
            <w:r>
              <w:rPr>
                <w:rFonts w:ascii="Arial" w:cs="Arial" w:eastAsia="Arial" w:hAnsi="Arial"/>
                <w:sz w:val="18"/>
                <w:szCs w:val="18"/>
                <w:color w:val="auto"/>
              </w:rPr>
              <w:t>45.9%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18,406</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5,741</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8.5%</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3,835</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7,870</w:t>
            </w:r>
          </w:p>
        </w:tc>
        <w:tc>
          <w:tcPr>
            <w:tcW w:w="1920" w:type="dxa"/>
            <w:vAlign w:val="bottom"/>
            <w:gridSpan w:val="3"/>
          </w:tcPr>
          <w:p>
            <w:pPr>
              <w:jc w:val="right"/>
              <w:ind w:right="448"/>
              <w:spacing w:after="0"/>
              <w:rPr>
                <w:sz w:val="20"/>
                <w:szCs w:val="20"/>
                <w:color w:val="auto"/>
              </w:rPr>
            </w:pPr>
            <w:r>
              <w:rPr>
                <w:rFonts w:ascii="Arial" w:cs="Arial" w:eastAsia="Arial" w:hAnsi="Arial"/>
                <w:sz w:val="18"/>
                <w:szCs w:val="18"/>
                <w:color w:val="auto"/>
              </w:rPr>
              <w:t>14.9%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4,531</w:t>
            </w:r>
          </w:p>
        </w:tc>
        <w:tc>
          <w:tcPr>
            <w:tcW w:w="2000" w:type="dxa"/>
            <w:vAlign w:val="bottom"/>
            <w:gridSpan w:val="3"/>
          </w:tcPr>
          <w:p>
            <w:pPr>
              <w:jc w:val="right"/>
              <w:ind w:right="58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3,339</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4.5%</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1,539</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38,860</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340" w:type="dxa"/>
            <w:vAlign w:val="bottom"/>
            <w:gridSpan w:val="2"/>
          </w:tcPr>
          <w:p>
            <w:pPr>
              <w:jc w:val="right"/>
              <w:ind w:right="448"/>
              <w:spacing w:after="0"/>
              <w:rPr>
                <w:sz w:val="20"/>
                <w:szCs w:val="20"/>
                <w:color w:val="auto"/>
              </w:rPr>
            </w:pPr>
            <w:r>
              <w:rPr>
                <w:rFonts w:ascii="Arial" w:cs="Arial" w:eastAsia="Arial" w:hAnsi="Arial"/>
                <w:sz w:val="18"/>
                <w:szCs w:val="18"/>
                <w:color w:val="auto"/>
              </w:rPr>
              <w:t>73.8%</w:t>
            </w:r>
          </w:p>
        </w:tc>
        <w:tc>
          <w:tcPr>
            <w:tcW w:w="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28,311</w:t>
            </w:r>
          </w:p>
        </w:tc>
        <w:tc>
          <w:tcPr>
            <w:tcW w:w="8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10,549</w:t>
            </w:r>
          </w:p>
        </w:tc>
        <w:tc>
          <w:tcPr>
            <w:tcW w:w="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$ 13,790</w:t>
            </w:r>
          </w:p>
        </w:tc>
        <w:tc>
          <w:tcPr>
            <w:tcW w:w="19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26.2%</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4,855</w:t>
            </w:r>
          </w:p>
        </w:tc>
        <w:tc>
          <w:tcPr>
            <w:tcW w:w="20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8,935</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$19.5 million to $52.7 million for the six months ended June 30, 2007, compared to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2006. This increase is primarily due to increased revenues from existing customers. Net revenues from our wireless customer increased $16.5 million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$39.7 million for the six months ended June 30, 2007, compared to the three months ended June 30, 2006. LNP and VoIP transactions accounted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$12.7 million of our revenues during the six months ended June 30, 2007, as compared to $9.6 million for the corresponding period last year.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recognized for the six months ended June 30, 2007 represented 83% of net revenues compared to 86% for the same period in 2006.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transaction revenues of $15.3 million was supplemented by an increase of professional service revenues of $4.4 million. Professional service revenues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as a percentage of sales to 16% for the six months ended June 30, 2007, compared to 12% for the six months ended June 30, 2006. As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progresses, we expect to derive an increasing percentage of our net revenues from transaction processing.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increased $5.7 million to $24.1 million for the six months ended June 30, 2007, compared to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2006, due primarily to the growth in personnel costs required to support higher transaction volumes submitted to us by our customers and increases in telecommunication costs. In particular, personnel and related costs and third party consulting service costs increased $4.9 million to manage exception handling. Also, additional telecommunication and maintenance expense in our data facilities, contributed approximately $696 to the increase in cost of services. In addition, stock-based compensation expense increased $130. Cost of services as a percentage of revenues decreased to 45.9% for the six months ended June 30, 2007, as compared to 55.5% for the six months ended June 30, 2006. We are continuing to realize the benefits and efficiencies gained by increased automation rates in our customers.</w:t>
      </w:r>
    </w:p>
    <w:p>
      <w:pPr>
        <w:spacing w:after="0" w:line="70"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increased $631 to $4.5 million for the six months ended June 30, 2007,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June 30, 2006, due to the continued investment in and further development of the ActivationNow</w:t>
      </w:r>
      <w:r>
        <w:rPr>
          <w:rFonts w:ascii="Arial" w:cs="Arial" w:eastAsia="Arial" w:hAnsi="Arial"/>
          <w:sz w:val="13"/>
          <w:szCs w:val="13"/>
          <w:color w:val="auto"/>
        </w:rPr>
        <w:t>®</w:t>
      </w:r>
      <w:r>
        <w:rPr>
          <w:rFonts w:ascii="Arial" w:cs="Arial" w:eastAsia="Arial" w:hAnsi="Arial"/>
          <w:sz w:val="16"/>
          <w:szCs w:val="16"/>
          <w:color w:val="auto"/>
        </w:rPr>
        <w:t xml:space="preserve"> and ConvergenceNow</w:t>
      </w:r>
      <w:r>
        <w:rPr>
          <w:rFonts w:ascii="Arial" w:cs="Arial" w:eastAsia="Arial" w:hAnsi="Arial"/>
          <w:sz w:val="13"/>
          <w:szCs w:val="13"/>
          <w:color w:val="auto"/>
        </w:rPr>
        <w:t>TM</w:t>
      </w:r>
      <w:r>
        <w:rPr>
          <w:rFonts w:ascii="Arial" w:cs="Arial" w:eastAsia="Arial" w:hAnsi="Arial"/>
          <w:sz w:val="16"/>
          <w:szCs w:val="16"/>
          <w:color w:val="auto"/>
        </w:rPr>
        <w:t xml:space="preserve"> platforms to enhance our service offerings and increases in automation that have continued to allow us to gain operational efficiencies. Research and development expense as a percentage of revenues decreased to 8.5% for the six months ended June 30, 2007, as compared to 11.6% for the six months ended June 30, 2006.</w:t>
      </w:r>
    </w:p>
    <w:p>
      <w:pPr>
        <w:spacing w:after="0" w:line="4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Selling, general and administrative expense increased $3.3 million to $7.9 million for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2007, compared to the six months ended June 30, 2006, due in part to increases in personnel and related costs totaling $1.1 million, increased expenses of $860 associated with being a public company, increased stock-based compensation expense of $748, and increased marketing expenses of $365. Selling, general and administrative expense as a percentage of revenues increased to 14.9% for the six months ended June 30, 2007, as compared to 13.7% for the six months ended June 30, 2006. We anticipate that our selling, general and administrative expenses will increase on an absolute basis in the future as we incur public company costs and make continued investments in sales and marketing.</w:t>
      </w:r>
    </w:p>
    <w:p>
      <w:pPr>
        <w:spacing w:after="0" w:line="70" w:lineRule="exact"/>
        <w:rPr>
          <w:sz w:val="20"/>
          <w:szCs w:val="20"/>
          <w:color w:val="auto"/>
        </w:rPr>
      </w:pPr>
    </w:p>
    <w:p>
      <w:pPr>
        <w:ind w:right="680" w:firstLine="225"/>
        <w:spacing w:after="0" w:line="34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increased $838 to $2.4 million for the three months ended June 30,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six months ended June 30, 2006, due to the commencement of depreciation expense associated with recent fixed asset additions.</w:t>
      </w:r>
    </w:p>
    <w:p>
      <w:pPr>
        <w:spacing w:after="0" w:line="1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41.7% and approximately 41.6% during the six months ended June 30, 2007 and 2006,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six months ended June 30, 2007 and 2006, we recognized approximately $6.6 million and $2.1 million in related tax expense,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Our principal source of liquidity has been cash provided by operations and by cash provided from our initial public offering (“IPO”) which was completed on June 20, 2006. The net proceeds from our offering and the exercise of the over-allotment option by our IPO underwriters were approximately</w:t>
      </w:r>
    </w:p>
    <w:p>
      <w:pPr>
        <w:jc w:val="both"/>
        <w:ind w:right="100"/>
        <w:spacing w:after="0" w:line="323" w:lineRule="auto"/>
        <w:rPr>
          <w:sz w:val="20"/>
          <w:szCs w:val="20"/>
          <w:color w:val="auto"/>
        </w:rPr>
      </w:pPr>
      <w:r>
        <w:rPr>
          <w:rFonts w:ascii="Arial" w:cs="Arial" w:eastAsia="Arial" w:hAnsi="Arial"/>
          <w:sz w:val="16"/>
          <w:szCs w:val="16"/>
          <w:color w:val="auto"/>
        </w:rPr>
        <w:t>$52.8 million, which enabled us to strengthen our balance sheet. As a result, we had cash, cash equivalents and short- and long-term marketable securities of $77.6 million at June 30, 2007. We anticipate that our principal uses of cash in the future will be facility expansion, capital expenditures and working capital.</w:t>
      </w:r>
    </w:p>
    <w:p>
      <w:pPr>
        <w:spacing w:after="0" w:line="31"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On October 6, 2004, we entered into a Loan and Security Agreement (the “Agreement”) with a bank which expires on December 1, 2007. The Agreement includes a Revolving Promissory Note for up to $2.0 million and an Equipment Term Note for up to $3.0 million. Availability under the Agreement for the Revolving Promissory Note is based on defined percentages of eligible accounts receivable. Borrowings on the revolving credit agreement bear interest at the prime rate plus 1.25% (9.5% at June 30, 2007 and December 31, 2006). Interest only on the unpaid principal amount is due and payable monthly in arrears, commencing January 1, 2005 and continuing on the first day of each calendar month thereafter until maturity, at which point all unpaid principal and interest related to the revolving advances will be payable in full. There were no borrowings against the Revolving Promissory Note as of December 31, 2006 and during the three or six months ended June 30, 2007. As of June 30, 2007 and December 31, 2006, we had outstanding borrowings of $333 and $666, respectively, against the Equipment Term Note to fund purchases of eligible equipment. Borrowings on the equipment line bear interest at the prime rate plus 1.75% (10% at June 30, 2007 and December 31, 2006) and principal and interest are payable monthly. Borrowings under the Agreement are collateralized by all of our assets.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Agreement requires us to meet one liquidity financial covenant that must be maintained as of the last day of each month. The covenant requires us to maintain a ratio of current assets to current liabilities of 2:1. This calculation and a certification of compliance, along with our monthly financial statements, are reported to the bank on a monthly basis. We were in compliance with the financial covenant at June 30, 2007 and December 31, 2006. As of June 30, 2007, we had $2.0 million available under the revolving promissory note of our bank, subject to the terms and conditions of that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i w:val="1"/>
          <w:iCs w:val="1"/>
          <w:color w:val="auto"/>
        </w:rPr>
        <w:t xml:space="preserve">Cash flows from operations. </w:t>
      </w:r>
      <w:r>
        <w:rPr>
          <w:rFonts w:ascii="Arial" w:cs="Arial" w:eastAsia="Arial" w:hAnsi="Arial"/>
          <w:sz w:val="16"/>
          <w:szCs w:val="16"/>
          <w:color w:val="auto"/>
        </w:rPr>
        <w:t>Net cash provided by operating activities for the six months ended June 30, 2007 was $6.0 million, compared to $2.5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2006. The increase of $3.5 million is primarily due to increased income, higher non-cash depreciation and stock compensation expenses and increasing accounts payable balances partially offset by an increase to accounts receivable and a decrease to deferred income taxes. Income and accounts receivable grew primarily due to increased revenue and timing of payments. The accounts payable account grew partially due to increased expenses necessary to support higher revenues as well as capital expenditures necessary to continue to grow our business.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Cash flows from investing. </w:t>
      </w:r>
      <w:r>
        <w:rPr>
          <w:rFonts w:ascii="Arial" w:cs="Arial" w:eastAsia="Arial" w:hAnsi="Arial"/>
          <w:sz w:val="16"/>
          <w:szCs w:val="16"/>
          <w:color w:val="auto"/>
        </w:rPr>
        <w:t>Net cash used in investing activities for the six months ended June 30, 2007 was $7.0 million compared to net cash used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$2.7 million for the six months June 30, 2006. The increase of $4.3 million was due to the increased purchase of fixed assets of $4.6 million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sales of marketable securities.</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provided by financing activities for the six months ended June 30, 2007 was $277 compared to net cash provided of</w:t>
      </w:r>
      <w:r>
        <w:rPr>
          <w:rFonts w:ascii="Arial" w:cs="Arial" w:eastAsia="Arial" w:hAnsi="Arial"/>
          <w:sz w:val="18"/>
          <w:szCs w:val="18"/>
          <w:i w:val="1"/>
          <w:iCs w:val="1"/>
          <w:color w:val="auto"/>
        </w:rPr>
        <w:t xml:space="preserve"> </w:t>
      </w:r>
      <w:r>
        <w:rPr>
          <w:rFonts w:ascii="Arial" w:cs="Arial" w:eastAsia="Arial" w:hAnsi="Arial"/>
          <w:sz w:val="18"/>
          <w:szCs w:val="18"/>
          <w:color w:val="auto"/>
        </w:rPr>
        <w:t>$46.3 million for the six months June 30, 2006. The decrease of $46.0 million was primarily due to net proceeds received from the issuance of common stock sold in our initial public offering, sold last year with no corresponding equity sale in the current period.</w:t>
      </w:r>
    </w:p>
    <w:p>
      <w:pPr>
        <w:spacing w:after="0" w:line="7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believe that our existing cash and cash equivalents, the cash generated from our initial public offering and cash generated from our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4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and six months ended June 30, 2007 and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240" w:firstLine="135"/>
        <w:spacing w:after="0" w:line="279"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157”). SFAS 157 defines fair value, establishes a framework for measuring fair value in U.S. GAAP and expands disclosures about fair value measurements. This statement is effective for financial statements issued for fiscal years beginning after November 15, 2007, and interim periods within those fiscal years. The Company will adopt SFAS 157 as required and does not expect the adoption of this standard to have a significant impact on the Company’s financial statements.</w:t>
      </w:r>
    </w:p>
    <w:p>
      <w:pPr>
        <w:spacing w:after="0" w:line="63" w:lineRule="exact"/>
        <w:rPr>
          <w:sz w:val="20"/>
          <w:szCs w:val="20"/>
          <w:color w:val="auto"/>
        </w:rPr>
      </w:pPr>
    </w:p>
    <w:p>
      <w:pPr>
        <w:ind w:right="60" w:firstLine="135"/>
        <w:spacing w:after="0" w:line="272" w:lineRule="auto"/>
        <w:rPr>
          <w:sz w:val="20"/>
          <w:szCs w:val="20"/>
          <w:color w:val="auto"/>
        </w:rPr>
      </w:pPr>
      <w:r>
        <w:rPr>
          <w:rFonts w:ascii="Arial" w:cs="Arial" w:eastAsia="Arial" w:hAnsi="Arial"/>
          <w:sz w:val="17"/>
          <w:szCs w:val="17"/>
          <w:color w:val="auto"/>
        </w:rPr>
        <w:t xml:space="preserve">In February 2007, FASB issued SFAS No. 159, </w:t>
      </w:r>
      <w:r>
        <w:rPr>
          <w:rFonts w:ascii="Arial" w:cs="Arial" w:eastAsia="Arial" w:hAnsi="Arial"/>
          <w:sz w:val="17"/>
          <w:szCs w:val="17"/>
          <w:i w:val="1"/>
          <w:iCs w:val="1"/>
          <w:color w:val="auto"/>
        </w:rPr>
        <w:t>The Fair Value Option for Financial Assets and Financial Liabilities-Including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115 </w:t>
      </w:r>
      <w:r>
        <w:rPr>
          <w:rFonts w:ascii="Arial" w:cs="Arial" w:eastAsia="Arial" w:hAnsi="Arial"/>
          <w:sz w:val="17"/>
          <w:szCs w:val="17"/>
          <w:color w:val="auto"/>
        </w:rPr>
        <w:t>(“SFAS 159”). SFAS 159 provides companies with an option to report selected financial assets and liabilities at fair value that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required to be measured at fair value. Accordingly, companies would then be required to report unrealized gains and losses on these items in earnings at each subsequent reporting date. The objective is to improve financial reporting by providing companies with the opportunity to mitigate volatility in reported earnings caused by measuring related assets and liabilities differently. SFAS 159 also establishes presentation and disclosure requirements designed to facilitate comparisons between companies that choose different measurement attributes for similar types of assets and liabilities. We are currently evaluating the effects of the adoption of SFAS 159 on our results of operations, cash flows, and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had no off-balance sheet arrangements as of June 30, 2007 and December 31, 2006.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invest in a variety of financial instruments, consisting principally of investments in commercial paper, money market funds and debt securities of municipalities and the United States Government and its agencies and may be exposed to market risks related to changes in interest rates. We do not actively manage the risk of interest rate fluctuations on our short-term investments; however, such risk is mitigated by the relatively short-term nature of these investments. These investments are denominated in United States dollars.</w:t>
      </w:r>
    </w:p>
    <w:p>
      <w:pPr>
        <w:spacing w:after="0" w:line="64"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including commercial paper, money market funds and corporate debt securities. Our cash and cash equivalents at June 30, 2007 and December 31, 2006 included liquid money market accounts. All market-risk sensitive instruments were entered into for non-trading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Our chief executive officer and chief financial officer, after evaluating the effectiveness of our “disclosure controls and procedures” (as defined in Exchange Act Rules 13a-15(e) and 15d-15(e)) as of June 30, 2007, have concluded that, as of such date, our disclosure controls and procedures were effective based on their evaluation of these controls and procedures required by paragraph (b) of Exchange Act Rules 13(a)-15 or 15d-15.</w:t>
      </w:r>
    </w:p>
    <w:p>
      <w:pPr>
        <w:spacing w:after="0" w:line="5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Our management, including our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have been detected.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320" w:firstLine="222"/>
        <w:spacing w:after="0" w:line="342" w:lineRule="auto"/>
        <w:rPr>
          <w:sz w:val="20"/>
          <w:szCs w:val="20"/>
          <w:color w:val="auto"/>
        </w:rPr>
      </w:pPr>
      <w:r>
        <w:rPr>
          <w:rFonts w:ascii="Arial" w:cs="Arial" w:eastAsia="Arial" w:hAnsi="Arial"/>
          <w:sz w:val="16"/>
          <w:szCs w:val="16"/>
          <w:color w:val="auto"/>
        </w:rPr>
        <w:t>There was no change in our internal controls over financial reporting (as defined in Rule 13a-15(f) of the Exchange Act) that occurred during the three months ended June 30, 2007 that has materially affected, or is reasonably likely to materially affect, our internal controls over financial reporting.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are not currently subject to any material legal proceedings; however, we may from time to time become a party to various legal proceedings arising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1A. Risk Factors” in our Annual Report on Form 10-K for the year ended December 31, 2006,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June 14, 2006, our Registration Statement on Form S-1 (File No. 333-132080) relating to the IPO was declared effective by the SEC. The managing underwriters of the IPO were Goldman, Sachs &amp; Co., Deutsche Bank Securities Inc. and Thomas Weisel Partners LLC. On June 20, 2006, we closed the sale of 6,532,107 shares of common stock in the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There has been no material change in our planned use of proceeds from the IPO from that described in the final prospectus filed with the SEC pursuant to Rule 424(b).</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May 10, 2007, we held our 2007 Annual Meeting of Stockholders. At the meeting, the following matters were approved by the votes specified below:</w:t>
      </w:r>
    </w:p>
    <w:p>
      <w:pPr>
        <w:spacing w:after="0" w:line="140" w:lineRule="exact"/>
        <w:rPr>
          <w:sz w:val="20"/>
          <w:szCs w:val="20"/>
          <w:color w:val="auto"/>
        </w:rPr>
      </w:pPr>
    </w:p>
    <w:p>
      <w:pPr>
        <w:ind w:left="540" w:hanging="172"/>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Charles E. Hoffman and James M. McCormick were elected to serve as directors of Synchronoss until the 2010 annual meeting or until their</w:t>
      </w:r>
    </w:p>
    <w:p>
      <w:pPr>
        <w:spacing w:after="0" w:line="34"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successors are duly elected and qualified. With respect to Mr. Hoffman 28,590,744 shares of common stock were voted in favor of his election and 351,402 shares of common stock were withheld. With respect to Mr. McCormick 21,046,917 shares of common stock were voted in favor of his election and 7,895,229 shares were withheld. There were no abstentions or broker non-votes. The terms of Messrs. William J. Cadogan, Thomas Hopkins and Stephen G. Waldis continued after the meeting.</w:t>
      </w:r>
    </w:p>
    <w:p>
      <w:pPr>
        <w:spacing w:after="0" w:line="81" w:lineRule="exact"/>
        <w:rPr>
          <w:rFonts w:ascii="Arial" w:cs="Arial" w:eastAsia="Arial" w:hAnsi="Arial"/>
          <w:sz w:val="17"/>
          <w:szCs w:val="17"/>
          <w:color w:val="auto"/>
        </w:rPr>
      </w:pPr>
    </w:p>
    <w:p>
      <w:pPr>
        <w:ind w:firstLine="368"/>
        <w:spacing w:after="0" w:line="264" w:lineRule="auto"/>
        <w:tabs>
          <w:tab w:leader="none" w:pos="5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Ernst &amp; Young LLP as our independent registered accounting firm for the year ended December 31, 2007 was approved. The votes were cast as follows: 28,922,423 shares of common stock were voted for the ratification, 11,258 shares of common stock were voted against the ratification and 8,465 shares of common stock abstained from the vote. There were no broker non-votes.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14"/>
                <w:szCs w:val="14"/>
                <w:color w:val="auto"/>
              </w:rPr>
            </w:pPr>
          </w:p>
        </w:tc>
        <w:tc>
          <w:tcPr>
            <w:tcW w:w="10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6073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President and Chief Executive Officer (Principal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July 30, 2007</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20"/>
          </w:cols>
          <w:pgMar w:left="240" w:top="419" w:right="11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2007;</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July 30,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Chairman of the Board of Directors, President &amp;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bl>
    <w:p>
      <w:pPr>
        <w:sectPr>
          <w:pgSz w:w="11900" w:h="16838" w:orient="portrait"/>
          <w:cols w:equalWidth="0" w:num="1">
            <w:col w:w="11420"/>
          </w:cols>
          <w:pgMar w:left="240" w:top="9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2007;</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July 30,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ectPr>
          <w:pgSz w:w="11900" w:h="16838" w:orient="portrait"/>
          <w:cols w:equalWidth="0" w:num="1">
            <w:col w:w="11420"/>
          </w:cols>
          <w:pgMar w:left="240" w:top="9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June 30, 2007, as filed with the Securities and Exchange Commission on the date hereof (the “Report”), I, Stephen G. Waldis, the Chairman of the Board of Directors, President &amp; Chief Executive Officer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July 30,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Chairman of the Board of Directors, President &amp;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9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June 30, 2007,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July 30,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2019-12-15T03:38:26Z</dcterms:created>
  <dcterms:modified xsi:type="dcterms:W3CDTF">2019-12-15T03:38:26Z</dcterms:modified>
</cp:coreProperties>
</file>