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511810</wp:posOffset>
            </wp:positionV>
            <wp:extent cx="711517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28" w:lineRule="exact"/>
        <w:rPr>
          <w:sz w:val="24"/>
          <w:szCs w:val="24"/>
          <w:color w:val="auto"/>
        </w:rPr>
      </w:pPr>
    </w:p>
    <w:p>
      <w:pPr>
        <w:ind w:left="1020" w:hanging="594"/>
        <w:spacing w:after="0"/>
        <w:tabs>
          <w:tab w:leader="none" w:pos="102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wp:posOffset>
            </wp:positionH>
            <wp:positionV relativeFrom="paragraph">
              <wp:posOffset>-85090</wp:posOffset>
            </wp:positionV>
            <wp:extent cx="78105" cy="79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46" w:lineRule="exact"/>
        <w:rPr>
          <w:sz w:val="24"/>
          <w:szCs w:val="24"/>
          <w:color w:val="auto"/>
        </w:rPr>
      </w:pPr>
    </w:p>
    <w:p>
      <w:pPr>
        <w:ind w:left="1020" w:hanging="594"/>
        <w:spacing w:after="0"/>
        <w:tabs>
          <w:tab w:leader="none" w:pos="10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wp:posOffset>
            </wp:positionH>
            <wp:positionV relativeFrom="paragraph">
              <wp:posOffset>-92075</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316"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0" w:lineRule="exact"/>
        <w:rPr>
          <w:sz w:val="24"/>
          <w:szCs w:val="24"/>
          <w:color w:val="auto"/>
        </w:rPr>
      </w:pPr>
    </w:p>
    <w:p>
      <w:pPr>
        <w:sectPr>
          <w:pgSz w:w="11900" w:h="16838" w:orient="portrait"/>
          <w:cols w:equalWidth="0" w:num="2">
            <w:col w:w="6400" w:space="400"/>
            <w:col w:w="4440"/>
          </w:cols>
          <w:pgMar w:left="320" w:top="233" w:right="3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number 000-52049</w:t>
      </w:r>
    </w:p>
    <w:p>
      <w:pPr>
        <w:sectPr>
          <w:pgSz w:w="11900" w:h="16838" w:orient="portrait"/>
          <w:cols w:equalWidth="0" w:num="1">
            <w:col w:w="11240"/>
          </w:cols>
          <w:pgMar w:left="320" w:top="233" w:right="339" w:bottom="1440" w:gutter="0" w:footer="0" w:header="0"/>
          <w:type w:val="continuous"/>
        </w:sect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SYNCHRONOSS TECHNOLOGIES, INC.</w:t>
      </w:r>
    </w:p>
    <w:p>
      <w:pPr>
        <w:spacing w:after="0" w:line="40" w:lineRule="exact"/>
        <w:rPr>
          <w:sz w:val="24"/>
          <w:szCs w:val="24"/>
          <w:color w:val="auto"/>
        </w:rPr>
      </w:pPr>
    </w:p>
    <w:tbl>
      <w:tblPr>
        <w:tblLayout w:type="fixed"/>
        <w:tblInd w:w="1520" w:type="dxa"/>
        <w:tblCellMar>
          <w:top w:w="0" w:type="dxa"/>
          <w:left w:w="0" w:type="dxa"/>
          <w:bottom w:w="0" w:type="dxa"/>
          <w:right w:w="0" w:type="dxa"/>
        </w:tblCellMar>
      </w:tblPr>
      <w:tr>
        <w:trPr>
          <w:trHeight w:val="206"/>
        </w:trPr>
        <w:tc>
          <w:tcPr>
            <w:tcW w:w="6040" w:type="dxa"/>
            <w:vAlign w:val="bottom"/>
          </w:tcPr>
          <w:p>
            <w:pPr>
              <w:jc w:val="center"/>
              <w:ind w:left="2099"/>
              <w:spacing w:after="0"/>
              <w:rPr>
                <w:sz w:val="20"/>
                <w:szCs w:val="20"/>
                <w:color w:val="auto"/>
              </w:rPr>
            </w:pPr>
            <w:r>
              <w:rPr>
                <w:rFonts w:ascii="Arial" w:cs="Arial" w:eastAsia="Arial" w:hAnsi="Arial"/>
                <w:sz w:val="16"/>
                <w:szCs w:val="16"/>
                <w:color w:val="auto"/>
                <w:w w:val="91"/>
              </w:rPr>
              <w:t>(Exact name of registrant as specified in its charter)</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40" w:type="dxa"/>
            <w:vAlign w:val="bottom"/>
          </w:tcPr>
          <w:p>
            <w:pPr>
              <w:jc w:val="center"/>
              <w:ind w:right="3399"/>
              <w:spacing w:after="0"/>
              <w:rPr>
                <w:sz w:val="20"/>
                <w:szCs w:val="20"/>
                <w:color w:val="auto"/>
              </w:rPr>
            </w:pPr>
            <w:r>
              <w:rPr>
                <w:rFonts w:ascii="Arial" w:cs="Arial" w:eastAsia="Arial" w:hAnsi="Arial"/>
                <w:sz w:val="16"/>
                <w:szCs w:val="16"/>
                <w:b w:val="1"/>
                <w:bCs w:val="1"/>
                <w:color w:val="auto"/>
                <w:w w:val="91"/>
              </w:rPr>
              <w:t>Delaware</w:t>
            </w:r>
          </w:p>
        </w:tc>
        <w:tc>
          <w:tcPr>
            <w:tcW w:w="1440" w:type="dxa"/>
            <w:vAlign w:val="bottom"/>
          </w:tcPr>
          <w:p>
            <w:pPr>
              <w:jc w:val="right"/>
              <w:ind w:right="139"/>
              <w:spacing w:after="0"/>
              <w:rPr>
                <w:sz w:val="20"/>
                <w:szCs w:val="20"/>
                <w:color w:val="auto"/>
              </w:rPr>
            </w:pPr>
            <w:r>
              <w:rPr>
                <w:rFonts w:ascii="Arial" w:cs="Arial" w:eastAsia="Arial" w:hAnsi="Arial"/>
                <w:sz w:val="16"/>
                <w:szCs w:val="16"/>
                <w:b w:val="1"/>
                <w:bCs w:val="1"/>
                <w:color w:val="auto"/>
              </w:rPr>
              <w:t>06-1594540</w:t>
            </w:r>
          </w:p>
        </w:tc>
        <w:tc>
          <w:tcPr>
            <w:tcW w:w="0" w:type="dxa"/>
            <w:vAlign w:val="bottom"/>
          </w:tcPr>
          <w:p>
            <w:pPr>
              <w:spacing w:after="0"/>
              <w:rPr>
                <w:sz w:val="1"/>
                <w:szCs w:val="1"/>
                <w:color w:val="auto"/>
              </w:rPr>
            </w:pPr>
          </w:p>
        </w:tc>
      </w:tr>
      <w:tr>
        <w:trPr>
          <w:trHeight w:val="172"/>
        </w:trPr>
        <w:tc>
          <w:tcPr>
            <w:tcW w:w="6040" w:type="dxa"/>
            <w:vAlign w:val="bottom"/>
          </w:tcPr>
          <w:p>
            <w:pPr>
              <w:jc w:val="center"/>
              <w:ind w:right="3399"/>
              <w:spacing w:after="0" w:line="171" w:lineRule="exact"/>
              <w:rPr>
                <w:sz w:val="20"/>
                <w:szCs w:val="20"/>
                <w:color w:val="auto"/>
              </w:rPr>
            </w:pPr>
            <w:r>
              <w:rPr>
                <w:rFonts w:ascii="Arial" w:cs="Arial" w:eastAsia="Arial" w:hAnsi="Arial"/>
                <w:sz w:val="16"/>
                <w:szCs w:val="16"/>
                <w:color w:val="auto"/>
                <w:w w:val="93"/>
              </w:rPr>
              <w:t>(State or other jurisdiction of</w:t>
            </w:r>
          </w:p>
        </w:tc>
        <w:tc>
          <w:tcPr>
            <w:tcW w:w="1440" w:type="dxa"/>
            <w:vAlign w:val="bottom"/>
          </w:tcPr>
          <w:p>
            <w:pPr>
              <w:jc w:val="center"/>
              <w:ind w:left="159"/>
              <w:spacing w:after="0" w:line="171" w:lineRule="exact"/>
              <w:rPr>
                <w:sz w:val="20"/>
                <w:szCs w:val="20"/>
                <w:color w:val="auto"/>
              </w:rPr>
            </w:pPr>
            <w:r>
              <w:rPr>
                <w:rFonts w:ascii="Arial" w:cs="Arial" w:eastAsia="Arial" w:hAnsi="Arial"/>
                <w:sz w:val="16"/>
                <w:szCs w:val="16"/>
                <w:color w:val="auto"/>
                <w:w w:val="95"/>
              </w:rPr>
              <w:t>(I.R.S. Employer</w:t>
            </w:r>
          </w:p>
        </w:tc>
        <w:tc>
          <w:tcPr>
            <w:tcW w:w="0" w:type="dxa"/>
            <w:vAlign w:val="bottom"/>
          </w:tcPr>
          <w:p>
            <w:pPr>
              <w:spacing w:after="0"/>
              <w:rPr>
                <w:sz w:val="1"/>
                <w:szCs w:val="1"/>
                <w:color w:val="auto"/>
              </w:rPr>
            </w:pPr>
          </w:p>
        </w:tc>
      </w:tr>
      <w:tr>
        <w:trPr>
          <w:trHeight w:val="206"/>
        </w:trPr>
        <w:tc>
          <w:tcPr>
            <w:tcW w:w="6040" w:type="dxa"/>
            <w:vAlign w:val="bottom"/>
          </w:tcPr>
          <w:p>
            <w:pPr>
              <w:jc w:val="center"/>
              <w:ind w:right="3399"/>
              <w:spacing w:after="0"/>
              <w:rPr>
                <w:sz w:val="20"/>
                <w:szCs w:val="20"/>
                <w:color w:val="auto"/>
              </w:rPr>
            </w:pPr>
            <w:r>
              <w:rPr>
                <w:rFonts w:ascii="Arial" w:cs="Arial" w:eastAsia="Arial" w:hAnsi="Arial"/>
                <w:sz w:val="16"/>
                <w:szCs w:val="16"/>
                <w:color w:val="auto"/>
                <w:w w:val="94"/>
              </w:rPr>
              <w:t>incorporation or organization)</w:t>
            </w:r>
          </w:p>
        </w:tc>
        <w:tc>
          <w:tcPr>
            <w:tcW w:w="1440" w:type="dxa"/>
            <w:vAlign w:val="bottom"/>
          </w:tcPr>
          <w:p>
            <w:pPr>
              <w:jc w:val="center"/>
              <w:ind w:left="159"/>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384"/>
        </w:trPr>
        <w:tc>
          <w:tcPr>
            <w:tcW w:w="6040" w:type="dxa"/>
            <w:vAlign w:val="bottom"/>
          </w:tcPr>
          <w:p>
            <w:pPr>
              <w:jc w:val="center"/>
              <w:ind w:right="3379"/>
              <w:spacing w:after="0"/>
              <w:rPr>
                <w:sz w:val="20"/>
                <w:szCs w:val="20"/>
                <w:color w:val="auto"/>
              </w:rPr>
            </w:pPr>
            <w:r>
              <w:rPr>
                <w:rFonts w:ascii="Arial" w:cs="Arial" w:eastAsia="Arial" w:hAnsi="Arial"/>
                <w:sz w:val="16"/>
                <w:szCs w:val="16"/>
                <w:b w:val="1"/>
                <w:bCs w:val="1"/>
                <w:color w:val="auto"/>
                <w:w w:val="91"/>
              </w:rPr>
              <w:t>200 Crossing Boulevard, 8th Floor</w:t>
            </w:r>
          </w:p>
        </w:tc>
        <w:tc>
          <w:tcPr>
            <w:tcW w:w="144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08807</w:t>
            </w:r>
          </w:p>
        </w:tc>
        <w:tc>
          <w:tcPr>
            <w:tcW w:w="0" w:type="dxa"/>
            <w:vAlign w:val="bottom"/>
          </w:tcPr>
          <w:p>
            <w:pPr>
              <w:spacing w:after="0"/>
              <w:rPr>
                <w:sz w:val="1"/>
                <w:szCs w:val="1"/>
                <w:color w:val="auto"/>
              </w:rPr>
            </w:pPr>
          </w:p>
        </w:tc>
      </w:tr>
      <w:tr>
        <w:trPr>
          <w:trHeight w:val="210"/>
        </w:trPr>
        <w:tc>
          <w:tcPr>
            <w:tcW w:w="6040" w:type="dxa"/>
            <w:vAlign w:val="bottom"/>
          </w:tcPr>
          <w:p>
            <w:pPr>
              <w:jc w:val="center"/>
              <w:ind w:right="3399"/>
              <w:spacing w:after="0"/>
              <w:rPr>
                <w:sz w:val="20"/>
                <w:szCs w:val="20"/>
                <w:color w:val="auto"/>
              </w:rPr>
            </w:pPr>
            <w:r>
              <w:rPr>
                <w:rFonts w:ascii="Arial" w:cs="Arial" w:eastAsia="Arial" w:hAnsi="Arial"/>
                <w:sz w:val="16"/>
                <w:szCs w:val="16"/>
                <w:b w:val="1"/>
                <w:bCs w:val="1"/>
                <w:color w:val="auto"/>
                <w:w w:val="90"/>
              </w:rPr>
              <w:t>Bridgewater, New Jersey</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jc w:val="center"/>
              <w:ind w:right="3399"/>
              <w:spacing w:after="0"/>
              <w:rPr>
                <w:sz w:val="20"/>
                <w:szCs w:val="20"/>
                <w:color w:val="auto"/>
              </w:rPr>
            </w:pPr>
            <w:r>
              <w:rPr>
                <w:rFonts w:ascii="Arial" w:cs="Arial" w:eastAsia="Arial" w:hAnsi="Arial"/>
                <w:sz w:val="16"/>
                <w:szCs w:val="16"/>
                <w:color w:val="auto"/>
                <w:w w:val="93"/>
              </w:rPr>
              <w:t>(Address of principal executive offices)</w:t>
            </w:r>
          </w:p>
        </w:tc>
        <w:tc>
          <w:tcPr>
            <w:tcW w:w="1440" w:type="dxa"/>
            <w:vAlign w:val="bottom"/>
          </w:tcPr>
          <w:p>
            <w:pPr>
              <w:jc w:val="center"/>
              <w:ind w:left="159"/>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r>
        <w:trPr>
          <w:trHeight w:val="482"/>
        </w:trPr>
        <w:tc>
          <w:tcPr>
            <w:tcW w:w="6040" w:type="dxa"/>
            <w:vAlign w:val="bottom"/>
          </w:tcPr>
          <w:p>
            <w:pPr>
              <w:jc w:val="right"/>
              <w:ind w:right="1339"/>
              <w:spacing w:after="0"/>
              <w:rPr>
                <w:sz w:val="20"/>
                <w:szCs w:val="20"/>
                <w:color w:val="auto"/>
              </w:rPr>
            </w:pPr>
            <w:r>
              <w:rPr>
                <w:rFonts w:ascii="Arial" w:cs="Arial" w:eastAsia="Arial" w:hAnsi="Arial"/>
                <w:sz w:val="16"/>
                <w:szCs w:val="16"/>
                <w:b w:val="1"/>
                <w:bCs w:val="1"/>
                <w:color w:val="auto"/>
              </w:rPr>
              <w:t>(866) 620-3940</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40" w:type="dxa"/>
            <w:vAlign w:val="bottom"/>
          </w:tcPr>
          <w:p>
            <w:pPr>
              <w:ind w:left="2360"/>
              <w:spacing w:after="0"/>
              <w:rPr>
                <w:sz w:val="20"/>
                <w:szCs w:val="20"/>
                <w:color w:val="auto"/>
              </w:rPr>
            </w:pPr>
            <w:r>
              <w:rPr>
                <w:rFonts w:ascii="Arial" w:cs="Arial" w:eastAsia="Arial" w:hAnsi="Arial"/>
                <w:sz w:val="16"/>
                <w:szCs w:val="16"/>
                <w:color w:val="auto"/>
                <w:w w:val="97"/>
              </w:rPr>
              <w:t>(Registrant’s telephone number, including area code)</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48" w:lineRule="exact"/>
        <w:rPr>
          <w:sz w:val="24"/>
          <w:szCs w:val="24"/>
          <w:color w:val="auto"/>
        </w:rPr>
      </w:pPr>
    </w:p>
    <w:p>
      <w:pPr>
        <w:jc w:val="both"/>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p>
      <w:pPr>
        <w:spacing w:after="0" w:line="95" w:lineRule="exact"/>
        <w:rPr>
          <w:sz w:val="24"/>
          <w:szCs w:val="24"/>
          <w:color w:val="auto"/>
        </w:rPr>
      </w:pPr>
    </w:p>
    <w:p>
      <w:pPr>
        <w:jc w:val="both"/>
        <w:spacing w:after="0" w:line="20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color w:val="auto"/>
        </w:rPr>
        <w:t>x</w:t>
      </w:r>
      <w:r>
        <w:rPr>
          <w:rFonts w:ascii="Arial" w:cs="Arial" w:eastAsia="Arial" w:hAnsi="Arial"/>
          <w:sz w:val="15"/>
          <w:szCs w:val="15"/>
          <w:color w:val="auto"/>
        </w:rPr>
        <w:t xml:space="preserve"> No </w:t>
      </w:r>
      <w:r>
        <w:rPr>
          <w:rFonts w:ascii="MS PGothic" w:cs="MS PGothic" w:eastAsia="MS PGothic" w:hAnsi="MS PGothic"/>
          <w:sz w:val="13"/>
          <w:szCs w:val="13"/>
          <w:color w:val="auto"/>
        </w:rPr>
        <w:t>☐</w:t>
      </w:r>
    </w:p>
    <w:p>
      <w:pPr>
        <w:spacing w:after="0" w:line="162" w:lineRule="exact"/>
        <w:rPr>
          <w:sz w:val="24"/>
          <w:szCs w:val="24"/>
          <w:color w:val="auto"/>
        </w:rPr>
      </w:pPr>
    </w:p>
    <w:p>
      <w:pPr>
        <w:jc w:val="both"/>
        <w:ind w:right="2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 w:lineRule="exact"/>
        <w:rPr>
          <w:sz w:val="24"/>
          <w:szCs w:val="24"/>
          <w:color w:val="auto"/>
        </w:rPr>
      </w:pPr>
    </w:p>
    <w:tbl>
      <w:tblPr>
        <w:tblLayout w:type="fixed"/>
        <w:tblInd w:w="660" w:type="dxa"/>
        <w:tblCellMar>
          <w:top w:w="0" w:type="dxa"/>
          <w:left w:w="0" w:type="dxa"/>
          <w:bottom w:w="0" w:type="dxa"/>
          <w:right w:w="0" w:type="dxa"/>
        </w:tblCellMar>
      </w:tblPr>
      <w:tr>
        <w:trPr>
          <w:trHeight w:val="209"/>
        </w:trPr>
        <w:tc>
          <w:tcPr>
            <w:tcW w:w="2140" w:type="dxa"/>
            <w:vAlign w:val="bottom"/>
          </w:tcPr>
          <w:p>
            <w:pPr>
              <w:jc w:val="center"/>
              <w:ind w:right="299"/>
              <w:spacing w:after="0"/>
              <w:rPr>
                <w:sz w:val="20"/>
                <w:szCs w:val="20"/>
                <w:color w:val="auto"/>
              </w:rPr>
            </w:pPr>
            <w:r>
              <w:rPr>
                <w:rFonts w:ascii="Arial" w:cs="Arial" w:eastAsia="Arial" w:hAnsi="Arial"/>
                <w:sz w:val="16"/>
                <w:szCs w:val="16"/>
                <w:color w:val="auto"/>
                <w:w w:val="90"/>
              </w:rPr>
              <w:t>Large accelerated filer</w:t>
            </w:r>
          </w:p>
        </w:tc>
        <w:tc>
          <w:tcPr>
            <w:tcW w:w="30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jc w:val="center"/>
              <w:ind w:left="2079"/>
              <w:spacing w:after="0"/>
              <w:rPr>
                <w:sz w:val="20"/>
                <w:szCs w:val="20"/>
                <w:color w:val="auto"/>
              </w:rPr>
            </w:pPr>
            <w:r>
              <w:rPr>
                <w:rFonts w:ascii="Arial" w:cs="Arial" w:eastAsia="Arial" w:hAnsi="Arial"/>
                <w:sz w:val="16"/>
                <w:szCs w:val="16"/>
                <w:color w:val="auto"/>
                <w:w w:val="94"/>
              </w:rPr>
              <w:t>Accelerated filer</w:t>
            </w:r>
          </w:p>
        </w:tc>
        <w:tc>
          <w:tcPr>
            <w:tcW w:w="500" w:type="dxa"/>
            <w:vAlign w:val="bottom"/>
          </w:tcPr>
          <w:p>
            <w:pPr>
              <w:jc w:val="center"/>
              <w:ind w:left="264"/>
              <w:spacing w:after="0"/>
              <w:rPr>
                <w:sz w:val="20"/>
                <w:szCs w:val="20"/>
                <w:color w:val="auto"/>
              </w:rPr>
            </w:pPr>
            <w:r>
              <w:rPr>
                <w:rFonts w:ascii="Arial" w:cs="Arial" w:eastAsia="Arial" w:hAnsi="Arial"/>
                <w:sz w:val="14"/>
                <w:szCs w:val="14"/>
                <w:color w:val="auto"/>
              </w:rPr>
              <w:t>x</w:t>
            </w:r>
          </w:p>
        </w:tc>
      </w:tr>
      <w:tr>
        <w:trPr>
          <w:trHeight w:val="216"/>
        </w:trPr>
        <w:tc>
          <w:tcPr>
            <w:tcW w:w="2140" w:type="dxa"/>
            <w:vAlign w:val="bottom"/>
          </w:tcPr>
          <w:p>
            <w:pPr>
              <w:jc w:val="center"/>
              <w:ind w:right="299"/>
              <w:spacing w:after="0"/>
              <w:rPr>
                <w:sz w:val="20"/>
                <w:szCs w:val="20"/>
                <w:color w:val="auto"/>
              </w:rPr>
            </w:pPr>
            <w:r>
              <w:rPr>
                <w:rFonts w:ascii="Arial" w:cs="Arial" w:eastAsia="Arial" w:hAnsi="Arial"/>
                <w:sz w:val="16"/>
                <w:szCs w:val="16"/>
                <w:color w:val="auto"/>
                <w:w w:val="92"/>
              </w:rPr>
              <w:t>Non-accelerated filer</w:t>
            </w:r>
          </w:p>
        </w:tc>
        <w:tc>
          <w:tcPr>
            <w:tcW w:w="30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jc w:val="center"/>
              <w:ind w:left="2099"/>
              <w:spacing w:after="0"/>
              <w:rPr>
                <w:sz w:val="20"/>
                <w:szCs w:val="20"/>
                <w:color w:val="auto"/>
              </w:rPr>
            </w:pPr>
            <w:r>
              <w:rPr>
                <w:rFonts w:ascii="Arial" w:cs="Arial" w:eastAsia="Arial" w:hAnsi="Arial"/>
                <w:sz w:val="16"/>
                <w:szCs w:val="16"/>
                <w:color w:val="auto"/>
                <w:w w:val="92"/>
              </w:rPr>
              <w:t>Smaller Reporting Company</w:t>
            </w:r>
          </w:p>
        </w:tc>
        <w:tc>
          <w:tcPr>
            <w:tcW w:w="500" w:type="dxa"/>
            <w:vAlign w:val="bottom"/>
          </w:tcPr>
          <w:p>
            <w:pPr>
              <w:jc w:val="center"/>
              <w:ind w:left="264"/>
              <w:spacing w:after="0" w:line="161" w:lineRule="exact"/>
              <w:rPr>
                <w:sz w:val="20"/>
                <w:szCs w:val="20"/>
                <w:color w:val="auto"/>
              </w:rPr>
            </w:pPr>
            <w:r>
              <w:rPr>
                <w:rFonts w:ascii="MS PGothic" w:cs="MS PGothic" w:eastAsia="MS PGothic" w:hAnsi="MS PGothic"/>
                <w:sz w:val="16"/>
                <w:szCs w:val="16"/>
                <w:color w:val="auto"/>
                <w:w w:val="99"/>
              </w:rPr>
              <w:t>☐</w:t>
            </w:r>
          </w:p>
        </w:tc>
      </w:tr>
      <w:tr>
        <w:trPr>
          <w:trHeight w:val="254"/>
        </w:trPr>
        <w:tc>
          <w:tcPr>
            <w:tcW w:w="2140" w:type="dxa"/>
            <w:vAlign w:val="bottom"/>
          </w:tcPr>
          <w:p>
            <w:pPr>
              <w:jc w:val="center"/>
              <w:ind w:right="299"/>
              <w:spacing w:after="0"/>
              <w:rPr>
                <w:sz w:val="20"/>
                <w:szCs w:val="20"/>
                <w:color w:val="auto"/>
              </w:rPr>
            </w:pPr>
            <w:r>
              <w:rPr>
                <w:rFonts w:ascii="Arial" w:cs="Arial" w:eastAsia="Arial" w:hAnsi="Arial"/>
                <w:sz w:val="16"/>
                <w:szCs w:val="16"/>
                <w:color w:val="auto"/>
                <w:w w:val="92"/>
              </w:rPr>
              <w:t>Emerging growth company</w:t>
            </w:r>
          </w:p>
        </w:tc>
        <w:tc>
          <w:tcPr>
            <w:tcW w:w="30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86"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4"/>
          <w:szCs w:val="14"/>
          <w:color w:val="auto"/>
        </w:rPr>
        <w:t>x</w:t>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33" w:right="339" w:bottom="1440" w:gutter="0" w:footer="0" w:header="0"/>
          <w:type w:val="continuous"/>
        </w:sectPr>
      </w:pPr>
    </w:p>
    <w:p>
      <w:pPr>
        <w:spacing w:after="0" w:line="154" w:lineRule="exact"/>
        <w:rPr>
          <w:sz w:val="24"/>
          <w:szCs w:val="24"/>
          <w:color w:val="auto"/>
        </w:rPr>
      </w:pPr>
    </w:p>
    <w:p>
      <w:pPr>
        <w:ind w:left="17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55" w:lineRule="exact"/>
        <w:rPr>
          <w:sz w:val="24"/>
          <w:szCs w:val="24"/>
          <w:color w:val="auto"/>
        </w:rPr>
      </w:pPr>
    </w:p>
    <w:p>
      <w:pPr>
        <w:sectPr>
          <w:pgSz w:w="11900" w:h="16838" w:orient="portrait"/>
          <w:cols w:equalWidth="0" w:num="3">
            <w:col w:w="4300" w:space="720"/>
            <w:col w:w="1720" w:space="720"/>
            <w:col w:w="3780"/>
          </w:cols>
          <w:pgMar w:left="320" w:top="233" w:right="339" w:bottom="1440" w:gutter="0" w:footer="0" w:header="0"/>
          <w:type w:val="continuous"/>
        </w:sectPr>
      </w:pPr>
    </w:p>
    <w:p>
      <w:pPr>
        <w:ind w:left="900"/>
        <w:spacing w:after="0"/>
        <w:rPr>
          <w:sz w:val="20"/>
          <w:szCs w:val="20"/>
          <w:color w:val="auto"/>
        </w:rPr>
      </w:pPr>
      <w:r>
        <w:rPr>
          <w:rFonts w:ascii="Arial" w:cs="Arial" w:eastAsia="Arial" w:hAnsi="Arial"/>
          <w:sz w:val="14"/>
          <w:szCs w:val="14"/>
          <w:color w:val="auto"/>
        </w:rPr>
        <w:t>Common Stock, par value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SNCR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150" w:lineRule="exact"/>
        <w:rPr>
          <w:sz w:val="24"/>
          <w:szCs w:val="24"/>
          <w:color w:val="auto"/>
        </w:rPr>
      </w:pPr>
    </w:p>
    <w:p>
      <w:pPr>
        <w:sectPr>
          <w:pgSz w:w="11900" w:h="16838" w:orient="portrait"/>
          <w:cols w:equalWidth="0" w:num="3">
            <w:col w:w="4700" w:space="720"/>
            <w:col w:w="1720" w:space="720"/>
            <w:col w:w="3380"/>
          </w:cols>
          <w:pgMar w:left="320" w:top="233" w:right="339" w:bottom="1440" w:gutter="0" w:footer="0" w:header="0"/>
          <w:type w:val="continuous"/>
        </w:sectPr>
      </w:pPr>
    </w:p>
    <w:p>
      <w:pPr>
        <w:spacing w:after="0"/>
        <w:rPr>
          <w:sz w:val="20"/>
          <w:szCs w:val="20"/>
          <w:color w:val="auto"/>
        </w:rPr>
      </w:pPr>
      <w:r>
        <w:rPr>
          <w:rFonts w:ascii="Arial" w:cs="Arial" w:eastAsia="Arial" w:hAnsi="Arial"/>
          <w:sz w:val="14"/>
          <w:szCs w:val="14"/>
          <w:color w:val="auto"/>
        </w:rPr>
        <w:t>As of November 05, 2020, there were 44,105,881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14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840" w:type="dxa"/>
            <w:vAlign w:val="bottom"/>
          </w:tcPr>
          <w:p>
            <w:pPr>
              <w:spacing w:after="0"/>
              <w:rPr>
                <w:sz w:val="24"/>
                <w:szCs w:val="24"/>
                <w:color w:val="auto"/>
              </w:rPr>
            </w:pPr>
          </w:p>
        </w:tc>
        <w:tc>
          <w:tcPr>
            <w:tcW w:w="9300" w:type="dxa"/>
            <w:vAlign w:val="bottom"/>
          </w:tcPr>
          <w:p>
            <w:pPr>
              <w:ind w:left="3440"/>
              <w:spacing w:after="0"/>
              <w:rPr>
                <w:sz w:val="20"/>
                <w:szCs w:val="20"/>
                <w:color w:val="auto"/>
              </w:rPr>
            </w:pPr>
            <w:r>
              <w:rPr>
                <w:rFonts w:ascii="Arial" w:cs="Arial" w:eastAsia="Arial" w:hAnsi="Arial"/>
                <w:sz w:val="18"/>
                <w:szCs w:val="18"/>
                <w:b w:val="1"/>
                <w:bCs w:val="1"/>
                <w:color w:val="auto"/>
              </w:rPr>
              <w:t>SYNCHRONOSS TECHNOLOGIES, INC.</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9300" w:type="dxa"/>
            <w:vAlign w:val="bottom"/>
          </w:tcPr>
          <w:p>
            <w:pPr>
              <w:ind w:left="4300"/>
              <w:spacing w:after="0"/>
              <w:rPr>
                <w:sz w:val="20"/>
                <w:szCs w:val="20"/>
                <w:color w:val="auto"/>
              </w:rPr>
            </w:pPr>
            <w:r>
              <w:rPr>
                <w:rFonts w:ascii="Arial" w:cs="Arial" w:eastAsia="Arial" w:hAnsi="Arial"/>
                <w:sz w:val="18"/>
                <w:szCs w:val="18"/>
                <w:b w:val="1"/>
                <w:bCs w:val="1"/>
                <w:color w:val="auto"/>
              </w:rPr>
              <w:t>FORM 10-Q INDEX</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840" w:type="dxa"/>
            <w:vAlign w:val="bottom"/>
          </w:tcPr>
          <w:p>
            <w:pPr>
              <w:spacing w:after="0"/>
              <w:rPr>
                <w:sz w:val="24"/>
                <w:szCs w:val="24"/>
                <w:color w:val="auto"/>
              </w:rPr>
            </w:pPr>
          </w:p>
        </w:tc>
        <w:tc>
          <w:tcPr>
            <w:tcW w:w="9300" w:type="dxa"/>
            <w:vAlign w:val="bottom"/>
            <w:vMerge w:val="restart"/>
          </w:tcPr>
          <w:p>
            <w:pPr>
              <w:ind w:left="18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FINANCIAL INFORMATION</w:t>
              </w:r>
            </w:hyperlink>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24"/>
        </w:trPr>
        <w:tc>
          <w:tcPr>
            <w:tcW w:w="840" w:type="dxa"/>
            <w:vAlign w:val="bottom"/>
          </w:tcPr>
          <w:p>
            <w:pPr>
              <w:ind w:left="20"/>
              <w:spacing w:after="0"/>
              <w:rPr>
                <w:rFonts w:ascii="Arial" w:cs="Arial" w:eastAsia="Arial" w:hAnsi="Arial"/>
                <w:sz w:val="18"/>
                <w:szCs w:val="18"/>
                <w:color w:val="0000FF"/>
              </w:rPr>
            </w:pPr>
            <w:hyperlink w:anchor="page2">
              <w:r>
                <w:rPr>
                  <w:rFonts w:ascii="Arial" w:cs="Arial" w:eastAsia="Arial" w:hAnsi="Arial"/>
                  <w:sz w:val="18"/>
                  <w:szCs w:val="18"/>
                  <w:u w:val="single" w:color="auto"/>
                  <w:color w:val="0000FF"/>
                </w:rPr>
                <w:t>PART I</w:t>
              </w:r>
              <w:r>
                <w:rPr>
                  <w:rFonts w:ascii="Arial" w:cs="Arial" w:eastAsia="Arial" w:hAnsi="Arial"/>
                  <w:sz w:val="18"/>
                  <w:szCs w:val="18"/>
                  <w:color w:val="0000FF"/>
                </w:rPr>
                <w:t>.</w:t>
              </w:r>
            </w:hyperlink>
          </w:p>
        </w:tc>
        <w:tc>
          <w:tcPr>
            <w:tcW w:w="9300" w:type="dxa"/>
            <w:vAlign w:val="bottom"/>
            <w:vMerge w:val="continue"/>
          </w:tcPr>
          <w:p>
            <w:pPr>
              <w:spacing w:after="0"/>
              <w:rPr>
                <w:sz w:val="19"/>
                <w:szCs w:val="19"/>
                <w:color w:val="auto"/>
              </w:rPr>
            </w:pPr>
          </w:p>
        </w:tc>
        <w:tc>
          <w:tcPr>
            <w:tcW w:w="1060" w:type="dxa"/>
            <w:vAlign w:val="bottom"/>
            <w:tcBorders>
              <w:top w:val="single" w:sz="8" w:color="auto"/>
            </w:tcBorders>
          </w:tcPr>
          <w:p>
            <w:pPr>
              <w:jc w:val="center"/>
              <w:spacing w:after="0"/>
              <w:rPr>
                <w:rFonts w:ascii="Arial" w:cs="Arial" w:eastAsia="Arial" w:hAnsi="Arial"/>
                <w:sz w:val="18"/>
                <w:szCs w:val="18"/>
                <w:u w:val="single" w:color="auto"/>
                <w:color w:val="0000FF"/>
                <w:w w:val="99"/>
              </w:rPr>
            </w:pPr>
            <w:hyperlink w:anchor="page2">
              <w:r>
                <w:rPr>
                  <w:rFonts w:ascii="Arial" w:cs="Arial" w:eastAsia="Arial" w:hAnsi="Arial"/>
                  <w:sz w:val="18"/>
                  <w:szCs w:val="18"/>
                  <w:u w:val="single" w:color="auto"/>
                  <w:color w:val="0000FF"/>
                  <w:w w:val="99"/>
                </w:rPr>
                <w:t>3</w:t>
              </w:r>
            </w:hyperlink>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84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300" w:type="dxa"/>
            <w:vAlign w:val="bottom"/>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Financial Statements and Notes</w:t>
              </w:r>
            </w:hyperlink>
          </w:p>
        </w:tc>
        <w:tc>
          <w:tcPr>
            <w:tcW w:w="106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tcPr>
          <w:p>
            <w:pPr>
              <w:spacing w:after="0"/>
              <w:rPr>
                <w:sz w:val="24"/>
                <w:szCs w:val="24"/>
                <w:color w:val="auto"/>
              </w:rPr>
            </w:pPr>
          </w:p>
        </w:tc>
        <w:tc>
          <w:tcPr>
            <w:tcW w:w="9300" w:type="dxa"/>
            <w:vAlign w:val="bottom"/>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(unaudited)</w:t>
              </w:r>
            </w:hyperlink>
          </w:p>
        </w:tc>
        <w:tc>
          <w:tcPr>
            <w:tcW w:w="106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3</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tcPr>
          <w:p>
            <w:pPr>
              <w:spacing w:after="0"/>
              <w:rPr>
                <w:sz w:val="24"/>
                <w:szCs w:val="24"/>
                <w:color w:val="auto"/>
              </w:rPr>
            </w:pPr>
          </w:p>
        </w:tc>
        <w:tc>
          <w:tcPr>
            <w:tcW w:w="9300" w:type="dxa"/>
            <w:vAlign w:val="bottom"/>
          </w:tcPr>
          <w:p>
            <w:pPr>
              <w:ind w:left="1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 (unaudited)</w:t>
              </w:r>
            </w:hyperlink>
          </w:p>
        </w:tc>
        <w:tc>
          <w:tcPr>
            <w:tcW w:w="106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4</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40" w:type="dxa"/>
            <w:vAlign w:val="bottom"/>
          </w:tcPr>
          <w:p>
            <w:pPr>
              <w:spacing w:after="0"/>
              <w:rPr>
                <w:sz w:val="24"/>
                <w:szCs w:val="24"/>
                <w:color w:val="auto"/>
              </w:rPr>
            </w:pPr>
          </w:p>
        </w:tc>
        <w:tc>
          <w:tcPr>
            <w:tcW w:w="9300" w:type="dxa"/>
            <w:vAlign w:val="bottom"/>
          </w:tcPr>
          <w:p>
            <w:pPr>
              <w:ind w:left="1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 (Loss) (unaudited)</w:t>
              </w:r>
            </w:hyperlink>
          </w:p>
        </w:tc>
        <w:tc>
          <w:tcPr>
            <w:tcW w:w="106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tcPr>
          <w:p>
            <w:pPr>
              <w:spacing w:after="0"/>
              <w:rPr>
                <w:sz w:val="24"/>
                <w:szCs w:val="24"/>
                <w:color w:val="auto"/>
              </w:rPr>
            </w:pPr>
          </w:p>
        </w:tc>
        <w:tc>
          <w:tcPr>
            <w:tcW w:w="9300" w:type="dxa"/>
            <w:vAlign w:val="bottom"/>
          </w:tcPr>
          <w:p>
            <w:pPr>
              <w:ind w:left="1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Stockholders’ Equity (unaudited)</w:t>
              </w:r>
            </w:hyperlink>
          </w:p>
        </w:tc>
        <w:tc>
          <w:tcPr>
            <w:tcW w:w="1060" w:type="dxa"/>
            <w:vAlign w:val="bottom"/>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40" w:type="dxa"/>
            <w:vAlign w:val="bottom"/>
          </w:tcPr>
          <w:p>
            <w:pPr>
              <w:spacing w:after="0"/>
              <w:rPr>
                <w:sz w:val="24"/>
                <w:szCs w:val="24"/>
                <w:color w:val="auto"/>
              </w:rPr>
            </w:pPr>
          </w:p>
        </w:tc>
        <w:tc>
          <w:tcPr>
            <w:tcW w:w="9300" w:type="dxa"/>
            <w:vAlign w:val="bottom"/>
          </w:tcPr>
          <w:p>
            <w:pPr>
              <w:ind w:left="1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 (unaudited)</w:t>
              </w:r>
            </w:hyperlink>
          </w:p>
        </w:tc>
        <w:tc>
          <w:tcPr>
            <w:tcW w:w="1060" w:type="dxa"/>
            <w:vAlign w:val="bottom"/>
          </w:tcPr>
          <w:p>
            <w:pPr>
              <w:jc w:val="cente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tcPr>
          <w:p>
            <w:pPr>
              <w:spacing w:after="0"/>
              <w:rPr>
                <w:sz w:val="24"/>
                <w:szCs w:val="24"/>
                <w:color w:val="auto"/>
              </w:rPr>
            </w:pPr>
          </w:p>
        </w:tc>
        <w:tc>
          <w:tcPr>
            <w:tcW w:w="9300" w:type="dxa"/>
            <w:vAlign w:val="bottom"/>
          </w:tcPr>
          <w:p>
            <w:pPr>
              <w:ind w:left="1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 (unaudited)</w:t>
              </w:r>
            </w:hyperlink>
          </w:p>
        </w:tc>
        <w:tc>
          <w:tcPr>
            <w:tcW w:w="1060" w:type="dxa"/>
            <w:vAlign w:val="bottom"/>
          </w:tcPr>
          <w:p>
            <w:pPr>
              <w:jc w:val="center"/>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8"/>
        </w:trPr>
        <w:tc>
          <w:tcPr>
            <w:tcW w:w="840" w:type="dxa"/>
            <w:vAlign w:val="bottom"/>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2.</w:t>
              </w:r>
            </w:hyperlink>
          </w:p>
        </w:tc>
        <w:tc>
          <w:tcPr>
            <w:tcW w:w="9300" w:type="dxa"/>
            <w:vAlign w:val="bottom"/>
          </w:tcPr>
          <w:p>
            <w:pPr>
              <w:ind w:left="18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Management’s Discussion and Analysis of Financial Condition and Results of Operations</w:t>
              </w:r>
            </w:hyperlink>
          </w:p>
        </w:tc>
        <w:tc>
          <w:tcPr>
            <w:tcW w:w="1060" w:type="dxa"/>
            <w:vAlign w:val="bottom"/>
          </w:tcPr>
          <w:p>
            <w:pPr>
              <w:jc w:val="center"/>
              <w:spacing w:after="0"/>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30</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3.</w:t>
              </w:r>
            </w:hyperlink>
          </w:p>
        </w:tc>
        <w:tc>
          <w:tcPr>
            <w:tcW w:w="9300" w:type="dxa"/>
            <w:vAlign w:val="bottom"/>
          </w:tcPr>
          <w:p>
            <w:pPr>
              <w:ind w:left="18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Quantitative and Qualitative Disclosures About Market Risk</w:t>
              </w:r>
            </w:hyperlink>
          </w:p>
        </w:tc>
        <w:tc>
          <w:tcPr>
            <w:tcW w:w="1060" w:type="dxa"/>
            <w:vAlign w:val="bottom"/>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42</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4.</w:t>
              </w:r>
            </w:hyperlink>
          </w:p>
        </w:tc>
        <w:tc>
          <w:tcPr>
            <w:tcW w:w="9300" w:type="dxa"/>
            <w:vAlign w:val="bottom"/>
          </w:tcPr>
          <w:p>
            <w:pPr>
              <w:ind w:left="18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Controls and Procedures</w:t>
              </w:r>
            </w:hyperlink>
          </w:p>
        </w:tc>
        <w:tc>
          <w:tcPr>
            <w:tcW w:w="106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44</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840" w:type="dxa"/>
            <w:vAlign w:val="bottom"/>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PART II.</w:t>
              </w:r>
            </w:hyperlink>
          </w:p>
        </w:tc>
        <w:tc>
          <w:tcPr>
            <w:tcW w:w="9300" w:type="dxa"/>
            <w:vAlign w:val="bottom"/>
          </w:tcPr>
          <w:p>
            <w:pPr>
              <w:ind w:left="18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OTHER INFORMATION</w:t>
              </w:r>
            </w:hyperlink>
          </w:p>
        </w:tc>
        <w:tc>
          <w:tcPr>
            <w:tcW w:w="106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1.</w:t>
              </w:r>
            </w:hyperlink>
          </w:p>
        </w:tc>
        <w:tc>
          <w:tcPr>
            <w:tcW w:w="9300" w:type="dxa"/>
            <w:vAlign w:val="bottom"/>
          </w:tcPr>
          <w:p>
            <w:pPr>
              <w:ind w:left="1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Legal Proceedings</w:t>
              </w:r>
            </w:hyperlink>
          </w:p>
        </w:tc>
        <w:tc>
          <w:tcPr>
            <w:tcW w:w="106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1A.</w:t>
              </w:r>
            </w:hyperlink>
          </w:p>
        </w:tc>
        <w:tc>
          <w:tcPr>
            <w:tcW w:w="9300" w:type="dxa"/>
            <w:vAlign w:val="bottom"/>
          </w:tcPr>
          <w:p>
            <w:pPr>
              <w:ind w:left="1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Risk Factors</w:t>
              </w:r>
            </w:hyperlink>
          </w:p>
        </w:tc>
        <w:tc>
          <w:tcPr>
            <w:tcW w:w="106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2.</w:t>
              </w:r>
            </w:hyperlink>
          </w:p>
        </w:tc>
        <w:tc>
          <w:tcPr>
            <w:tcW w:w="9300" w:type="dxa"/>
            <w:vAlign w:val="bottom"/>
          </w:tcPr>
          <w:p>
            <w:pPr>
              <w:ind w:left="1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Unregistered Sales of Equity Securities and Use of Proceeds</w:t>
              </w:r>
            </w:hyperlink>
          </w:p>
        </w:tc>
        <w:tc>
          <w:tcPr>
            <w:tcW w:w="106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3.</w:t>
              </w:r>
            </w:hyperlink>
          </w:p>
        </w:tc>
        <w:tc>
          <w:tcPr>
            <w:tcW w:w="9300" w:type="dxa"/>
            <w:vAlign w:val="bottom"/>
          </w:tcPr>
          <w:p>
            <w:pPr>
              <w:ind w:left="1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Defaults Upon Senior Securities</w:t>
              </w:r>
            </w:hyperlink>
          </w:p>
        </w:tc>
        <w:tc>
          <w:tcPr>
            <w:tcW w:w="106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4.</w:t>
              </w:r>
            </w:hyperlink>
          </w:p>
        </w:tc>
        <w:tc>
          <w:tcPr>
            <w:tcW w:w="9300" w:type="dxa"/>
            <w:vAlign w:val="bottom"/>
          </w:tcPr>
          <w:p>
            <w:pPr>
              <w:ind w:left="1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Mine Safety Disclosures</w:t>
              </w:r>
            </w:hyperlink>
          </w:p>
        </w:tc>
        <w:tc>
          <w:tcPr>
            <w:tcW w:w="106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5.</w:t>
              </w:r>
            </w:hyperlink>
          </w:p>
        </w:tc>
        <w:tc>
          <w:tcPr>
            <w:tcW w:w="9300" w:type="dxa"/>
            <w:vAlign w:val="bottom"/>
          </w:tcPr>
          <w:p>
            <w:pPr>
              <w:ind w:left="1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Other Information</w:t>
              </w:r>
            </w:hyperlink>
          </w:p>
        </w:tc>
        <w:tc>
          <w:tcPr>
            <w:tcW w:w="106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45</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0" w:type="dxa"/>
            <w:vAlign w:val="bottom"/>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Item 6.</w:t>
              </w:r>
            </w:hyperlink>
          </w:p>
        </w:tc>
        <w:tc>
          <w:tcPr>
            <w:tcW w:w="9300" w:type="dxa"/>
            <w:vAlign w:val="bottom"/>
          </w:tcPr>
          <w:p>
            <w:pPr>
              <w:ind w:left="18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Exhibits</w:t>
              </w:r>
            </w:hyperlink>
          </w:p>
        </w:tc>
        <w:tc>
          <w:tcPr>
            <w:tcW w:w="1060" w:type="dxa"/>
            <w:vAlign w:val="bottom"/>
          </w:tcPr>
          <w:p>
            <w:pPr>
              <w:jc w:val="center"/>
              <w:spacing w:after="0"/>
              <w:rPr>
                <w:rFonts w:ascii="Arial" w:cs="Arial" w:eastAsia="Arial" w:hAnsi="Arial"/>
                <w:sz w:val="18"/>
                <w:szCs w:val="18"/>
                <w:u w:val="single" w:color="auto"/>
                <w:color w:val="0000FF"/>
                <w:w w:val="89"/>
              </w:rPr>
            </w:pPr>
            <w:hyperlink w:anchor="page45">
              <w:r>
                <w:rPr>
                  <w:rFonts w:ascii="Arial" w:cs="Arial" w:eastAsia="Arial" w:hAnsi="Arial"/>
                  <w:sz w:val="18"/>
                  <w:szCs w:val="18"/>
                  <w:u w:val="single" w:color="auto"/>
                  <w:color w:val="0000FF"/>
                  <w:w w:val="89"/>
                </w:rPr>
                <w:t>46</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140" w:type="dxa"/>
            <w:vAlign w:val="bottom"/>
            <w:gridSpan w:val="2"/>
          </w:tcPr>
          <w:p>
            <w:pPr>
              <w:ind w:left="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SIGNATURES</w:t>
              </w:r>
            </w:hyperlink>
          </w:p>
        </w:tc>
        <w:tc>
          <w:tcPr>
            <w:tcW w:w="1060" w:type="dxa"/>
            <w:vAlign w:val="bottom"/>
          </w:tcPr>
          <w:p>
            <w:pPr>
              <w:jc w:val="center"/>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47</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5"/>
        </w:trPr>
        <w:tc>
          <w:tcPr>
            <w:tcW w:w="84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AND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 (In thousands)</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540" w:type="dxa"/>
            <w:vAlign w:val="bottom"/>
          </w:tcPr>
          <w:p>
            <w:pPr>
              <w:jc w:val="right"/>
              <w:ind w:right="199"/>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6"/>
        </w:trPr>
        <w:tc>
          <w:tcPr>
            <w:tcW w:w="7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ind w:left="350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restricted 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39,001</w:t>
            </w:r>
          </w:p>
        </w:tc>
        <w:tc>
          <w:tcPr>
            <w:tcW w:w="0" w:type="dxa"/>
            <w:vAlign w:val="bottom"/>
          </w:tcPr>
          <w:p>
            <w:pPr>
              <w:spacing w:after="0"/>
              <w:rPr>
                <w:sz w:val="1"/>
                <w:szCs w:val="1"/>
                <w:color w:val="auto"/>
              </w:rPr>
            </w:pPr>
          </w:p>
        </w:tc>
      </w:tr>
      <w:tr>
        <w:trPr>
          <w:trHeight w:val="213"/>
        </w:trPr>
        <w:tc>
          <w:tcPr>
            <w:tcW w:w="7620" w:type="dxa"/>
            <w:vAlign w:val="bottom"/>
          </w:tcPr>
          <w:p>
            <w:pPr>
              <w:ind w:left="200"/>
              <w:spacing w:after="0"/>
              <w:rPr>
                <w:sz w:val="20"/>
                <w:szCs w:val="20"/>
                <w:color w:val="auto"/>
              </w:rPr>
            </w:pPr>
            <w:r>
              <w:rPr>
                <w:rFonts w:ascii="Arial" w:cs="Arial" w:eastAsia="Arial" w:hAnsi="Arial"/>
                <w:sz w:val="16"/>
                <w:szCs w:val="16"/>
                <w:color w:val="auto"/>
              </w:rPr>
              <w:t>Marketable securities, current</w:t>
            </w: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65,863</w:t>
            </w:r>
          </w:p>
        </w:tc>
        <w:tc>
          <w:tcPr>
            <w:tcW w:w="0" w:type="dxa"/>
            <w:vAlign w:val="bottom"/>
          </w:tcPr>
          <w:p>
            <w:pPr>
              <w:spacing w:after="0"/>
              <w:rPr>
                <w:sz w:val="1"/>
                <w:szCs w:val="1"/>
                <w:color w:val="auto"/>
              </w:rPr>
            </w:pPr>
          </w:p>
        </w:tc>
      </w:tr>
      <w:tr>
        <w:trPr>
          <w:trHeight w:val="213"/>
        </w:trPr>
        <w:tc>
          <w:tcPr>
            <w:tcW w:w="76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&amp; Other Current Assets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38,022</w:t>
            </w:r>
          </w:p>
        </w:tc>
        <w:tc>
          <w:tcPr>
            <w:tcW w:w="0" w:type="dxa"/>
            <w:vAlign w:val="bottom"/>
          </w:tcPr>
          <w:p>
            <w:pPr>
              <w:spacing w:after="0"/>
              <w:rPr>
                <w:sz w:val="1"/>
                <w:szCs w:val="1"/>
                <w:color w:val="auto"/>
              </w:rPr>
            </w:pPr>
          </w:p>
        </w:tc>
      </w:tr>
      <w:tr>
        <w:trPr>
          <w:trHeight w:val="213"/>
        </w:trPr>
        <w:tc>
          <w:tcPr>
            <w:tcW w:w="7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142,897</w:t>
            </w: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26,525</w:t>
            </w:r>
          </w:p>
        </w:tc>
        <w:tc>
          <w:tcPr>
            <w:tcW w:w="0" w:type="dxa"/>
            <w:vAlign w:val="bottom"/>
          </w:tcPr>
          <w:p>
            <w:pPr>
              <w:spacing w:after="0"/>
              <w:rPr>
                <w:sz w:val="1"/>
                <w:szCs w:val="1"/>
                <w:color w:val="auto"/>
              </w:rPr>
            </w:pPr>
          </w:p>
        </w:tc>
      </w:tr>
      <w:tr>
        <w:trPr>
          <w:trHeight w:val="213"/>
        </w:trPr>
        <w:tc>
          <w:tcPr>
            <w:tcW w:w="762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53,965</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222,969</w:t>
            </w:r>
          </w:p>
        </w:tc>
        <w:tc>
          <w:tcPr>
            <w:tcW w:w="0" w:type="dxa"/>
            <w:vAlign w:val="bottom"/>
          </w:tcPr>
          <w:p>
            <w:pPr>
              <w:spacing w:after="0"/>
              <w:rPr>
                <w:sz w:val="1"/>
                <w:szCs w:val="1"/>
                <w:color w:val="auto"/>
              </w:rPr>
            </w:pPr>
          </w:p>
        </w:tc>
      </w:tr>
      <w:tr>
        <w:trPr>
          <w:trHeight w:val="213"/>
        </w:trPr>
        <w:tc>
          <w:tcPr>
            <w:tcW w:w="7620" w:type="dxa"/>
            <w:vAlign w:val="bottom"/>
          </w:tcPr>
          <w:p>
            <w:pPr>
              <w:ind w:left="20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71,487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77,613</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Assets, non-current</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8,054</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361,093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389,126</w:t>
            </w:r>
          </w:p>
        </w:tc>
        <w:tc>
          <w:tcPr>
            <w:tcW w:w="0" w:type="dxa"/>
            <w:vAlign w:val="bottom"/>
          </w:tcPr>
          <w:p>
            <w:pPr>
              <w:spacing w:after="0"/>
              <w:rPr>
                <w:sz w:val="1"/>
                <w:szCs w:val="1"/>
                <w:color w:val="auto"/>
              </w:rPr>
            </w:pPr>
          </w:p>
        </w:tc>
      </w:tr>
      <w:tr>
        <w:trPr>
          <w:trHeight w:val="235"/>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498,574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532,023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11,292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65,987</w:t>
            </w:r>
          </w:p>
        </w:tc>
        <w:tc>
          <w:tcPr>
            <w:tcW w:w="0" w:type="dxa"/>
            <w:vAlign w:val="bottom"/>
          </w:tcPr>
          <w:p>
            <w:pPr>
              <w:spacing w:after="0"/>
              <w:rPr>
                <w:sz w:val="1"/>
                <w:szCs w:val="1"/>
                <w:color w:val="auto"/>
              </w:rPr>
            </w:pPr>
          </w:p>
        </w:tc>
      </w:tr>
      <w:tr>
        <w:trPr>
          <w:trHeight w:val="213"/>
        </w:trPr>
        <w:tc>
          <w:tcPr>
            <w:tcW w:w="7620" w:type="dxa"/>
            <w:vAlign w:val="bottom"/>
          </w:tcPr>
          <w:p>
            <w:pPr>
              <w:ind w:left="200"/>
              <w:spacing w:after="0"/>
              <w:rPr>
                <w:sz w:val="20"/>
                <w:szCs w:val="20"/>
                <w:color w:val="auto"/>
              </w:rPr>
            </w:pPr>
            <w:r>
              <w:rPr>
                <w:rFonts w:ascii="Arial" w:cs="Arial" w:eastAsia="Arial" w:hAnsi="Arial"/>
                <w:sz w:val="16"/>
                <w:szCs w:val="16"/>
                <w:color w:val="auto"/>
              </w:rPr>
              <w:t>Deferred revenues, current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33,897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65,858</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Debt, current</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762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132,882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153,396</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tax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13"/>
        </w:trPr>
        <w:tc>
          <w:tcPr>
            <w:tcW w:w="7620" w:type="dxa"/>
            <w:vAlign w:val="bottom"/>
          </w:tcPr>
          <w:p>
            <w:pPr>
              <w:ind w:left="200"/>
              <w:spacing w:after="0"/>
              <w:rPr>
                <w:sz w:val="20"/>
                <w:szCs w:val="20"/>
                <w:color w:val="auto"/>
              </w:rPr>
            </w:pPr>
            <w:r>
              <w:rPr>
                <w:rFonts w:ascii="Arial" w:cs="Arial" w:eastAsia="Arial" w:hAnsi="Arial"/>
                <w:sz w:val="16"/>
                <w:szCs w:val="16"/>
                <w:color w:val="auto"/>
              </w:rPr>
              <w:t>Deferred revenues, non-current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17,518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21,941</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Leases, non-current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60,976</w:t>
            </w:r>
          </w:p>
        </w:tc>
        <w:tc>
          <w:tcPr>
            <w:tcW w:w="0" w:type="dxa"/>
            <w:vAlign w:val="bottom"/>
          </w:tcPr>
          <w:p>
            <w:pPr>
              <w:spacing w:after="0"/>
              <w:rPr>
                <w:sz w:val="1"/>
                <w:szCs w:val="1"/>
                <w:color w:val="auto"/>
              </w:rPr>
            </w:pPr>
          </w:p>
        </w:tc>
      </w:tr>
      <w:tr>
        <w:trPr>
          <w:trHeight w:val="213"/>
        </w:trPr>
        <w:tc>
          <w:tcPr>
            <w:tcW w:w="762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4,589</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Redeemable noncontrolling interest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620" w:type="dxa"/>
            <w:vAlign w:val="bottom"/>
            <w:shd w:val="clear" w:color="auto" w:fill="CCEEFF"/>
          </w:tcPr>
          <w:p>
            <w:pPr>
              <w:ind w:left="220"/>
              <w:spacing w:after="0" w:line="168" w:lineRule="exact"/>
              <w:rPr>
                <w:sz w:val="20"/>
                <w:szCs w:val="20"/>
                <w:color w:val="auto"/>
              </w:rPr>
            </w:pPr>
            <w:r>
              <w:rPr>
                <w:rFonts w:ascii="Arial" w:cs="Arial" w:eastAsia="Arial" w:hAnsi="Arial"/>
                <w:sz w:val="16"/>
                <w:szCs w:val="16"/>
                <w:color w:val="auto"/>
                <w:w w:val="93"/>
              </w:rPr>
              <w:t>Series A Convertible Participating Perpetual Preferred Stock, $0.0001 par value; 10,000 shares authorized; 242</w:t>
            </w: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227,861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200,865</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issued and outstanding at September 30, 2020</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620" w:type="dxa"/>
            <w:vAlign w:val="bottom"/>
            <w:shd w:val="clear" w:color="auto" w:fill="CCEEFF"/>
          </w:tcPr>
          <w:p>
            <w:pPr>
              <w:ind w:left="220"/>
              <w:spacing w:after="0" w:line="168" w:lineRule="exact"/>
              <w:rPr>
                <w:sz w:val="20"/>
                <w:szCs w:val="20"/>
                <w:color w:val="auto"/>
              </w:rPr>
            </w:pPr>
            <w:r>
              <w:rPr>
                <w:rFonts w:ascii="Arial" w:cs="Arial" w:eastAsia="Arial" w:hAnsi="Arial"/>
                <w:sz w:val="16"/>
                <w:szCs w:val="16"/>
                <w:color w:val="auto"/>
                <w:w w:val="95"/>
              </w:rPr>
              <w:t>Common stock, $0.0001 par value; 100,000 shares authorized, 51,521 and 51,704 shares issued; 44,359 and</w:t>
            </w: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2"/>
        </w:trPr>
        <w:tc>
          <w:tcPr>
            <w:tcW w:w="7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44,542 outstanding at September 30, 2020 and December 31, 2019, respectively</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tcPr>
          <w:p>
            <w:pPr>
              <w:ind w:left="220"/>
              <w:spacing w:after="0"/>
              <w:rPr>
                <w:sz w:val="20"/>
                <w:szCs w:val="20"/>
                <w:color w:val="auto"/>
              </w:rPr>
            </w:pPr>
            <w:r>
              <w:rPr>
                <w:rFonts w:ascii="Arial" w:cs="Arial" w:eastAsia="Arial" w:hAnsi="Arial"/>
                <w:sz w:val="16"/>
                <w:szCs w:val="16"/>
                <w:color w:val="auto"/>
                <w:w w:val="94"/>
              </w:rPr>
              <w:t>Treasury stock, at cost (7,162 and 7,162 shares at September 30, 2020 and December 31, 2019, respectively)</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(82,087)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(82,087)</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525,739</w:t>
            </w:r>
          </w:p>
        </w:tc>
        <w:tc>
          <w:tcPr>
            <w:tcW w:w="0" w:type="dxa"/>
            <w:vAlign w:val="bottom"/>
          </w:tcPr>
          <w:p>
            <w:pPr>
              <w:spacing w:after="0"/>
              <w:rPr>
                <w:sz w:val="1"/>
                <w:szCs w:val="1"/>
                <w:color w:val="auto"/>
              </w:rPr>
            </w:pPr>
          </w:p>
        </w:tc>
      </w:tr>
      <w:tr>
        <w:trPr>
          <w:trHeight w:val="213"/>
        </w:trPr>
        <w:tc>
          <w:tcPr>
            <w:tcW w:w="762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(32,190)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(33,261)</w:t>
            </w:r>
          </w:p>
        </w:tc>
        <w:tc>
          <w:tcPr>
            <w:tcW w:w="0" w:type="dxa"/>
            <w:vAlign w:val="bottom"/>
          </w:tcPr>
          <w:p>
            <w:pPr>
              <w:spacing w:after="0"/>
              <w:rPr>
                <w:sz w:val="1"/>
                <w:szCs w:val="1"/>
                <w:color w:val="auto"/>
              </w:rPr>
            </w:pPr>
          </w:p>
        </w:tc>
      </w:tr>
      <w:tr>
        <w:trPr>
          <w:trHeight w:val="219"/>
        </w:trPr>
        <w:tc>
          <w:tcPr>
            <w:tcW w:w="7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(344,977)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(334,319)</w:t>
            </w:r>
          </w:p>
        </w:tc>
        <w:tc>
          <w:tcPr>
            <w:tcW w:w="0" w:type="dxa"/>
            <w:vAlign w:val="bottom"/>
          </w:tcPr>
          <w:p>
            <w:pPr>
              <w:spacing w:after="0"/>
              <w:rPr>
                <w:sz w:val="1"/>
                <w:szCs w:val="1"/>
                <w:color w:val="auto"/>
              </w:rPr>
            </w:pPr>
          </w:p>
        </w:tc>
      </w:tr>
      <w:tr>
        <w:trPr>
          <w:trHeight w:val="207"/>
        </w:trPr>
        <w:tc>
          <w:tcPr>
            <w:tcW w:w="762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stockholders’ equity</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53,255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76,077</w:t>
            </w:r>
          </w:p>
        </w:tc>
        <w:tc>
          <w:tcPr>
            <w:tcW w:w="0" w:type="dxa"/>
            <w:vAlign w:val="bottom"/>
          </w:tcPr>
          <w:p>
            <w:pPr>
              <w:spacing w:after="0"/>
              <w:rPr>
                <w:sz w:val="1"/>
                <w:szCs w:val="1"/>
                <w:color w:val="auto"/>
              </w:rPr>
            </w:pPr>
          </w:p>
        </w:tc>
      </w:tr>
      <w:tr>
        <w:trPr>
          <w:trHeight w:val="235"/>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498,574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532,023</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50"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60" w:type="dxa"/>
            <w:vAlign w:val="bottom"/>
            <w:gridSpan w:val="4"/>
          </w:tcPr>
          <w:p>
            <w:pPr>
              <w:jc w:val="right"/>
              <w:ind w:right="29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3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211"/>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52,210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218,161</w:t>
            </w:r>
          </w:p>
        </w:tc>
      </w:tr>
      <w:tr>
        <w:trPr>
          <w:trHeight w:val="213"/>
        </w:trPr>
        <w:tc>
          <w:tcPr>
            <w:tcW w:w="5320" w:type="dxa"/>
            <w:vAlign w:val="bottom"/>
          </w:tcPr>
          <w:p>
            <w:pPr>
              <w:ind w:left="220"/>
              <w:spacing w:after="0"/>
              <w:rPr>
                <w:sz w:val="20"/>
                <w:szCs w:val="20"/>
                <w:color w:val="auto"/>
              </w:rPr>
            </w:pPr>
            <w:r>
              <w:rPr>
                <w:rFonts w:ascii="Arial" w:cs="Arial" w:eastAsia="Arial" w:hAnsi="Arial"/>
                <w:sz w:val="16"/>
                <w:szCs w:val="16"/>
                <w:color w:val="auto"/>
              </w:rPr>
              <w:t>Costs and expenses: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3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Cost of revenues*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107,958</w:t>
            </w:r>
          </w:p>
        </w:tc>
      </w:tr>
      <w:tr>
        <w:trPr>
          <w:trHeight w:val="213"/>
        </w:trPr>
        <w:tc>
          <w:tcPr>
            <w:tcW w:w="5320" w:type="dxa"/>
            <w:vAlign w:val="bottom"/>
          </w:tcPr>
          <w:p>
            <w:pPr>
              <w:ind w:left="42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59,769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57,282</w:t>
            </w:r>
          </w:p>
        </w:tc>
      </w:tr>
      <w:tr>
        <w:trPr>
          <w:trHeight w:val="219"/>
        </w:trPr>
        <w:tc>
          <w:tcPr>
            <w:tcW w:w="53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82,862</w:t>
            </w:r>
          </w:p>
        </w:tc>
      </w:tr>
      <w:tr>
        <w:trPr>
          <w:trHeight w:val="213"/>
        </w:trPr>
        <w:tc>
          <w:tcPr>
            <w:tcW w:w="5320" w:type="dxa"/>
            <w:vAlign w:val="bottom"/>
          </w:tcPr>
          <w:p>
            <w:pPr>
              <w:ind w:left="420"/>
              <w:spacing w:after="0"/>
              <w:rPr>
                <w:sz w:val="20"/>
                <w:szCs w:val="20"/>
                <w:color w:val="auto"/>
              </w:rPr>
            </w:pPr>
            <w:r>
              <w:rPr>
                <w:rFonts w:ascii="Arial" w:cs="Arial" w:eastAsia="Arial" w:hAnsi="Arial"/>
                <w:sz w:val="16"/>
                <w:szCs w:val="16"/>
                <w:color w:val="auto"/>
              </w:rPr>
              <w:t>Restructuring charges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738</w:t>
            </w:r>
          </w:p>
        </w:tc>
      </w:tr>
      <w:tr>
        <w:trPr>
          <w:trHeight w:val="219"/>
        </w:trPr>
        <w:tc>
          <w:tcPr>
            <w:tcW w:w="53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18,508</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33,852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58,920</w:t>
            </w:r>
          </w:p>
        </w:tc>
      </w:tr>
      <w:tr>
        <w:trPr>
          <w:trHeight w:val="207"/>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85,634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103,182</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268,036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307,760</w:t>
            </w:r>
          </w:p>
        </w:tc>
      </w:tr>
      <w:tr>
        <w:trPr>
          <w:trHeight w:val="21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(45,743)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(89,599)</w:t>
            </w:r>
          </w:p>
        </w:tc>
      </w:tr>
      <w:tr>
        <w:trPr>
          <w:trHeight w:val="213"/>
        </w:trPr>
        <w:tc>
          <w:tcPr>
            <w:tcW w:w="53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716</w:t>
            </w:r>
          </w:p>
        </w:tc>
      </w:tr>
      <w:tr>
        <w:trPr>
          <w:trHeight w:val="219"/>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r>
      <w:tr>
        <w:trPr>
          <w:trHeight w:val="213"/>
        </w:trPr>
        <w:tc>
          <w:tcPr>
            <w:tcW w:w="5320" w:type="dxa"/>
            <w:vAlign w:val="bottom"/>
          </w:tcPr>
          <w:p>
            <w:pPr>
              <w:ind w:left="220"/>
              <w:spacing w:after="0"/>
              <w:rPr>
                <w:sz w:val="20"/>
                <w:szCs w:val="20"/>
                <w:color w:val="auto"/>
              </w:rPr>
            </w:pPr>
            <w:r>
              <w:rPr>
                <w:rFonts w:ascii="Arial" w:cs="Arial" w:eastAsia="Arial" w:hAnsi="Arial"/>
                <w:sz w:val="16"/>
                <w:szCs w:val="16"/>
                <w:color w:val="auto"/>
              </w:rPr>
              <w:t>Gain (loss) on extinguishment of debt</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822</w:t>
            </w:r>
          </w:p>
        </w:tc>
      </w:tr>
      <w:tr>
        <w:trPr>
          <w:trHeight w:val="219"/>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net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5320" w:type="dxa"/>
            <w:vAlign w:val="bottom"/>
          </w:tcPr>
          <w:p>
            <w:pPr>
              <w:ind w:left="220"/>
              <w:spacing w:after="0"/>
              <w:rPr>
                <w:sz w:val="20"/>
                <w:szCs w:val="20"/>
                <w:color w:val="auto"/>
              </w:rPr>
            </w:pPr>
            <w:r>
              <w:rPr>
                <w:rFonts w:ascii="Arial" w:cs="Arial" w:eastAsia="Arial" w:hAnsi="Arial"/>
                <w:sz w:val="16"/>
                <w:szCs w:val="16"/>
                <w:color w:val="auto"/>
              </w:rPr>
              <w:t>Equity method investment loss</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(1,619)</w:t>
            </w:r>
          </w:p>
        </w:tc>
      </w:tr>
      <w:tr>
        <w:trPr>
          <w:trHeight w:val="21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continuing operations, before taxes</w:t>
            </w: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(14,366)</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(51,364)</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(90,914)</w:t>
            </w:r>
          </w:p>
        </w:tc>
      </w:tr>
      <w:tr>
        <w:trPr>
          <w:trHeight w:val="213"/>
        </w:trPr>
        <w:tc>
          <w:tcPr>
            <w:tcW w:w="5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(9,849)</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29,148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(6,614)</w:t>
            </w:r>
          </w:p>
        </w:tc>
      </w:tr>
      <w:tr>
        <w:trPr>
          <w:trHeight w:val="21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(61,213)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(97,528)</w:t>
            </w:r>
          </w:p>
        </w:tc>
      </w:tr>
      <w:tr>
        <w:trPr>
          <w:trHeight w:val="213"/>
        </w:trPr>
        <w:tc>
          <w:tcPr>
            <w:tcW w:w="5320" w:type="dxa"/>
            <w:vAlign w:val="bottom"/>
          </w:tcPr>
          <w:p>
            <w:pPr>
              <w:ind w:left="220"/>
              <w:spacing w:after="0"/>
              <w:rPr>
                <w:sz w:val="20"/>
                <w:szCs w:val="20"/>
                <w:color w:val="auto"/>
              </w:rPr>
            </w:pPr>
            <w:r>
              <w:rPr>
                <w:rFonts w:ascii="Arial" w:cs="Arial" w:eastAsia="Arial" w:hAnsi="Arial"/>
                <w:sz w:val="16"/>
                <w:szCs w:val="16"/>
                <w:color w:val="auto"/>
              </w:rPr>
              <w:t>Net loss attributable to redeemable noncontrolling interests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(931)</w:t>
            </w:r>
          </w:p>
        </w:tc>
      </w:tr>
      <w:tr>
        <w:trPr>
          <w:trHeight w:val="219"/>
        </w:trPr>
        <w:tc>
          <w:tcPr>
            <w:tcW w:w="5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dividend</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(23,590)</w:t>
            </w:r>
          </w:p>
        </w:tc>
      </w:tr>
      <w:tr>
        <w:trPr>
          <w:trHeight w:val="183"/>
        </w:trPr>
        <w:tc>
          <w:tcPr>
            <w:tcW w:w="5320" w:type="dxa"/>
            <w:vAlign w:val="bottom"/>
          </w:tcPr>
          <w:p>
            <w:pPr>
              <w:ind w:left="20"/>
              <w:spacing w:after="0" w:line="183" w:lineRule="exact"/>
              <w:rPr>
                <w:sz w:val="20"/>
                <w:szCs w:val="20"/>
                <w:color w:val="auto"/>
              </w:rPr>
            </w:pPr>
            <w:r>
              <w:rPr>
                <w:rFonts w:ascii="Arial" w:cs="Arial" w:eastAsia="Arial" w:hAnsi="Arial"/>
                <w:sz w:val="16"/>
                <w:szCs w:val="16"/>
                <w:color w:val="auto"/>
              </w:rPr>
              <w:t>Net loss attributable to Synchronoss</w:t>
            </w:r>
          </w:p>
        </w:tc>
        <w:tc>
          <w:tcPr>
            <w:tcW w:w="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(15,367)</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(69,432)</w:t>
            </w:r>
          </w:p>
        </w:tc>
        <w:tc>
          <w:tcPr>
            <w:tcW w:w="140" w:type="dxa"/>
            <w:vAlign w:val="bottom"/>
          </w:tcPr>
          <w:p>
            <w:pPr>
              <w:spacing w:after="0"/>
              <w:rPr>
                <w:sz w:val="15"/>
                <w:szCs w:val="15"/>
                <w:color w:val="auto"/>
              </w:rPr>
            </w:pPr>
          </w:p>
        </w:tc>
        <w:tc>
          <w:tcPr>
            <w:tcW w:w="240" w:type="dxa"/>
            <w:vAlign w:val="bottom"/>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(37,790)</w:t>
            </w:r>
          </w:p>
        </w:tc>
        <w:tc>
          <w:tcPr>
            <w:tcW w:w="120" w:type="dxa"/>
            <w:vAlign w:val="bottom"/>
          </w:tcPr>
          <w:p>
            <w:pPr>
              <w:spacing w:after="0"/>
              <w:rPr>
                <w:sz w:val="15"/>
                <w:szCs w:val="15"/>
                <w:color w:val="auto"/>
              </w:rPr>
            </w:pPr>
          </w:p>
        </w:tc>
        <w:tc>
          <w:tcPr>
            <w:tcW w:w="340" w:type="dxa"/>
            <w:vAlign w:val="bottom"/>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(122,049)</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23"/>
        </w:trPr>
        <w:tc>
          <w:tcPr>
            <w:tcW w:w="5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320" w:type="dxa"/>
            <w:vAlign w:val="bottom"/>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4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6"/>
        </w:trPr>
        <w:tc>
          <w:tcPr>
            <w:tcW w:w="5320" w:type="dxa"/>
            <w:vAlign w:val="bottom"/>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42,360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40,910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41,777</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40,564</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5"/>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40,910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41,777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40,564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Cost of revenues excludes depreciation and amortization which are shown separately.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50" w:lineRule="exact"/>
        <w:rPr>
          <w:sz w:val="20"/>
          <w:szCs w:val="20"/>
          <w:color w:val="auto"/>
        </w:rPr>
      </w:pPr>
    </w:p>
    <w:p>
      <w:pPr>
        <w:ind w:left="4900" w:right="1980" w:hanging="2902"/>
        <w:spacing w:after="0" w:line="313" w:lineRule="auto"/>
        <w:rPr>
          <w:sz w:val="20"/>
          <w:szCs w:val="20"/>
          <w:color w:val="auto"/>
        </w:rPr>
      </w:pPr>
      <w:r>
        <w:rPr>
          <w:rFonts w:ascii="Arial" w:cs="Arial" w:eastAsia="Arial" w:hAnsi="Arial"/>
          <w:sz w:val="18"/>
          <w:szCs w:val="18"/>
          <w:b w:val="1"/>
          <w:bCs w:val="1"/>
          <w:color w:val="auto"/>
        </w:rPr>
        <w:t>CONDENSED CONSOLIDATED STATEMENTS OF COMPREHENSIVE (LOSS) INCOME (Unaudited)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9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7"/>
        </w:trPr>
        <w:tc>
          <w:tcPr>
            <w:tcW w:w="536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r>
      <w:tr>
        <w:trPr>
          <w:trHeight w:val="211"/>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20" w:type="dxa"/>
            <w:vAlign w:val="bottom"/>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(5,622)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(97,528)</w:t>
            </w:r>
          </w:p>
        </w:tc>
      </w:tr>
      <w:tr>
        <w:trPr>
          <w:trHeight w:val="213"/>
        </w:trPr>
        <w:tc>
          <w:tcPr>
            <w:tcW w:w="5360" w:type="dxa"/>
            <w:vAlign w:val="bottom"/>
          </w:tcPr>
          <w:p>
            <w:pPr>
              <w:ind w:left="120"/>
              <w:spacing w:after="0"/>
              <w:rPr>
                <w:sz w:val="20"/>
                <w:szCs w:val="20"/>
                <w:color w:val="auto"/>
              </w:rPr>
            </w:pPr>
            <w:r>
              <w:rPr>
                <w:rFonts w:ascii="Arial" w:cs="Arial" w:eastAsia="Arial" w:hAnsi="Arial"/>
                <w:sz w:val="16"/>
                <w:szCs w:val="16"/>
                <w:color w:val="auto"/>
              </w:rPr>
              <w:t>Other comprehensive (loss) income, net of tax:</w:t>
            </w: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5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currency translation adjustments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w:t>
            </w:r>
          </w:p>
        </w:tc>
      </w:tr>
      <w:tr>
        <w:trPr>
          <w:trHeight w:val="213"/>
        </w:trPr>
        <w:tc>
          <w:tcPr>
            <w:tcW w:w="5360" w:type="dxa"/>
            <w:vAlign w:val="bottom"/>
          </w:tcPr>
          <w:p>
            <w:pPr>
              <w:ind w:left="300"/>
              <w:spacing w:after="0"/>
              <w:rPr>
                <w:sz w:val="20"/>
                <w:szCs w:val="20"/>
                <w:color w:val="auto"/>
              </w:rPr>
            </w:pPr>
            <w:r>
              <w:rPr>
                <w:rFonts w:ascii="Arial" w:cs="Arial" w:eastAsia="Arial" w:hAnsi="Arial"/>
                <w:sz w:val="16"/>
                <w:szCs w:val="16"/>
                <w:color w:val="auto"/>
              </w:rPr>
              <w:t>Unrealized loss on available for sale securities</w:t>
            </w:r>
          </w:p>
        </w:tc>
        <w:tc>
          <w:tcPr>
            <w:tcW w:w="8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751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(710)</w:t>
            </w:r>
          </w:p>
        </w:tc>
      </w:tr>
      <w:tr>
        <w:trPr>
          <w:trHeight w:val="219"/>
        </w:trPr>
        <w:tc>
          <w:tcPr>
            <w:tcW w:w="5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income (loss) on inter-company foreign currency transactions</w:t>
            </w:r>
          </w:p>
        </w:tc>
        <w:tc>
          <w:tcPr>
            <w:tcW w:w="8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1,046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w:t>
            </w:r>
          </w:p>
        </w:tc>
      </w:tr>
      <w:tr>
        <w:trPr>
          <w:trHeight w:val="207"/>
        </w:trPr>
        <w:tc>
          <w:tcPr>
            <w:tcW w:w="53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2,207</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w:t>
            </w:r>
          </w:p>
        </w:tc>
      </w:tr>
      <w:tr>
        <w:trPr>
          <w:trHeight w:val="212"/>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(3,415)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(101,025)</w:t>
            </w:r>
          </w:p>
        </w:tc>
      </w:tr>
      <w:tr>
        <w:trPr>
          <w:trHeight w:val="213"/>
        </w:trPr>
        <w:tc>
          <w:tcPr>
            <w:tcW w:w="5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Comprehensive loss attributable to redeemable noncontrolling interests</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w:t>
            </w:r>
          </w:p>
        </w:tc>
      </w:tr>
      <w:tr>
        <w:trPr>
          <w:trHeight w:val="23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Synchronoss</w:t>
            </w:r>
          </w:p>
        </w:tc>
        <w:tc>
          <w:tcPr>
            <w:tcW w:w="820" w:type="dxa"/>
            <w:vAlign w:val="bottom"/>
            <w:tcBorders>
              <w:bottom w:val="single" w:sz="8" w:color="auto"/>
            </w:tcBorders>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(3,475)</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(64,221)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(101,956)</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SYNCHRONOSS TECHNOLOGIES, INC. CONDENSED CONSOLIDATED STATEMENTS OF STOCKHOLDERS’ EQUITY (Unaudited)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rPr>
              <w:t>Three Months Ended September 30, 2020</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620" w:type="dxa"/>
            <w:vAlign w:val="bottom"/>
          </w:tcPr>
          <w:p>
            <w:pPr>
              <w:spacing w:after="0"/>
              <w:rPr>
                <w:sz w:val="10"/>
                <w:szCs w:val="10"/>
                <w:color w:val="auto"/>
              </w:rPr>
            </w:pPr>
          </w:p>
        </w:tc>
        <w:tc>
          <w:tcPr>
            <w:tcW w:w="1520" w:type="dxa"/>
            <w:vAlign w:val="bottom"/>
            <w:gridSpan w:val="3"/>
          </w:tcPr>
          <w:p>
            <w:pPr>
              <w:jc w:val="right"/>
              <w:ind w:right="283"/>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gridSpan w:val="5"/>
          </w:tcPr>
          <w:p>
            <w:pPr>
              <w:ind w:left="580"/>
              <w:spacing w:after="0"/>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0"/>
              </w:rPr>
              <w:t>Additional</w:t>
            </w:r>
          </w:p>
        </w:tc>
        <w:tc>
          <w:tcPr>
            <w:tcW w:w="10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3"/>
              </w:rPr>
              <w:t>Accumulated Other</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299"/>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9"/>
        </w:trPr>
        <w:tc>
          <w:tcPr>
            <w:tcW w:w="3620" w:type="dxa"/>
            <w:vAlign w:val="bottom"/>
          </w:tcPr>
          <w:p>
            <w:pPr>
              <w:spacing w:after="0"/>
              <w:rPr>
                <w:sz w:val="9"/>
                <w:szCs w:val="9"/>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9"/>
                <w:szCs w:val="9"/>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5"/>
              </w:rPr>
              <w:t>Comprehensive</w:t>
            </w: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9"/>
                <w:szCs w:val="9"/>
                <w:b w:val="1"/>
                <w:bCs w:val="1"/>
                <w:color w:val="auto"/>
                <w:w w:val="95"/>
              </w:rPr>
              <w:t>Accumulated deficit</w:t>
            </w:r>
          </w:p>
        </w:tc>
        <w:tc>
          <w:tcPr>
            <w:tcW w:w="9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1000" w:type="dxa"/>
            <w:vAlign w:val="bottom"/>
            <w:gridSpan w:val="3"/>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51,619</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w w:val="87"/>
              </w:rPr>
              <w:t>(7,162)</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w w:val="90"/>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517,794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(34,397)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(339,313)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62,002</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Stock based compensation</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4,336</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restricted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Preferred stock dividends declared</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(8,761)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(8,761)</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preferred stock issuance costs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Net loss attributable to Synchronoss</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(5,622)</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Non-controlling interest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Total other comprehensive income (loss)</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2,207</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Adoption of new credit loss accounting standard</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9"/>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51,514</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7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3"/>
                <w:szCs w:val="13"/>
                <w:color w:val="auto"/>
                <w:w w:val="87"/>
              </w:rPr>
              <w:t>(7,162)</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3"/>
                <w:szCs w:val="13"/>
                <w:color w:val="auto"/>
                <w:w w:val="90"/>
              </w:rPr>
              <w:t>(82,087)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512,504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(32,190)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(344,977)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53,255</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rPr>
              <w:t>Three Months Ended September 30, 2019</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620" w:type="dxa"/>
            <w:vAlign w:val="bottom"/>
          </w:tcPr>
          <w:p>
            <w:pPr>
              <w:spacing w:after="0"/>
              <w:rPr>
                <w:sz w:val="10"/>
                <w:szCs w:val="10"/>
                <w:color w:val="auto"/>
              </w:rPr>
            </w:pPr>
          </w:p>
        </w:tc>
        <w:tc>
          <w:tcPr>
            <w:tcW w:w="1520" w:type="dxa"/>
            <w:vAlign w:val="bottom"/>
            <w:gridSpan w:val="3"/>
          </w:tcPr>
          <w:p>
            <w:pPr>
              <w:jc w:val="right"/>
              <w:ind w:right="283"/>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gridSpan w:val="5"/>
          </w:tcPr>
          <w:p>
            <w:pPr>
              <w:ind w:left="580"/>
              <w:spacing w:after="0"/>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0"/>
              </w:rPr>
              <w:t>Additional</w:t>
            </w:r>
          </w:p>
        </w:tc>
        <w:tc>
          <w:tcPr>
            <w:tcW w:w="1000" w:type="dxa"/>
            <w:vAlign w:val="bottom"/>
            <w:gridSpan w:val="3"/>
          </w:tcPr>
          <w:p>
            <w:pPr>
              <w:jc w:val="right"/>
              <w:ind w:right="160"/>
              <w:spacing w:after="0"/>
              <w:rPr>
                <w:sz w:val="20"/>
                <w:szCs w:val="20"/>
                <w:color w:val="auto"/>
              </w:rPr>
            </w:pPr>
            <w:r>
              <w:rPr>
                <w:rFonts w:ascii="Arial" w:cs="Arial" w:eastAsia="Arial" w:hAnsi="Arial"/>
                <w:sz w:val="9"/>
                <w:szCs w:val="9"/>
                <w:b w:val="1"/>
                <w:bCs w:val="1"/>
                <w:color w:val="auto"/>
                <w:w w:val="98"/>
              </w:rPr>
              <w:t>Accumulated Other</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299"/>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9"/>
        </w:trPr>
        <w:tc>
          <w:tcPr>
            <w:tcW w:w="3620" w:type="dxa"/>
            <w:vAlign w:val="bottom"/>
          </w:tcPr>
          <w:p>
            <w:pPr>
              <w:spacing w:after="0"/>
              <w:rPr>
                <w:sz w:val="9"/>
                <w:szCs w:val="9"/>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9"/>
                <w:szCs w:val="9"/>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5"/>
              </w:rPr>
              <w:t>Comprehensive</w:t>
            </w: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9"/>
                <w:szCs w:val="9"/>
                <w:b w:val="1"/>
                <w:bCs w:val="1"/>
                <w:color w:val="auto"/>
                <w:w w:val="95"/>
              </w:rPr>
              <w:t>Accumulated deficit</w:t>
            </w:r>
          </w:p>
        </w:tc>
        <w:tc>
          <w:tcPr>
            <w:tcW w:w="9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1000" w:type="dxa"/>
            <w:vAlign w:val="bottom"/>
            <w:gridSpan w:val="3"/>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51,578</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w w:val="87"/>
              </w:rPr>
              <w:t>(7,162)</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w w:val="90"/>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531,282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(30,897)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(266,948)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151,355</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Stock based compensation</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5,587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5,587</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restricted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Preferred stock dividends declared</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(7,598)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(7,598)</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preferred stock issuance costs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Issuance of common stock on exercise of options</w:t>
            </w:r>
          </w:p>
        </w:tc>
        <w:tc>
          <w:tcPr>
            <w:tcW w:w="7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29"/>
        </w:trPr>
        <w:tc>
          <w:tcPr>
            <w:tcW w:w="362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w w:val="91"/>
              </w:rPr>
              <w:t>Shares withheld for taxes in connection with issuance of restricted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w:t>
            </w: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Net income attributable to Synchronoss</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(61,237)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(61,237)</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Non-controlling interest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9"/>
        </w:trPr>
        <w:tc>
          <w:tcPr>
            <w:tcW w:w="3620" w:type="dxa"/>
            <w:vAlign w:val="bottom"/>
          </w:tcPr>
          <w:p>
            <w:pPr>
              <w:ind w:left="120"/>
              <w:spacing w:after="0"/>
              <w:rPr>
                <w:sz w:val="20"/>
                <w:szCs w:val="20"/>
                <w:color w:val="auto"/>
              </w:rPr>
            </w:pPr>
            <w:r>
              <w:rPr>
                <w:rFonts w:ascii="Arial" w:cs="Arial" w:eastAsia="Arial" w:hAnsi="Arial"/>
                <w:sz w:val="13"/>
                <w:szCs w:val="13"/>
                <w:color w:val="auto"/>
              </w:rPr>
              <w:t>Total other comprehensive income (loss)</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(2,983)</w:t>
            </w:r>
          </w:p>
        </w:tc>
        <w:tc>
          <w:tcPr>
            <w:tcW w:w="0" w:type="dxa"/>
            <w:vAlign w:val="bottom"/>
          </w:tcPr>
          <w:p>
            <w:pPr>
              <w:spacing w:after="0"/>
              <w:rPr>
                <w:sz w:val="1"/>
                <w:szCs w:val="1"/>
                <w:color w:val="auto"/>
              </w:rPr>
            </w:pPr>
          </w:p>
        </w:tc>
      </w:tr>
      <w:tr>
        <w:trPr>
          <w:trHeight w:val="200"/>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503"/>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w w:val="87"/>
              </w:rPr>
              <w:t>(7,162)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w w:val="90"/>
              </w:rPr>
              <w:t>(82,087)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528,734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(328,185)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84,587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0"/>
          </w:tcPr>
          <w:p>
            <w:pPr>
              <w:ind w:left="120"/>
              <w:spacing w:after="0"/>
              <w:rPr>
                <w:sz w:val="20"/>
                <w:szCs w:val="20"/>
                <w:color w:val="auto"/>
              </w:rPr>
            </w:pPr>
            <w:r>
              <w:rPr>
                <w:rFonts w:ascii="Arial" w:cs="Arial" w:eastAsia="Arial" w:hAnsi="Arial"/>
                <w:sz w:val="13"/>
                <w:szCs w:val="13"/>
                <w:b w:val="1"/>
                <w:bCs w:val="1"/>
                <w:color w:val="auto"/>
              </w:rPr>
              <w:t>Nine Months Ended September 30, 2020</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620" w:type="dxa"/>
            <w:vAlign w:val="bottom"/>
          </w:tcPr>
          <w:p>
            <w:pPr>
              <w:spacing w:after="0"/>
              <w:rPr>
                <w:sz w:val="10"/>
                <w:szCs w:val="10"/>
                <w:color w:val="auto"/>
              </w:rPr>
            </w:pPr>
          </w:p>
        </w:tc>
        <w:tc>
          <w:tcPr>
            <w:tcW w:w="1520" w:type="dxa"/>
            <w:vAlign w:val="bottom"/>
            <w:gridSpan w:val="3"/>
          </w:tcPr>
          <w:p>
            <w:pPr>
              <w:jc w:val="right"/>
              <w:ind w:right="283"/>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gridSpan w:val="5"/>
          </w:tcPr>
          <w:p>
            <w:pPr>
              <w:ind w:left="580"/>
              <w:spacing w:after="0"/>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0"/>
              </w:rPr>
              <w:t>Additional</w:t>
            </w:r>
          </w:p>
        </w:tc>
        <w:tc>
          <w:tcPr>
            <w:tcW w:w="10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3"/>
              </w:rPr>
              <w:t>Accumulated Other</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299"/>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9"/>
        </w:trPr>
        <w:tc>
          <w:tcPr>
            <w:tcW w:w="3620" w:type="dxa"/>
            <w:vAlign w:val="bottom"/>
          </w:tcPr>
          <w:p>
            <w:pPr>
              <w:spacing w:after="0"/>
              <w:rPr>
                <w:sz w:val="9"/>
                <w:szCs w:val="9"/>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9"/>
                <w:szCs w:val="9"/>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5"/>
              </w:rPr>
              <w:t>Comprehensive</w:t>
            </w: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9"/>
                <w:szCs w:val="9"/>
                <w:b w:val="1"/>
                <w:bCs w:val="1"/>
                <w:color w:val="auto"/>
                <w:w w:val="95"/>
              </w:rPr>
              <w:t>Accumulated deficit</w:t>
            </w:r>
          </w:p>
        </w:tc>
        <w:tc>
          <w:tcPr>
            <w:tcW w:w="9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1000" w:type="dxa"/>
            <w:vAlign w:val="bottom"/>
            <w:gridSpan w:val="3"/>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51,704</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w w:val="87"/>
              </w:rPr>
              <w:t>(7,162)</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w w:val="90"/>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525,739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(33,261)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(334,319)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76,077</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Stock based compensation</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14,406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14,406</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restricted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Preferred stock dividends declared</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(25,373)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(25,373)</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preferred stock issuance costs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(2,510)</w:t>
            </w:r>
          </w:p>
        </w:tc>
        <w:tc>
          <w:tcPr>
            <w:tcW w:w="0" w:type="dxa"/>
            <w:vAlign w:val="bottom"/>
          </w:tcPr>
          <w:p>
            <w:pPr>
              <w:spacing w:after="0"/>
              <w:rPr>
                <w:sz w:val="1"/>
                <w:szCs w:val="1"/>
                <w:color w:val="auto"/>
              </w:rPr>
            </w:pPr>
          </w:p>
        </w:tc>
      </w:tr>
      <w:tr>
        <w:trPr>
          <w:trHeight w:val="122"/>
        </w:trPr>
        <w:tc>
          <w:tcPr>
            <w:tcW w:w="3620" w:type="dxa"/>
            <w:vAlign w:val="bottom"/>
          </w:tcPr>
          <w:p>
            <w:pPr>
              <w:ind w:left="120"/>
              <w:spacing w:after="0" w:line="122" w:lineRule="exact"/>
              <w:rPr>
                <w:sz w:val="20"/>
                <w:szCs w:val="20"/>
                <w:color w:val="auto"/>
              </w:rPr>
            </w:pPr>
            <w:r>
              <w:rPr>
                <w:rFonts w:ascii="Arial" w:cs="Arial" w:eastAsia="Arial" w:hAnsi="Arial"/>
                <w:sz w:val="13"/>
                <w:szCs w:val="13"/>
                <w:color w:val="auto"/>
                <w:w w:val="91"/>
              </w:rPr>
              <w:t>Shares withheld for taxes in connection with issuance of restricted</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stock</w:t>
            </w: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loss attributable to Synchronoss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(9,666)</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Non-controlling interest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other comprehensive income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w:t>
            </w:r>
          </w:p>
        </w:tc>
        <w:tc>
          <w:tcPr>
            <w:tcW w:w="0" w:type="dxa"/>
            <w:vAlign w:val="bottom"/>
          </w:tcPr>
          <w:p>
            <w:pPr>
              <w:spacing w:after="0"/>
              <w:rPr>
                <w:sz w:val="1"/>
                <w:szCs w:val="1"/>
                <w:color w:val="auto"/>
              </w:rPr>
            </w:pPr>
          </w:p>
        </w:tc>
      </w:tr>
      <w:tr>
        <w:trPr>
          <w:trHeight w:val="169"/>
        </w:trPr>
        <w:tc>
          <w:tcPr>
            <w:tcW w:w="3620" w:type="dxa"/>
            <w:vAlign w:val="bottom"/>
          </w:tcPr>
          <w:p>
            <w:pPr>
              <w:ind w:left="120"/>
              <w:spacing w:after="0"/>
              <w:rPr>
                <w:sz w:val="20"/>
                <w:szCs w:val="20"/>
                <w:color w:val="auto"/>
              </w:rPr>
            </w:pPr>
            <w:r>
              <w:rPr>
                <w:rFonts w:ascii="Arial" w:cs="Arial" w:eastAsia="Arial" w:hAnsi="Arial"/>
                <w:sz w:val="13"/>
                <w:szCs w:val="13"/>
                <w:color w:val="auto"/>
              </w:rPr>
              <w:t>Adoption of new credit loss accounting standard</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201"/>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503"/>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w w:val="87"/>
              </w:rPr>
              <w:t>(7,162)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w w:val="90"/>
              </w:rPr>
              <w:t>(82,087)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512,504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(344,977)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53,255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0"/>
          </w:tcPr>
          <w:p>
            <w:pPr>
              <w:ind w:left="120"/>
              <w:spacing w:after="0"/>
              <w:rPr>
                <w:sz w:val="20"/>
                <w:szCs w:val="20"/>
                <w:color w:val="auto"/>
              </w:rPr>
            </w:pPr>
            <w:r>
              <w:rPr>
                <w:rFonts w:ascii="Arial" w:cs="Arial" w:eastAsia="Arial" w:hAnsi="Arial"/>
                <w:sz w:val="13"/>
                <w:szCs w:val="13"/>
                <w:b w:val="1"/>
                <w:bCs w:val="1"/>
                <w:color w:val="auto"/>
              </w:rPr>
              <w:t>Nine Months Ended September 30, 2019</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620" w:type="dxa"/>
            <w:vAlign w:val="bottom"/>
          </w:tcPr>
          <w:p>
            <w:pPr>
              <w:spacing w:after="0"/>
              <w:rPr>
                <w:sz w:val="10"/>
                <w:szCs w:val="10"/>
                <w:color w:val="auto"/>
              </w:rPr>
            </w:pPr>
          </w:p>
        </w:tc>
        <w:tc>
          <w:tcPr>
            <w:tcW w:w="1520" w:type="dxa"/>
            <w:vAlign w:val="bottom"/>
            <w:gridSpan w:val="3"/>
          </w:tcPr>
          <w:p>
            <w:pPr>
              <w:jc w:val="right"/>
              <w:ind w:right="283"/>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60" w:type="dxa"/>
            <w:vAlign w:val="bottom"/>
            <w:gridSpan w:val="5"/>
          </w:tcPr>
          <w:p>
            <w:pPr>
              <w:ind w:left="580"/>
              <w:spacing w:after="0"/>
              <w:rPr>
                <w:sz w:val="20"/>
                <w:szCs w:val="20"/>
                <w:color w:val="auto"/>
              </w:rPr>
            </w:pPr>
            <w:r>
              <w:rPr>
                <w:rFonts w:ascii="Arial" w:cs="Arial" w:eastAsia="Arial" w:hAnsi="Arial"/>
                <w:sz w:val="9"/>
                <w:szCs w:val="9"/>
                <w:b w:val="1"/>
                <w:bCs w:val="1"/>
                <w:color w:val="auto"/>
              </w:rPr>
              <w:t>Treasury Stock</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0"/>
              </w:rPr>
              <w:t>Additional</w:t>
            </w:r>
          </w:p>
        </w:tc>
        <w:tc>
          <w:tcPr>
            <w:tcW w:w="1000" w:type="dxa"/>
            <w:vAlign w:val="bottom"/>
            <w:gridSpan w:val="3"/>
          </w:tcPr>
          <w:p>
            <w:pPr>
              <w:jc w:val="right"/>
              <w:ind w:right="160"/>
              <w:spacing w:after="0"/>
              <w:rPr>
                <w:sz w:val="20"/>
                <w:szCs w:val="20"/>
                <w:color w:val="auto"/>
              </w:rPr>
            </w:pPr>
            <w:r>
              <w:rPr>
                <w:rFonts w:ascii="Arial" w:cs="Arial" w:eastAsia="Arial" w:hAnsi="Arial"/>
                <w:sz w:val="9"/>
                <w:szCs w:val="9"/>
                <w:b w:val="1"/>
                <w:bCs w:val="1"/>
                <w:color w:val="auto"/>
                <w:w w:val="98"/>
              </w:rPr>
              <w:t>Accumulated Other</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298"/>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9"/>
        </w:trPr>
        <w:tc>
          <w:tcPr>
            <w:tcW w:w="3620" w:type="dxa"/>
            <w:vAlign w:val="bottom"/>
          </w:tcPr>
          <w:p>
            <w:pPr>
              <w:spacing w:after="0"/>
              <w:rPr>
                <w:sz w:val="9"/>
                <w:szCs w:val="9"/>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9"/>
                <w:szCs w:val="9"/>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5"/>
              </w:rPr>
              <w:t>Comprehensive</w:t>
            </w:r>
          </w:p>
        </w:tc>
        <w:tc>
          <w:tcPr>
            <w:tcW w:w="1000" w:type="dxa"/>
            <w:vAlign w:val="bottom"/>
            <w:gridSpan w:val="3"/>
            <w:vMerge w:val="restart"/>
          </w:tcPr>
          <w:p>
            <w:pPr>
              <w:ind w:left="60"/>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1000" w:type="dxa"/>
            <w:vAlign w:val="bottom"/>
            <w:gridSpan w:val="3"/>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49,836</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w w:val="87"/>
              </w:rPr>
              <w:t>(7,162)</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w w:val="90"/>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534,673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(30,383)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(233,299)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188,909</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Stock based compensation</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16,694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16,694</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restricted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Preferred stock dividends declared</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(22,005)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(22,005)</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preferred stock issuance costs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(1,586)</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Issuance of common stock on exercise of options</w:t>
            </w:r>
          </w:p>
        </w:tc>
        <w:tc>
          <w:tcPr>
            <w:tcW w:w="7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29"/>
        </w:trPr>
        <w:tc>
          <w:tcPr>
            <w:tcW w:w="362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w w:val="91"/>
              </w:rPr>
              <w:t>Shares withheld for taxes in connection with issuance of restricted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w:t>
            </w: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Adjustments to purchase price allocation</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3,574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3,574</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loss attributable to Synchronoss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(98,458)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(98,458)</w:t>
            </w:r>
          </w:p>
        </w:tc>
        <w:tc>
          <w:tcPr>
            <w:tcW w:w="0" w:type="dxa"/>
            <w:vAlign w:val="bottom"/>
          </w:tcPr>
          <w:p>
            <w:pPr>
              <w:spacing w:after="0"/>
              <w:rPr>
                <w:sz w:val="1"/>
                <w:szCs w:val="1"/>
                <w:color w:val="auto"/>
              </w:rPr>
            </w:pPr>
          </w:p>
        </w:tc>
      </w:tr>
      <w:tr>
        <w:trPr>
          <w:trHeight w:val="168"/>
        </w:trPr>
        <w:tc>
          <w:tcPr>
            <w:tcW w:w="3620" w:type="dxa"/>
            <w:vAlign w:val="bottom"/>
          </w:tcPr>
          <w:p>
            <w:pPr>
              <w:ind w:left="120"/>
              <w:spacing w:after="0"/>
              <w:rPr>
                <w:sz w:val="20"/>
                <w:szCs w:val="20"/>
                <w:color w:val="auto"/>
              </w:rPr>
            </w:pPr>
            <w:r>
              <w:rPr>
                <w:rFonts w:ascii="Arial" w:cs="Arial" w:eastAsia="Arial" w:hAnsi="Arial"/>
                <w:sz w:val="13"/>
                <w:szCs w:val="13"/>
                <w:color w:val="auto"/>
              </w:rPr>
              <w:t>Non-controlling interest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931</w:t>
            </w:r>
          </w:p>
        </w:tc>
        <w:tc>
          <w:tcPr>
            <w:tcW w:w="0" w:type="dxa"/>
            <w:vAlign w:val="bottom"/>
          </w:tcPr>
          <w:p>
            <w:pPr>
              <w:spacing w:after="0"/>
              <w:rPr>
                <w:sz w:val="1"/>
                <w:szCs w:val="1"/>
                <w:color w:val="auto"/>
              </w:rPr>
            </w:pPr>
          </w:p>
        </w:tc>
      </w:tr>
      <w:tr>
        <w:trPr>
          <w:trHeight w:val="183"/>
        </w:trPr>
        <w:tc>
          <w:tcPr>
            <w:tcW w:w="3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other comprehensive income (loss)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(3,497)</w:t>
            </w:r>
          </w:p>
        </w:tc>
        <w:tc>
          <w:tcPr>
            <w:tcW w:w="0" w:type="dxa"/>
            <w:vAlign w:val="bottom"/>
          </w:tcPr>
          <w:p>
            <w:pPr>
              <w:spacing w:after="0"/>
              <w:rPr>
                <w:sz w:val="1"/>
                <w:szCs w:val="1"/>
                <w:color w:val="auto"/>
              </w:rPr>
            </w:pPr>
          </w:p>
        </w:tc>
      </w:tr>
      <w:tr>
        <w:trPr>
          <w:trHeight w:val="169"/>
        </w:trPr>
        <w:tc>
          <w:tcPr>
            <w:tcW w:w="3620" w:type="dxa"/>
            <w:vAlign w:val="bottom"/>
          </w:tcPr>
          <w:p>
            <w:pPr>
              <w:ind w:left="120"/>
              <w:spacing w:after="0"/>
              <w:rPr>
                <w:sz w:val="20"/>
                <w:szCs w:val="20"/>
                <w:color w:val="auto"/>
              </w:rPr>
            </w:pPr>
            <w:r>
              <w:rPr>
                <w:rFonts w:ascii="Arial" w:cs="Arial" w:eastAsia="Arial" w:hAnsi="Arial"/>
                <w:sz w:val="13"/>
                <w:szCs w:val="13"/>
                <w:color w:val="auto"/>
              </w:rPr>
              <w:t>Other</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0"/>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503"/>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w w:val="87"/>
              </w:rPr>
              <w:t>(7,162)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3"/>
                <w:szCs w:val="13"/>
                <w:color w:val="auto"/>
                <w:w w:val="90"/>
              </w:rPr>
              <w:t>(82,087)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528,734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(328,185)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84,587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760" w:type="dxa"/>
            <w:vAlign w:val="bottom"/>
            <w:tcBorders>
              <w:bottom w:val="single" w:sz="8" w:color="auto"/>
            </w:tcBorders>
            <w:gridSpan w:val="5"/>
          </w:tcPr>
          <w:p>
            <w:pPr>
              <w:jc w:val="right"/>
              <w:ind w:right="228"/>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84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170"/>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Net loss continuing operations</w:t>
            </w: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(9,666)</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(97,528)</w:t>
            </w:r>
          </w:p>
        </w:tc>
      </w:tr>
      <w:tr>
        <w:trPr>
          <w:trHeight w:val="152"/>
        </w:trPr>
        <w:tc>
          <w:tcPr>
            <w:tcW w:w="8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33,852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58,921</w:t>
            </w: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Amortization of debt issuance costs</w:t>
            </w:r>
          </w:p>
        </w:tc>
        <w:tc>
          <w:tcPr>
            <w:tcW w:w="8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loss on extinguishment of debt</w:t>
            </w:r>
          </w:p>
        </w:tc>
        <w:tc>
          <w:tcPr>
            <w:tcW w:w="8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(822)</w:t>
            </w: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Loss (earnings) from Equity method investments</w:t>
            </w:r>
          </w:p>
        </w:tc>
        <w:tc>
          <w:tcPr>
            <w:tcW w:w="8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1,619</w:t>
            </w: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loss on Disposals of fixed assets</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(Gain) loss on Disposals of intangible assets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(2,164)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bond premium</w:t>
            </w:r>
          </w:p>
        </w:tc>
        <w:tc>
          <w:tcPr>
            <w:tcW w:w="8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14,547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17,033</w:t>
            </w: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Cumulative adjustment to STI receivable</w:t>
            </w:r>
          </w:p>
        </w:tc>
        <w:tc>
          <w:tcPr>
            <w:tcW w:w="8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26,044</w:t>
            </w: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ROU Asset Impairment</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6,268</w:t>
            </w: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11,357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3,180</w:t>
            </w: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(5,426)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34,052</w:t>
            </w: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2,615</w:t>
            </w: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10,063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(9,418)</w:t>
            </w: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revenues</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(36,924)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(28,583)</w:t>
            </w:r>
          </w:p>
        </w:tc>
      </w:tr>
      <w:tr>
        <w:trPr>
          <w:trHeight w:val="186"/>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liabilities</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(1,770)</w:t>
            </w:r>
          </w:p>
        </w:tc>
      </w:tr>
      <w:tr>
        <w:trPr>
          <w:trHeight w:val="186"/>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11,839</w:t>
            </w:r>
          </w:p>
        </w:tc>
      </w:tr>
      <w:tr>
        <w:trPr>
          <w:trHeight w:val="216"/>
        </w:trPr>
        <w:tc>
          <w:tcPr>
            <w:tcW w:w="8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Purchases of fixed assets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(7,077)</w:t>
            </w: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capitalized software</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(12,610)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(9,289)</w:t>
            </w: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Acquisition of intangible assets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the sale of intangibles</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Purchases of marketable securities available for sale</w:t>
            </w:r>
          </w:p>
        </w:tc>
        <w:tc>
          <w:tcPr>
            <w:tcW w:w="8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(47,703)</w:t>
            </w: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Maturity of marketable securities available for sale</w:t>
            </w:r>
          </w:p>
        </w:tc>
        <w:tc>
          <w:tcPr>
            <w:tcW w:w="8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81,794</w:t>
            </w:r>
          </w:p>
        </w:tc>
      </w:tr>
      <w:tr>
        <w:trPr>
          <w:trHeight w:val="179"/>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8"/>
              </w:rPr>
              <w:t>(11,406)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17,725</w:t>
            </w:r>
          </w:p>
        </w:tc>
      </w:tr>
      <w:tr>
        <w:trPr>
          <w:trHeight w:val="219"/>
        </w:trPr>
        <w:tc>
          <w:tcPr>
            <w:tcW w:w="8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88"/>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Taxes paid on withholding shares</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Retirement of Convertible Senior Notes &amp; related costs</w:t>
            </w:r>
          </w:p>
        </w:tc>
        <w:tc>
          <w:tcPr>
            <w:tcW w:w="8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(112,993)</w:t>
            </w: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Borrowings on revolving line of credit</w:t>
            </w: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10,000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80" w:type="dxa"/>
            <w:vAlign w:val="bottom"/>
          </w:tcPr>
          <w:p>
            <w:pPr>
              <w:ind w:left="220"/>
              <w:spacing w:after="0"/>
              <w:rPr>
                <w:sz w:val="20"/>
                <w:szCs w:val="20"/>
                <w:color w:val="auto"/>
              </w:rPr>
            </w:pPr>
            <w:r>
              <w:rPr>
                <w:rFonts w:ascii="Arial" w:cs="Arial" w:eastAsia="Arial" w:hAnsi="Arial"/>
                <w:sz w:val="14"/>
                <w:szCs w:val="14"/>
                <w:color w:val="auto"/>
              </w:rPr>
              <w:t>Preferred dividend payment</w:t>
            </w:r>
          </w:p>
        </w:tc>
        <w:tc>
          <w:tcPr>
            <w:tcW w:w="820" w:type="dxa"/>
            <w:vAlign w:val="bottom"/>
          </w:tcPr>
          <w:p>
            <w:pPr>
              <w:spacing w:after="0"/>
              <w:rPr>
                <w:sz w:val="16"/>
                <w:szCs w:val="16"/>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(7,075)</w:t>
            </w:r>
          </w:p>
        </w:tc>
      </w:tr>
      <w:tr>
        <w:trPr>
          <w:trHeight w:val="192"/>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on capital obligations</w:t>
            </w:r>
          </w:p>
        </w:tc>
        <w:tc>
          <w:tcPr>
            <w:tcW w:w="8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r>
      <w:tr>
        <w:trPr>
          <w:trHeight w:val="179"/>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8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9,991</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(120,993)</w:t>
            </w:r>
          </w:p>
        </w:tc>
      </w:tr>
      <w:tr>
        <w:trPr>
          <w:trHeight w:val="152"/>
        </w:trPr>
        <w:tc>
          <w:tcPr>
            <w:tcW w:w="8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6"/>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Effect of exchange rate changes on cash</w:t>
            </w:r>
          </w:p>
        </w:tc>
        <w:tc>
          <w:tcPr>
            <w:tcW w:w="8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783</w:t>
            </w:r>
          </w:p>
        </w:tc>
      </w:tr>
      <w:tr>
        <w:trPr>
          <w:trHeight w:val="199"/>
        </w:trPr>
        <w:tc>
          <w:tcPr>
            <w:tcW w:w="8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6"/>
        </w:trPr>
        <w:tc>
          <w:tcPr>
            <w:tcW w:w="8480" w:type="dxa"/>
            <w:vAlign w:val="bottom"/>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8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7,358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(90,646)</w:t>
            </w:r>
          </w:p>
        </w:tc>
      </w:tr>
      <w:tr>
        <w:trPr>
          <w:trHeight w:val="191"/>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beginning of period</w:t>
            </w:r>
          </w:p>
        </w:tc>
        <w:tc>
          <w:tcPr>
            <w:tcW w:w="8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39,001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109,860</w:t>
            </w:r>
          </w:p>
        </w:tc>
      </w:tr>
      <w:tr>
        <w:trPr>
          <w:trHeight w:val="184"/>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end of period</w:t>
            </w: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46,359</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19,214</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8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88"/>
        </w:trPr>
        <w:tc>
          <w:tcPr>
            <w:tcW w:w="84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Paid in kind dividends on Series A Convertible Participating Perpetual Preferred Stock</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26,995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14,407</w:t>
            </w:r>
          </w:p>
        </w:tc>
      </w:tr>
    </w:tbl>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Synchronoss Technologies, Inc. (“Synchronoss” or the “Company”) Digital, Cloud, Messaging and IoT platforms help the world’s leading companies, including operators, original equipment manufacturers (“OEMs”), and Technology, Media and Telecom (“TMT”) providers to deliver continuously transformative customer experiences that create high value engagement and new monetization opportunities.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currently operates in and markets solutions and services directly through the Company’s sales organizations in North America, Europe and Asia-Pacific. The Company’s platforms give customers new opportunities in the TMT space, taking advantage of the rapidly converging services, connected devices, networks and applications.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delivers platforms, products and solutions including:</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Cloud sync, backup, storage, device set up, content transfer and content engagement for user generated content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Advanced, multi-channel messaging peer-to-peer (“P2P”) communications and application-to-person (“A2P”) commerce solutions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Digital experience management (Platform as a Service) - including digital journey creation, and journey design products that use analytics that power digital advisor products for IT and Business Channel Owners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IoT management technology for Smart Cities, Smart Buildings and more</w:t>
      </w:r>
    </w:p>
    <w:p>
      <w:pPr>
        <w:spacing w:after="0" w:line="2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Synchronoss Personal Cloud Platform™ is a secure and highly scalable white label platform designed to store and sync subscriber’s personally created content seamlessly to and from current and new devices. This allows an Operator’s customers to protect, engage with and manage their personal content and gives the Company’s Operator customers the ability to increase average revenue per user (“ARPU”) through a new monthly recurring charge (“MRC”) and opportunities to mine valuable data that will give subscribers access to new, beneficial services. Additionally, the Synchronoss Personal Cloud Platform performs an expanding set of value-add services including facilitating an Operator’s initial device setup and enhancing visibility and control across disparate devices within subscribers’ smart homes.</w:t>
      </w:r>
    </w:p>
    <w:p>
      <w:pPr>
        <w:spacing w:after="0" w:line="21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Messaging Platform powers hundreds of millions of subscribers’ mail boxes worldwide. The Company’s Advanced Messaging Product is a powerful, secure and intelligent white label messaging platform that expands capabilities for Operators and TMT companies to offer P2P messaging via Rich Communications Services (“RCS”). Additionally, the Company’s Advanced Messaging Product powers commerce and a robust ecosystem for Operators, brands and advertisers to execute Application to Person (“A2P”) commerce and data-rich dialogue with subscribers.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Synchronoss Digital Experience Platform (“DXP”) is a purpose-built experience management toolset that sits between the Company’s customers end-user facing applications and their existing back end systems, enabling the authoring and management of customer journeys in a cloud-native no/low-code environment. This platform uses products such as Journey Creator, Journey Advisor, CX Baseline and Digital Coach to create a wide variety of insight-driven customer experiences across existing channels (digital and analogue) including creating the ability to pause and resume continuous, intelligent experiences in an omni-channel environment. DXP can be operated by IT professionals and “citizen” developers (business analysts, etc.) enabling the Company’s customers to bring more compelling and complex experiences to market in less time with fewer and more diverse resources in a real-time, collaborative environment.</w:t>
      </w:r>
    </w:p>
    <w:p>
      <w:pPr>
        <w:spacing w:after="0" w:line="2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IoT Platform creates an easy to use environment and extensible ecosystem making the management of disparate devices, sensors, data pools and networks easier to manage by IoT administrators and drives the propagation of new IoT applications and monetization models for TMT companies. The Company’s IoT platform utilizes Synchronoss platforms (DXP, Cloud, Messaging), products and solutions to make IoT more accessible and actionable for Smart Building facility managers, Smart City planners, Automotive OEMs and TMT ecosystem players.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Basis of Presentation and Consolidation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2019. The results of operations for the three and nine months ended September 30, 2020 are not necessarily indicative of the results to be expected for the year ending December 31, 2020.</w:t>
      </w:r>
    </w:p>
    <w:p>
      <w:pPr>
        <w:spacing w:after="0" w:line="20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 Certain prior year amounts have been reclassified to conform to the current year's presentation.</w:t>
      </w:r>
    </w:p>
    <w:p>
      <w:pPr>
        <w:spacing w:after="0" w:line="20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There are many uncertainties regarding the current coronavirus ("COVID-19") pandemic, and the Company is closely monitoring the impact of the pandemic on all aspects of its business, including how it will impact its customers, employees, suppliers, vendors, business partners and distribution channels. While the pandemic did not materially affect the Company’s financial results and business operations for the three and nine months ended September 30, 2020, the Company is unable to predict the impact that COVID-19 will have on its financial position and operating results due to numerous uncertainties. The Company will continue to assess the evolving impact of the COVID-19 pandemic and will make adjustments to its operations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Recent accounting pronouncements adopted</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Standard</w:t>
            </w:r>
          </w:p>
        </w:tc>
        <w:tc>
          <w:tcPr>
            <w:tcW w:w="4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Description</w:t>
            </w:r>
          </w:p>
        </w:tc>
        <w:tc>
          <w:tcPr>
            <w:tcW w:w="46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Effect on the financial statements</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w w:val="99"/>
              </w:rPr>
              <w:t>ASU 2016-13, ASU 2019-4</w:t>
            </w:r>
          </w:p>
        </w:tc>
        <w:tc>
          <w:tcPr>
            <w:tcW w:w="4640" w:type="dxa"/>
            <w:vAlign w:val="bottom"/>
          </w:tcPr>
          <w:p>
            <w:pPr>
              <w:ind w:left="80"/>
              <w:spacing w:after="0" w:line="162" w:lineRule="exact"/>
              <w:rPr>
                <w:sz w:val="20"/>
                <w:szCs w:val="20"/>
                <w:color w:val="auto"/>
              </w:rPr>
            </w:pPr>
            <w:r>
              <w:rPr>
                <w:rFonts w:ascii="Arial" w:cs="Arial" w:eastAsia="Arial" w:hAnsi="Arial"/>
                <w:sz w:val="16"/>
                <w:szCs w:val="16"/>
                <w:color w:val="auto"/>
                <w:w w:val="99"/>
              </w:rPr>
              <w:t>In June 2016, the FASB issued ASU 2016-13 which replaces the</w:t>
            </w:r>
          </w:p>
        </w:tc>
        <w:tc>
          <w:tcPr>
            <w:tcW w:w="4600" w:type="dxa"/>
            <w:vAlign w:val="bottom"/>
          </w:tcPr>
          <w:p>
            <w:pPr>
              <w:ind w:left="80"/>
              <w:spacing w:after="0" w:line="162" w:lineRule="exact"/>
              <w:rPr>
                <w:sz w:val="20"/>
                <w:szCs w:val="20"/>
                <w:color w:val="auto"/>
              </w:rPr>
            </w:pPr>
            <w:r>
              <w:rPr>
                <w:rFonts w:ascii="Arial" w:cs="Arial" w:eastAsia="Arial" w:hAnsi="Arial"/>
                <w:sz w:val="16"/>
                <w:szCs w:val="16"/>
                <w:color w:val="auto"/>
              </w:rPr>
              <w:t>We adopted Topic 326 beginning on January 1, 2020 using the</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w w:val="95"/>
              </w:rPr>
              <w:t>Financial Instruments-Credit</w:t>
            </w:r>
          </w:p>
        </w:tc>
        <w:tc>
          <w:tcPr>
            <w:tcW w:w="4640" w:type="dxa"/>
            <w:vAlign w:val="bottom"/>
          </w:tcPr>
          <w:p>
            <w:pPr>
              <w:ind w:left="80"/>
              <w:spacing w:after="0" w:line="162" w:lineRule="exact"/>
              <w:rPr>
                <w:sz w:val="20"/>
                <w:szCs w:val="20"/>
                <w:color w:val="auto"/>
              </w:rPr>
            </w:pPr>
            <w:r>
              <w:rPr>
                <w:rFonts w:ascii="Arial" w:cs="Arial" w:eastAsia="Arial" w:hAnsi="Arial"/>
                <w:sz w:val="16"/>
                <w:szCs w:val="16"/>
                <w:color w:val="auto"/>
                <w:w w:val="96"/>
              </w:rPr>
              <w:t>incurred loss impairment methodology in current U.S. GAAP with a</w:t>
            </w:r>
          </w:p>
        </w:tc>
        <w:tc>
          <w:tcPr>
            <w:tcW w:w="4600" w:type="dxa"/>
            <w:vAlign w:val="bottom"/>
          </w:tcPr>
          <w:p>
            <w:pPr>
              <w:ind w:left="80"/>
              <w:spacing w:after="0" w:line="162" w:lineRule="exact"/>
              <w:rPr>
                <w:sz w:val="20"/>
                <w:szCs w:val="20"/>
                <w:color w:val="auto"/>
              </w:rPr>
            </w:pPr>
            <w:r>
              <w:rPr>
                <w:rFonts w:ascii="Arial" w:cs="Arial" w:eastAsia="Arial" w:hAnsi="Arial"/>
                <w:sz w:val="16"/>
                <w:szCs w:val="16"/>
                <w:color w:val="auto"/>
                <w:w w:val="93"/>
              </w:rPr>
              <w:t>modified retrospective approach with a cumulative effect adjustment</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Losses (Topic 326):</w:t>
            </w:r>
          </w:p>
        </w:tc>
        <w:tc>
          <w:tcPr>
            <w:tcW w:w="4640" w:type="dxa"/>
            <w:vAlign w:val="bottom"/>
          </w:tcPr>
          <w:p>
            <w:pPr>
              <w:ind w:left="80"/>
              <w:spacing w:after="0" w:line="162" w:lineRule="exact"/>
              <w:rPr>
                <w:sz w:val="20"/>
                <w:szCs w:val="20"/>
                <w:color w:val="auto"/>
              </w:rPr>
            </w:pPr>
            <w:r>
              <w:rPr>
                <w:rFonts w:ascii="Arial" w:cs="Arial" w:eastAsia="Arial" w:hAnsi="Arial"/>
                <w:sz w:val="16"/>
                <w:szCs w:val="16"/>
                <w:color w:val="auto"/>
                <w:w w:val="97"/>
              </w:rPr>
              <w:t>methodology  that  reflects  expected  credit  losses  and  requires</w:t>
            </w:r>
          </w:p>
        </w:tc>
        <w:tc>
          <w:tcPr>
            <w:tcW w:w="4600" w:type="dxa"/>
            <w:vAlign w:val="bottom"/>
          </w:tcPr>
          <w:p>
            <w:pPr>
              <w:ind w:left="80"/>
              <w:spacing w:after="0" w:line="162" w:lineRule="exact"/>
              <w:rPr>
                <w:sz w:val="20"/>
                <w:szCs w:val="20"/>
                <w:color w:val="auto"/>
              </w:rPr>
            </w:pPr>
            <w:r>
              <w:rPr>
                <w:rFonts w:ascii="Arial" w:cs="Arial" w:eastAsia="Arial" w:hAnsi="Arial"/>
                <w:sz w:val="16"/>
                <w:szCs w:val="16"/>
                <w:color w:val="auto"/>
                <w:w w:val="93"/>
              </w:rPr>
              <w:t>to opening retained earnings recorded at the beginning of the period</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Measurement of Credit</w:t>
            </w:r>
          </w:p>
        </w:tc>
        <w:tc>
          <w:tcPr>
            <w:tcW w:w="4640" w:type="dxa"/>
            <w:vAlign w:val="bottom"/>
          </w:tcPr>
          <w:p>
            <w:pPr>
              <w:ind w:left="80"/>
              <w:spacing w:after="0" w:line="162" w:lineRule="exact"/>
              <w:rPr>
                <w:sz w:val="20"/>
                <w:szCs w:val="20"/>
                <w:color w:val="auto"/>
              </w:rPr>
            </w:pPr>
            <w:r>
              <w:rPr>
                <w:rFonts w:ascii="Arial" w:cs="Arial" w:eastAsia="Arial" w:hAnsi="Arial"/>
                <w:sz w:val="16"/>
                <w:szCs w:val="16"/>
                <w:color w:val="auto"/>
              </w:rPr>
              <w:t>consideration of a broader range of reasonable and supportable</w:t>
            </w:r>
          </w:p>
        </w:tc>
        <w:tc>
          <w:tcPr>
            <w:tcW w:w="4600" w:type="dxa"/>
            <w:vAlign w:val="bottom"/>
          </w:tcPr>
          <w:p>
            <w:pPr>
              <w:ind w:left="80"/>
              <w:spacing w:after="0" w:line="162" w:lineRule="exact"/>
              <w:rPr>
                <w:sz w:val="20"/>
                <w:szCs w:val="20"/>
                <w:color w:val="auto"/>
              </w:rPr>
            </w:pPr>
            <w:r>
              <w:rPr>
                <w:rFonts w:ascii="Arial" w:cs="Arial" w:eastAsia="Arial" w:hAnsi="Arial"/>
                <w:sz w:val="16"/>
                <w:szCs w:val="16"/>
                <w:color w:val="auto"/>
                <w:w w:val="96"/>
              </w:rPr>
              <w:t>of adoption. Upon adoption, we changed our impairment model to</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Losses on Financial</w:t>
            </w:r>
          </w:p>
        </w:tc>
        <w:tc>
          <w:tcPr>
            <w:tcW w:w="4640" w:type="dxa"/>
            <w:vAlign w:val="bottom"/>
          </w:tcPr>
          <w:p>
            <w:pPr>
              <w:ind w:left="80"/>
              <w:spacing w:after="0" w:line="162" w:lineRule="exact"/>
              <w:rPr>
                <w:sz w:val="20"/>
                <w:szCs w:val="20"/>
                <w:color w:val="auto"/>
              </w:rPr>
            </w:pPr>
            <w:r>
              <w:rPr>
                <w:rFonts w:ascii="Arial" w:cs="Arial" w:eastAsia="Arial" w:hAnsi="Arial"/>
                <w:sz w:val="16"/>
                <w:szCs w:val="16"/>
                <w:color w:val="auto"/>
                <w:w w:val="96"/>
              </w:rPr>
              <w:t>information to inform credit loss estimates. The ASU is effective for</w:t>
            </w:r>
          </w:p>
        </w:tc>
        <w:tc>
          <w:tcPr>
            <w:tcW w:w="4600" w:type="dxa"/>
            <w:vAlign w:val="bottom"/>
          </w:tcPr>
          <w:p>
            <w:pPr>
              <w:ind w:left="80"/>
              <w:spacing w:after="0" w:line="162" w:lineRule="exact"/>
              <w:rPr>
                <w:sz w:val="20"/>
                <w:szCs w:val="20"/>
                <w:color w:val="auto"/>
              </w:rPr>
            </w:pPr>
            <w:r>
              <w:rPr>
                <w:rFonts w:ascii="Arial" w:cs="Arial" w:eastAsia="Arial" w:hAnsi="Arial"/>
                <w:sz w:val="16"/>
                <w:szCs w:val="16"/>
                <w:color w:val="auto"/>
              </w:rPr>
              <w:t>utilize a forward-looking current expected credit losses (CECL)</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Instruments</w:t>
            </w:r>
          </w:p>
        </w:tc>
        <w:tc>
          <w:tcPr>
            <w:tcW w:w="4640" w:type="dxa"/>
            <w:vAlign w:val="bottom"/>
          </w:tcPr>
          <w:p>
            <w:pPr>
              <w:ind w:left="80"/>
              <w:spacing w:after="0" w:line="162" w:lineRule="exact"/>
              <w:rPr>
                <w:sz w:val="20"/>
                <w:szCs w:val="20"/>
                <w:color w:val="auto"/>
              </w:rPr>
            </w:pPr>
            <w:r>
              <w:rPr>
                <w:rFonts w:ascii="Arial" w:cs="Arial" w:eastAsia="Arial" w:hAnsi="Arial"/>
                <w:sz w:val="16"/>
                <w:szCs w:val="16"/>
                <w:color w:val="auto"/>
                <w:w w:val="97"/>
              </w:rPr>
              <w:t>public companies in annual periods beginning after December 15,</w:t>
            </w:r>
          </w:p>
        </w:tc>
        <w:tc>
          <w:tcPr>
            <w:tcW w:w="4600" w:type="dxa"/>
            <w:vAlign w:val="bottom"/>
          </w:tcPr>
          <w:p>
            <w:pPr>
              <w:ind w:left="80"/>
              <w:spacing w:after="0" w:line="162" w:lineRule="exact"/>
              <w:rPr>
                <w:sz w:val="20"/>
                <w:szCs w:val="20"/>
                <w:color w:val="auto"/>
              </w:rPr>
            </w:pPr>
            <w:r>
              <w:rPr>
                <w:rFonts w:ascii="Arial" w:cs="Arial" w:eastAsia="Arial" w:hAnsi="Arial"/>
                <w:sz w:val="16"/>
                <w:szCs w:val="16"/>
                <w:color w:val="auto"/>
              </w:rPr>
              <w:t>model in place of the incurred loss methodology for financial</w:t>
            </w:r>
          </w:p>
        </w:tc>
      </w:tr>
      <w:tr>
        <w:trPr>
          <w:trHeight w:val="162"/>
        </w:trPr>
        <w:tc>
          <w:tcPr>
            <w:tcW w:w="1960" w:type="dxa"/>
            <w:vAlign w:val="bottom"/>
          </w:tcPr>
          <w:p>
            <w:pPr>
              <w:spacing w:after="0"/>
              <w:rPr>
                <w:sz w:val="14"/>
                <w:szCs w:val="14"/>
                <w:color w:val="auto"/>
              </w:rPr>
            </w:pPr>
          </w:p>
        </w:tc>
        <w:tc>
          <w:tcPr>
            <w:tcW w:w="4640" w:type="dxa"/>
            <w:vAlign w:val="bottom"/>
          </w:tcPr>
          <w:p>
            <w:pPr>
              <w:ind w:left="80"/>
              <w:spacing w:after="0" w:line="162" w:lineRule="exact"/>
              <w:rPr>
                <w:sz w:val="20"/>
                <w:szCs w:val="20"/>
                <w:color w:val="auto"/>
              </w:rPr>
            </w:pPr>
            <w:r>
              <w:rPr>
                <w:rFonts w:ascii="Arial" w:cs="Arial" w:eastAsia="Arial" w:hAnsi="Arial"/>
                <w:sz w:val="16"/>
                <w:szCs w:val="16"/>
                <w:color w:val="auto"/>
              </w:rPr>
              <w:t>2019, and interim periods within those years. Early adoption is</w:t>
            </w:r>
          </w:p>
        </w:tc>
        <w:tc>
          <w:tcPr>
            <w:tcW w:w="4600" w:type="dxa"/>
            <w:vAlign w:val="bottom"/>
          </w:tcPr>
          <w:p>
            <w:pPr>
              <w:ind w:left="80"/>
              <w:spacing w:after="0" w:line="162" w:lineRule="exact"/>
              <w:rPr>
                <w:sz w:val="20"/>
                <w:szCs w:val="20"/>
                <w:color w:val="auto"/>
              </w:rPr>
            </w:pPr>
            <w:r>
              <w:rPr>
                <w:rFonts w:ascii="Arial" w:cs="Arial" w:eastAsia="Arial" w:hAnsi="Arial"/>
                <w:sz w:val="16"/>
                <w:szCs w:val="16"/>
                <w:color w:val="auto"/>
                <w:w w:val="99"/>
              </w:rPr>
              <w:t>instruments measured at amortized cost, including our accounts</w:t>
            </w:r>
          </w:p>
        </w:tc>
      </w:tr>
      <w:tr>
        <w:trPr>
          <w:trHeight w:val="162"/>
        </w:trPr>
        <w:tc>
          <w:tcPr>
            <w:tcW w:w="1960" w:type="dxa"/>
            <w:vAlign w:val="bottom"/>
          </w:tcPr>
          <w:p>
            <w:pPr>
              <w:spacing w:after="0"/>
              <w:rPr>
                <w:sz w:val="14"/>
                <w:szCs w:val="14"/>
                <w:color w:val="auto"/>
              </w:rPr>
            </w:pPr>
          </w:p>
        </w:tc>
        <w:tc>
          <w:tcPr>
            <w:tcW w:w="4640" w:type="dxa"/>
            <w:vAlign w:val="bottom"/>
          </w:tcPr>
          <w:p>
            <w:pPr>
              <w:ind w:left="80"/>
              <w:spacing w:after="0" w:line="162" w:lineRule="exact"/>
              <w:rPr>
                <w:sz w:val="20"/>
                <w:szCs w:val="20"/>
                <w:color w:val="auto"/>
              </w:rPr>
            </w:pPr>
            <w:r>
              <w:rPr>
                <w:rFonts w:ascii="Arial" w:cs="Arial" w:eastAsia="Arial" w:hAnsi="Arial"/>
                <w:sz w:val="16"/>
                <w:szCs w:val="16"/>
                <w:color w:val="auto"/>
                <w:w w:val="98"/>
              </w:rPr>
              <w:t>permitted beginning after December 15, 2018 and interim periods</w:t>
            </w:r>
          </w:p>
        </w:tc>
        <w:tc>
          <w:tcPr>
            <w:tcW w:w="4600" w:type="dxa"/>
            <w:vAlign w:val="bottom"/>
          </w:tcPr>
          <w:p>
            <w:pPr>
              <w:ind w:left="80"/>
              <w:spacing w:after="0" w:line="162" w:lineRule="exact"/>
              <w:rPr>
                <w:sz w:val="20"/>
                <w:szCs w:val="20"/>
                <w:color w:val="auto"/>
              </w:rPr>
            </w:pPr>
            <w:r>
              <w:rPr>
                <w:rFonts w:ascii="Arial" w:cs="Arial" w:eastAsia="Arial" w:hAnsi="Arial"/>
                <w:sz w:val="16"/>
                <w:szCs w:val="16"/>
                <w:color w:val="auto"/>
                <w:w w:val="93"/>
              </w:rPr>
              <w:t>receivable. CECL estimates on accounts receivable are recorded as</w:t>
            </w:r>
          </w:p>
        </w:tc>
      </w:tr>
      <w:tr>
        <w:trPr>
          <w:trHeight w:val="162"/>
        </w:trPr>
        <w:tc>
          <w:tcPr>
            <w:tcW w:w="1960" w:type="dxa"/>
            <w:vAlign w:val="bottom"/>
          </w:tcPr>
          <w:p>
            <w:pPr>
              <w:spacing w:after="0"/>
              <w:rPr>
                <w:sz w:val="14"/>
                <w:szCs w:val="14"/>
                <w:color w:val="auto"/>
              </w:rPr>
            </w:pPr>
          </w:p>
        </w:tc>
        <w:tc>
          <w:tcPr>
            <w:tcW w:w="4640" w:type="dxa"/>
            <w:vAlign w:val="bottom"/>
          </w:tcPr>
          <w:p>
            <w:pPr>
              <w:ind w:left="80"/>
              <w:spacing w:after="0" w:line="162" w:lineRule="exact"/>
              <w:rPr>
                <w:sz w:val="20"/>
                <w:szCs w:val="20"/>
                <w:color w:val="auto"/>
              </w:rPr>
            </w:pPr>
            <w:r>
              <w:rPr>
                <w:rFonts w:ascii="Arial" w:cs="Arial" w:eastAsia="Arial" w:hAnsi="Arial"/>
                <w:sz w:val="16"/>
                <w:szCs w:val="16"/>
                <w:color w:val="auto"/>
              </w:rPr>
              <w:t>within those years.</w:t>
            </w:r>
          </w:p>
        </w:tc>
        <w:tc>
          <w:tcPr>
            <w:tcW w:w="4600" w:type="dxa"/>
            <w:vAlign w:val="bottom"/>
          </w:tcPr>
          <w:p>
            <w:pPr>
              <w:ind w:left="80"/>
              <w:spacing w:after="0" w:line="162" w:lineRule="exact"/>
              <w:rPr>
                <w:sz w:val="20"/>
                <w:szCs w:val="20"/>
                <w:color w:val="auto"/>
              </w:rPr>
            </w:pPr>
            <w:r>
              <w:rPr>
                <w:rFonts w:ascii="Arial" w:cs="Arial" w:eastAsia="Arial" w:hAnsi="Arial"/>
                <w:sz w:val="16"/>
                <w:szCs w:val="16"/>
                <w:color w:val="auto"/>
                <w:w w:val="92"/>
              </w:rPr>
              <w:t>general and administrative expenses on our condensed consolidated</w:t>
            </w:r>
          </w:p>
        </w:tc>
      </w:tr>
      <w:tr>
        <w:trPr>
          <w:trHeight w:val="162"/>
        </w:trPr>
        <w:tc>
          <w:tcPr>
            <w:tcW w:w="19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600" w:type="dxa"/>
            <w:vAlign w:val="bottom"/>
          </w:tcPr>
          <w:p>
            <w:pPr>
              <w:ind w:left="80"/>
              <w:spacing w:after="0" w:line="162" w:lineRule="exact"/>
              <w:rPr>
                <w:sz w:val="20"/>
                <w:szCs w:val="20"/>
                <w:color w:val="auto"/>
              </w:rPr>
            </w:pPr>
            <w:r>
              <w:rPr>
                <w:rFonts w:ascii="Arial" w:cs="Arial" w:eastAsia="Arial" w:hAnsi="Arial"/>
                <w:sz w:val="16"/>
                <w:szCs w:val="16"/>
                <w:color w:val="auto"/>
                <w:w w:val="97"/>
              </w:rPr>
              <w:t>statements  of  income.  The  cumulative  effect  adjustment  from</w:t>
            </w:r>
          </w:p>
        </w:tc>
      </w:tr>
      <w:tr>
        <w:trPr>
          <w:trHeight w:val="162"/>
        </w:trPr>
        <w:tc>
          <w:tcPr>
            <w:tcW w:w="19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600" w:type="dxa"/>
            <w:vAlign w:val="bottom"/>
          </w:tcPr>
          <w:p>
            <w:pPr>
              <w:ind w:left="80"/>
              <w:spacing w:after="0" w:line="162" w:lineRule="exact"/>
              <w:rPr>
                <w:sz w:val="20"/>
                <w:szCs w:val="20"/>
                <w:color w:val="auto"/>
              </w:rPr>
            </w:pPr>
            <w:r>
              <w:rPr>
                <w:rFonts w:ascii="Arial" w:cs="Arial" w:eastAsia="Arial" w:hAnsi="Arial"/>
                <w:sz w:val="16"/>
                <w:szCs w:val="16"/>
                <w:color w:val="auto"/>
                <w:w w:val="98"/>
              </w:rPr>
              <w:t>adoption was immaterial to our condensed consolidated financial</w:t>
            </w:r>
          </w:p>
        </w:tc>
      </w:tr>
      <w:tr>
        <w:trPr>
          <w:trHeight w:val="209"/>
        </w:trPr>
        <w:tc>
          <w:tcPr>
            <w:tcW w:w="196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statements.</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w w:val="95"/>
              </w:rPr>
              <w:t>Date of adoption: January 1,</w:t>
            </w:r>
          </w:p>
        </w:tc>
        <w:tc>
          <w:tcPr>
            <w:tcW w:w="4640" w:type="dxa"/>
            <w:vAlign w:val="bottom"/>
          </w:tcPr>
          <w:p>
            <w:pPr>
              <w:spacing w:after="0"/>
              <w:rPr>
                <w:sz w:val="14"/>
                <w:szCs w:val="14"/>
                <w:color w:val="auto"/>
              </w:rPr>
            </w:pPr>
          </w:p>
        </w:tc>
        <w:tc>
          <w:tcPr>
            <w:tcW w:w="4600" w:type="dxa"/>
            <w:vAlign w:val="bottom"/>
          </w:tcPr>
          <w:p>
            <w:pPr>
              <w:spacing w:after="0"/>
              <w:rPr>
                <w:sz w:val="14"/>
                <w:szCs w:val="14"/>
                <w:color w:val="auto"/>
              </w:rPr>
            </w:pPr>
          </w:p>
        </w:tc>
      </w:tr>
      <w:tr>
        <w:trPr>
          <w:trHeight w:val="20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2020.</w:t>
            </w:r>
          </w:p>
        </w:tc>
        <w:tc>
          <w:tcPr>
            <w:tcW w:w="464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tcPr>
          <w:p>
            <w:pPr>
              <w:spacing w:after="0"/>
              <w:rPr>
                <w:sz w:val="18"/>
                <w:szCs w:val="18"/>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Standards issued not yet adopted</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Standard</w:t>
            </w:r>
          </w:p>
        </w:tc>
        <w:tc>
          <w:tcPr>
            <w:tcW w:w="4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color w:val="auto"/>
              </w:rPr>
              <w:t>Description</w:t>
            </w:r>
          </w:p>
        </w:tc>
        <w:tc>
          <w:tcPr>
            <w:tcW w:w="45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Effect on the financial statements</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Update 2019-12 - Income</w:t>
            </w:r>
          </w:p>
        </w:tc>
        <w:tc>
          <w:tcPr>
            <w:tcW w:w="4660" w:type="dxa"/>
            <w:vAlign w:val="bottom"/>
          </w:tcPr>
          <w:p>
            <w:pPr>
              <w:ind w:left="80"/>
              <w:spacing w:after="0" w:line="162" w:lineRule="exact"/>
              <w:rPr>
                <w:sz w:val="20"/>
                <w:szCs w:val="20"/>
                <w:color w:val="auto"/>
              </w:rPr>
            </w:pPr>
            <w:r>
              <w:rPr>
                <w:rFonts w:ascii="Arial" w:cs="Arial" w:eastAsia="Arial" w:hAnsi="Arial"/>
                <w:sz w:val="16"/>
                <w:szCs w:val="16"/>
                <w:color w:val="auto"/>
                <w:w w:val="99"/>
              </w:rPr>
              <w:t>The ASU removes the exception to the general principles in ASC</w:t>
            </w:r>
          </w:p>
        </w:tc>
        <w:tc>
          <w:tcPr>
            <w:tcW w:w="4580" w:type="dxa"/>
            <w:vAlign w:val="bottom"/>
          </w:tcPr>
          <w:p>
            <w:pPr>
              <w:ind w:left="60"/>
              <w:spacing w:after="0" w:line="162" w:lineRule="exact"/>
              <w:rPr>
                <w:sz w:val="20"/>
                <w:szCs w:val="20"/>
                <w:color w:val="auto"/>
              </w:rPr>
            </w:pPr>
            <w:r>
              <w:rPr>
                <w:rFonts w:ascii="Arial" w:cs="Arial" w:eastAsia="Arial" w:hAnsi="Arial"/>
                <w:sz w:val="16"/>
                <w:szCs w:val="16"/>
                <w:color w:val="auto"/>
                <w:w w:val="96"/>
              </w:rPr>
              <w:t>The  Company  is  still  evaluating  these  changes  and  does  not</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Taxes (Topic 740)</w:t>
            </w:r>
          </w:p>
        </w:tc>
        <w:tc>
          <w:tcPr>
            <w:tcW w:w="4660" w:type="dxa"/>
            <w:vAlign w:val="bottom"/>
          </w:tcPr>
          <w:p>
            <w:pPr>
              <w:ind w:left="80"/>
              <w:spacing w:after="0" w:line="162" w:lineRule="exact"/>
              <w:rPr>
                <w:sz w:val="20"/>
                <w:szCs w:val="20"/>
                <w:color w:val="auto"/>
              </w:rPr>
            </w:pPr>
            <w:r>
              <w:rPr>
                <w:rFonts w:ascii="Arial" w:cs="Arial" w:eastAsia="Arial" w:hAnsi="Arial"/>
                <w:sz w:val="16"/>
                <w:szCs w:val="16"/>
                <w:color w:val="auto"/>
                <w:w w:val="98"/>
              </w:rPr>
              <w:t>740, Income Taxes, associated with the incremental approach for</w:t>
            </w:r>
          </w:p>
        </w:tc>
        <w:tc>
          <w:tcPr>
            <w:tcW w:w="4580" w:type="dxa"/>
            <w:vAlign w:val="bottom"/>
          </w:tcPr>
          <w:p>
            <w:pPr>
              <w:ind w:left="60"/>
              <w:spacing w:after="0" w:line="162" w:lineRule="exact"/>
              <w:rPr>
                <w:sz w:val="20"/>
                <w:szCs w:val="20"/>
                <w:color w:val="auto"/>
              </w:rPr>
            </w:pPr>
            <w:r>
              <w:rPr>
                <w:rFonts w:ascii="Arial" w:cs="Arial" w:eastAsia="Arial" w:hAnsi="Arial"/>
                <w:sz w:val="16"/>
                <w:szCs w:val="16"/>
                <w:color w:val="auto"/>
                <w:w w:val="95"/>
              </w:rPr>
              <w:t>anticipate  any  material  impact  on  the  Company’s  consolidated</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Simplifying the Accounting</w:t>
            </w:r>
          </w:p>
        </w:tc>
        <w:tc>
          <w:tcPr>
            <w:tcW w:w="4660" w:type="dxa"/>
            <w:vAlign w:val="bottom"/>
          </w:tcPr>
          <w:p>
            <w:pPr>
              <w:ind w:left="80"/>
              <w:spacing w:after="0" w:line="162" w:lineRule="exact"/>
              <w:rPr>
                <w:sz w:val="20"/>
                <w:szCs w:val="20"/>
                <w:color w:val="auto"/>
              </w:rPr>
            </w:pPr>
            <w:r>
              <w:rPr>
                <w:rFonts w:ascii="Arial" w:cs="Arial" w:eastAsia="Arial" w:hAnsi="Arial"/>
                <w:sz w:val="16"/>
                <w:szCs w:val="16"/>
                <w:color w:val="auto"/>
              </w:rPr>
              <w:t>intra-period tax allocation, accounting for basis differences when</w:t>
            </w:r>
          </w:p>
        </w:tc>
        <w:tc>
          <w:tcPr>
            <w:tcW w:w="4580" w:type="dxa"/>
            <w:vAlign w:val="bottom"/>
          </w:tcPr>
          <w:p>
            <w:pPr>
              <w:ind w:left="60"/>
              <w:spacing w:after="0" w:line="162" w:lineRule="exact"/>
              <w:rPr>
                <w:sz w:val="20"/>
                <w:szCs w:val="20"/>
                <w:color w:val="auto"/>
              </w:rPr>
            </w:pPr>
            <w:r>
              <w:rPr>
                <w:rFonts w:ascii="Arial" w:cs="Arial" w:eastAsia="Arial" w:hAnsi="Arial"/>
                <w:sz w:val="16"/>
                <w:szCs w:val="16"/>
                <w:color w:val="auto"/>
              </w:rPr>
              <w:t>financial position or results of operations upon adoption.</w:t>
            </w: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rPr>
              <w:t>for Income Taxes</w:t>
            </w:r>
          </w:p>
        </w:tc>
        <w:tc>
          <w:tcPr>
            <w:tcW w:w="4660" w:type="dxa"/>
            <w:vAlign w:val="bottom"/>
          </w:tcPr>
          <w:p>
            <w:pPr>
              <w:ind w:left="80"/>
              <w:spacing w:after="0" w:line="162" w:lineRule="exact"/>
              <w:rPr>
                <w:sz w:val="20"/>
                <w:szCs w:val="20"/>
                <w:color w:val="auto"/>
              </w:rPr>
            </w:pPr>
            <w:r>
              <w:rPr>
                <w:rFonts w:ascii="Arial" w:cs="Arial" w:eastAsia="Arial" w:hAnsi="Arial"/>
                <w:sz w:val="16"/>
                <w:szCs w:val="16"/>
                <w:color w:val="auto"/>
              </w:rPr>
              <w:t>there are ownership changes in foreign investments and interim-</w:t>
            </w:r>
          </w:p>
        </w:tc>
        <w:tc>
          <w:tcPr>
            <w:tcW w:w="458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4660" w:type="dxa"/>
            <w:vAlign w:val="bottom"/>
          </w:tcPr>
          <w:p>
            <w:pPr>
              <w:ind w:left="80"/>
              <w:spacing w:after="0" w:line="162" w:lineRule="exact"/>
              <w:rPr>
                <w:sz w:val="20"/>
                <w:szCs w:val="20"/>
                <w:color w:val="auto"/>
              </w:rPr>
            </w:pPr>
            <w:r>
              <w:rPr>
                <w:rFonts w:ascii="Arial" w:cs="Arial" w:eastAsia="Arial" w:hAnsi="Arial"/>
                <w:sz w:val="16"/>
                <w:szCs w:val="16"/>
                <w:color w:val="auto"/>
                <w:w w:val="99"/>
              </w:rPr>
              <w:t>period income tax accounting for year-to-date losses that exceed</w:t>
            </w:r>
          </w:p>
        </w:tc>
        <w:tc>
          <w:tcPr>
            <w:tcW w:w="458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4660" w:type="dxa"/>
            <w:vAlign w:val="bottom"/>
          </w:tcPr>
          <w:p>
            <w:pPr>
              <w:ind w:left="80"/>
              <w:spacing w:after="0" w:line="162" w:lineRule="exact"/>
              <w:rPr>
                <w:sz w:val="20"/>
                <w:szCs w:val="20"/>
                <w:color w:val="auto"/>
              </w:rPr>
            </w:pPr>
            <w:r>
              <w:rPr>
                <w:rFonts w:ascii="Arial" w:cs="Arial" w:eastAsia="Arial" w:hAnsi="Arial"/>
                <w:sz w:val="16"/>
                <w:szCs w:val="16"/>
                <w:color w:val="auto"/>
                <w:w w:val="96"/>
              </w:rPr>
              <w:t>anticipated losses. In addition, the ASU improves the application of</w:t>
            </w:r>
          </w:p>
        </w:tc>
        <w:tc>
          <w:tcPr>
            <w:tcW w:w="458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4660" w:type="dxa"/>
            <w:vAlign w:val="bottom"/>
          </w:tcPr>
          <w:p>
            <w:pPr>
              <w:ind w:left="80"/>
              <w:spacing w:after="0" w:line="162" w:lineRule="exact"/>
              <w:rPr>
                <w:sz w:val="20"/>
                <w:szCs w:val="20"/>
                <w:color w:val="auto"/>
              </w:rPr>
            </w:pPr>
            <w:r>
              <w:rPr>
                <w:rFonts w:ascii="Arial" w:cs="Arial" w:eastAsia="Arial" w:hAnsi="Arial"/>
                <w:sz w:val="16"/>
                <w:szCs w:val="16"/>
                <w:color w:val="auto"/>
              </w:rPr>
              <w:t>income tax related guidance and simplifies U.S. GAAP when</w:t>
            </w:r>
          </w:p>
        </w:tc>
        <w:tc>
          <w:tcPr>
            <w:tcW w:w="458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4660" w:type="dxa"/>
            <w:vAlign w:val="bottom"/>
          </w:tcPr>
          <w:p>
            <w:pPr>
              <w:ind w:left="80"/>
              <w:spacing w:after="0" w:line="162" w:lineRule="exact"/>
              <w:rPr>
                <w:sz w:val="20"/>
                <w:szCs w:val="20"/>
                <w:color w:val="auto"/>
              </w:rPr>
            </w:pPr>
            <w:r>
              <w:rPr>
                <w:rFonts w:ascii="Arial" w:cs="Arial" w:eastAsia="Arial" w:hAnsi="Arial"/>
                <w:sz w:val="16"/>
                <w:szCs w:val="16"/>
                <w:color w:val="auto"/>
                <w:w w:val="98"/>
              </w:rPr>
              <w:t>accounting for franchise taxes that are partially based on income,</w:t>
            </w:r>
          </w:p>
        </w:tc>
        <w:tc>
          <w:tcPr>
            <w:tcW w:w="458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4660" w:type="dxa"/>
            <w:vAlign w:val="bottom"/>
          </w:tcPr>
          <w:p>
            <w:pPr>
              <w:ind w:left="80"/>
              <w:spacing w:after="0" w:line="162" w:lineRule="exact"/>
              <w:rPr>
                <w:sz w:val="20"/>
                <w:szCs w:val="20"/>
                <w:color w:val="auto"/>
              </w:rPr>
            </w:pPr>
            <w:r>
              <w:rPr>
                <w:rFonts w:ascii="Arial" w:cs="Arial" w:eastAsia="Arial" w:hAnsi="Arial"/>
                <w:sz w:val="16"/>
                <w:szCs w:val="16"/>
                <w:color w:val="auto"/>
              </w:rPr>
              <w:t>transactions with government resulting in a step-up in tax basis</w:t>
            </w:r>
          </w:p>
        </w:tc>
        <w:tc>
          <w:tcPr>
            <w:tcW w:w="458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4660" w:type="dxa"/>
            <w:vAlign w:val="bottom"/>
          </w:tcPr>
          <w:p>
            <w:pPr>
              <w:ind w:left="80"/>
              <w:spacing w:after="0" w:line="162" w:lineRule="exact"/>
              <w:rPr>
                <w:sz w:val="20"/>
                <w:szCs w:val="20"/>
                <w:color w:val="auto"/>
              </w:rPr>
            </w:pPr>
            <w:r>
              <w:rPr>
                <w:rFonts w:ascii="Arial" w:cs="Arial" w:eastAsia="Arial" w:hAnsi="Arial"/>
                <w:sz w:val="16"/>
                <w:szCs w:val="16"/>
                <w:color w:val="auto"/>
                <w:w w:val="93"/>
              </w:rPr>
              <w:t>goodwill, separate financial statements of legal entities not subject to</w:t>
            </w:r>
          </w:p>
        </w:tc>
        <w:tc>
          <w:tcPr>
            <w:tcW w:w="458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4660" w:type="dxa"/>
            <w:vAlign w:val="bottom"/>
          </w:tcPr>
          <w:p>
            <w:pPr>
              <w:ind w:left="80"/>
              <w:spacing w:after="0" w:line="162" w:lineRule="exact"/>
              <w:rPr>
                <w:sz w:val="20"/>
                <w:szCs w:val="20"/>
                <w:color w:val="auto"/>
              </w:rPr>
            </w:pPr>
            <w:r>
              <w:rPr>
                <w:rFonts w:ascii="Arial" w:cs="Arial" w:eastAsia="Arial" w:hAnsi="Arial"/>
                <w:sz w:val="16"/>
                <w:szCs w:val="16"/>
                <w:color w:val="auto"/>
                <w:w w:val="99"/>
              </w:rPr>
              <w:t>tax, and enacted changes in tax laws in interim periods. Different</w:t>
            </w:r>
          </w:p>
        </w:tc>
        <w:tc>
          <w:tcPr>
            <w:tcW w:w="458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4660" w:type="dxa"/>
            <w:vAlign w:val="bottom"/>
          </w:tcPr>
          <w:p>
            <w:pPr>
              <w:ind w:left="80"/>
              <w:spacing w:after="0" w:line="162" w:lineRule="exact"/>
              <w:rPr>
                <w:sz w:val="20"/>
                <w:szCs w:val="20"/>
                <w:color w:val="auto"/>
              </w:rPr>
            </w:pPr>
            <w:r>
              <w:rPr>
                <w:rFonts w:ascii="Arial" w:cs="Arial" w:eastAsia="Arial" w:hAnsi="Arial"/>
                <w:sz w:val="16"/>
                <w:szCs w:val="16"/>
                <w:color w:val="auto"/>
                <w:w w:val="98"/>
              </w:rPr>
              <w:t>transition  approaches,  retrospective,  modified  retrospective,  or</w:t>
            </w:r>
          </w:p>
        </w:tc>
        <w:tc>
          <w:tcPr>
            <w:tcW w:w="4580" w:type="dxa"/>
            <w:vAlign w:val="bottom"/>
          </w:tcPr>
          <w:p>
            <w:pPr>
              <w:spacing w:after="0"/>
              <w:rPr>
                <w:sz w:val="14"/>
                <w:szCs w:val="14"/>
                <w:color w:val="auto"/>
              </w:rPr>
            </w:pPr>
          </w:p>
        </w:tc>
      </w:tr>
      <w:tr>
        <w:trPr>
          <w:trHeight w:val="209"/>
        </w:trPr>
        <w:tc>
          <w:tcPr>
            <w:tcW w:w="196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8"/>
              </w:rPr>
              <w:t>prospective, will apply to each income tax simplification provision.</w:t>
            </w:r>
          </w:p>
        </w:tc>
        <w:tc>
          <w:tcPr>
            <w:tcW w:w="4580" w:type="dxa"/>
            <w:vAlign w:val="bottom"/>
            <w:tcBorders>
              <w:bottom w:val="single" w:sz="8" w:color="auto"/>
            </w:tcBorders>
          </w:tcPr>
          <w:p>
            <w:pPr>
              <w:spacing w:after="0"/>
              <w:rPr>
                <w:sz w:val="18"/>
                <w:szCs w:val="18"/>
                <w:color w:val="auto"/>
              </w:rPr>
            </w:pPr>
          </w:p>
        </w:tc>
      </w:tr>
      <w:tr>
        <w:trPr>
          <w:trHeight w:val="162"/>
        </w:trPr>
        <w:tc>
          <w:tcPr>
            <w:tcW w:w="1960" w:type="dxa"/>
            <w:vAlign w:val="bottom"/>
          </w:tcPr>
          <w:p>
            <w:pPr>
              <w:ind w:left="20"/>
              <w:spacing w:after="0" w:line="162" w:lineRule="exact"/>
              <w:rPr>
                <w:sz w:val="20"/>
                <w:szCs w:val="20"/>
                <w:color w:val="auto"/>
              </w:rPr>
            </w:pPr>
            <w:r>
              <w:rPr>
                <w:rFonts w:ascii="Arial" w:cs="Arial" w:eastAsia="Arial" w:hAnsi="Arial"/>
                <w:sz w:val="16"/>
                <w:szCs w:val="16"/>
                <w:color w:val="auto"/>
                <w:w w:val="95"/>
              </w:rPr>
              <w:t>Date of adoption: January 1,</w:t>
            </w:r>
          </w:p>
        </w:tc>
        <w:tc>
          <w:tcPr>
            <w:tcW w:w="4660" w:type="dxa"/>
            <w:vAlign w:val="bottom"/>
          </w:tcPr>
          <w:p>
            <w:pPr>
              <w:spacing w:after="0"/>
              <w:rPr>
                <w:sz w:val="14"/>
                <w:szCs w:val="14"/>
                <w:color w:val="auto"/>
              </w:rPr>
            </w:pPr>
          </w:p>
        </w:tc>
        <w:tc>
          <w:tcPr>
            <w:tcW w:w="4580" w:type="dxa"/>
            <w:vAlign w:val="bottom"/>
          </w:tcPr>
          <w:p>
            <w:pPr>
              <w:spacing w:after="0"/>
              <w:rPr>
                <w:sz w:val="14"/>
                <w:szCs w:val="14"/>
                <w:color w:val="auto"/>
              </w:rPr>
            </w:pPr>
          </w:p>
        </w:tc>
      </w:tr>
      <w:tr>
        <w:trPr>
          <w:trHeight w:val="20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2021.</w:t>
            </w:r>
          </w:p>
        </w:tc>
        <w:tc>
          <w:tcPr>
            <w:tcW w:w="466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Technology, Media and Telecom (collectively, “TMT”)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11"/>
          </w:tcPr>
          <w:p>
            <w:pPr>
              <w:jc w:val="right"/>
              <w:ind w:right="139"/>
              <w:spacing w:after="0"/>
              <w:rPr>
                <w:sz w:val="20"/>
                <w:szCs w:val="20"/>
                <w:color w:val="auto"/>
              </w:rPr>
            </w:pPr>
            <w:r>
              <w:rPr>
                <w:rFonts w:ascii="Arial" w:cs="Arial" w:eastAsia="Arial" w:hAnsi="Arial"/>
                <w:sz w:val="14"/>
                <w:szCs w:val="14"/>
                <w:b w:val="1"/>
                <w:bCs w:val="1"/>
                <w:color w:val="auto"/>
              </w:rPr>
              <w:t>Three Months Ended September 30, 2020</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12"/>
          </w:tcPr>
          <w:p>
            <w:pPr>
              <w:jc w:val="right"/>
              <w:ind w:right="159"/>
              <w:spacing w:after="0"/>
              <w:rPr>
                <w:sz w:val="20"/>
                <w:szCs w:val="20"/>
                <w:color w:val="auto"/>
              </w:rPr>
            </w:pPr>
            <w:r>
              <w:rPr>
                <w:rFonts w:ascii="Arial" w:cs="Arial" w:eastAsia="Arial" w:hAnsi="Arial"/>
                <w:sz w:val="14"/>
                <w:szCs w:val="14"/>
                <w:b w:val="1"/>
                <w:bCs w:val="1"/>
                <w:color w:val="auto"/>
              </w:rPr>
              <w:t>Three Months Ended September 30, 2019</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48"/>
        </w:trPr>
        <w:tc>
          <w:tcPr>
            <w:tcW w:w="2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Cloud</w:t>
            </w:r>
          </w:p>
        </w:tc>
        <w:tc>
          <w:tcPr>
            <w:tcW w:w="280" w:type="dxa"/>
            <w:vAlign w:val="bottom"/>
          </w:tcPr>
          <w:p>
            <w:pPr>
              <w:spacing w:after="0"/>
              <w:rPr>
                <w:sz w:val="12"/>
                <w:szCs w:val="12"/>
                <w:color w:val="auto"/>
              </w:rPr>
            </w:pPr>
          </w:p>
        </w:tc>
        <w:tc>
          <w:tcPr>
            <w:tcW w:w="8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Digital</w:t>
            </w:r>
          </w:p>
        </w:tc>
        <w:tc>
          <w:tcPr>
            <w:tcW w:w="180" w:type="dxa"/>
            <w:vAlign w:val="bottom"/>
          </w:tcPr>
          <w:p>
            <w:pPr>
              <w:spacing w:after="0"/>
              <w:rPr>
                <w:sz w:val="12"/>
                <w:szCs w:val="12"/>
                <w:color w:val="auto"/>
              </w:rPr>
            </w:pPr>
          </w:p>
        </w:tc>
        <w:tc>
          <w:tcPr>
            <w:tcW w:w="9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Messaging</w:t>
            </w:r>
          </w:p>
        </w:tc>
        <w:tc>
          <w:tcPr>
            <w:tcW w:w="340" w:type="dxa"/>
            <w:vAlign w:val="bottom"/>
          </w:tcPr>
          <w:p>
            <w:pPr>
              <w:spacing w:after="0"/>
              <w:rPr>
                <w:sz w:val="12"/>
                <w:szCs w:val="12"/>
                <w:color w:val="auto"/>
              </w:rPr>
            </w:pPr>
          </w:p>
        </w:tc>
        <w:tc>
          <w:tcPr>
            <w:tcW w:w="6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Cloud</w:t>
            </w:r>
          </w:p>
        </w:tc>
        <w:tc>
          <w:tcPr>
            <w:tcW w:w="300" w:type="dxa"/>
            <w:vAlign w:val="bottom"/>
          </w:tcPr>
          <w:p>
            <w:pPr>
              <w:spacing w:after="0"/>
              <w:rPr>
                <w:sz w:val="12"/>
                <w:szCs w:val="12"/>
                <w:color w:val="auto"/>
              </w:rPr>
            </w:pPr>
          </w:p>
        </w:tc>
        <w:tc>
          <w:tcPr>
            <w:tcW w:w="8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Digital</w:t>
            </w:r>
          </w:p>
        </w:tc>
        <w:tc>
          <w:tcPr>
            <w:tcW w:w="140" w:type="dxa"/>
            <w:vAlign w:val="bottom"/>
          </w:tcPr>
          <w:p>
            <w:pPr>
              <w:spacing w:after="0"/>
              <w:rPr>
                <w:sz w:val="12"/>
                <w:szCs w:val="12"/>
                <w:color w:val="auto"/>
              </w:rPr>
            </w:pPr>
          </w:p>
        </w:tc>
        <w:tc>
          <w:tcPr>
            <w:tcW w:w="980" w:type="dxa"/>
            <w:vAlign w:val="bottom"/>
            <w:gridSpan w:val="4"/>
          </w:tcPr>
          <w:p>
            <w:pPr>
              <w:ind w:left="40"/>
              <w:spacing w:after="0" w:line="148" w:lineRule="exact"/>
              <w:rPr>
                <w:sz w:val="20"/>
                <w:szCs w:val="20"/>
                <w:color w:val="auto"/>
              </w:rPr>
            </w:pPr>
            <w:r>
              <w:rPr>
                <w:rFonts w:ascii="Arial" w:cs="Arial" w:eastAsia="Arial" w:hAnsi="Arial"/>
                <w:sz w:val="14"/>
                <w:szCs w:val="14"/>
                <w:b w:val="1"/>
                <w:bCs w:val="1"/>
                <w:color w:val="auto"/>
              </w:rPr>
              <w:t>Messaging</w:t>
            </w:r>
          </w:p>
        </w:tc>
        <w:tc>
          <w:tcPr>
            <w:tcW w:w="340" w:type="dxa"/>
            <w:vAlign w:val="bottom"/>
          </w:tcPr>
          <w:p>
            <w:pPr>
              <w:spacing w:after="0"/>
              <w:rPr>
                <w:sz w:val="12"/>
                <w:szCs w:val="12"/>
                <w:color w:val="auto"/>
              </w:rPr>
            </w:pPr>
          </w:p>
        </w:tc>
        <w:tc>
          <w:tcPr>
            <w:tcW w:w="6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89"/>
              </w:rPr>
              <w:t>Total</w:t>
            </w:r>
          </w:p>
        </w:tc>
      </w:tr>
      <w:tr>
        <w:trPr>
          <w:trHeight w:val="21"/>
        </w:trPr>
        <w:tc>
          <w:tcPr>
            <w:tcW w:w="2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9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Geography</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3"/>
        </w:trPr>
        <w:tc>
          <w:tcPr>
            <w:tcW w:w="2360" w:type="dxa"/>
            <w:vAlign w:val="bottom"/>
          </w:tcPr>
          <w:p>
            <w:pPr>
              <w:ind w:left="200"/>
              <w:spacing w:after="0"/>
              <w:rPr>
                <w:sz w:val="20"/>
                <w:szCs w:val="20"/>
                <w:color w:val="auto"/>
              </w:rPr>
            </w:pPr>
            <w:r>
              <w:rPr>
                <w:rFonts w:ascii="Arial" w:cs="Arial" w:eastAsia="Arial" w:hAnsi="Arial"/>
                <w:sz w:val="16"/>
                <w:szCs w:val="16"/>
                <w:color w:val="auto"/>
              </w:rPr>
              <w:t>Americas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37,806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10,212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4,249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52,266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38,669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(6,947)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2,514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34,236</w:t>
            </w:r>
          </w:p>
        </w:tc>
      </w:tr>
      <w:tr>
        <w:trPr>
          <w:trHeight w:val="219"/>
        </w:trPr>
        <w:tc>
          <w:tcPr>
            <w:tcW w:w="2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APAC</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9,071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11,407</w:t>
            </w:r>
          </w:p>
        </w:tc>
      </w:tr>
      <w:tr>
        <w:trPr>
          <w:trHeight w:val="213"/>
        </w:trPr>
        <w:tc>
          <w:tcPr>
            <w:tcW w:w="2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EMEA</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1,678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1,633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3,988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7,299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1,792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856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3,919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6,567</w:t>
            </w:r>
          </w:p>
        </w:tc>
      </w:tr>
      <w:tr>
        <w:trPr>
          <w:trHeight w:val="238"/>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39,484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12,635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16,517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68,636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40,461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17,071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52,210</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3"/>
        </w:trPr>
        <w:tc>
          <w:tcPr>
            <w:tcW w:w="2360" w:type="dxa"/>
            <w:vAlign w:val="bottom"/>
          </w:tcPr>
          <w:p>
            <w:pPr>
              <w:ind w:left="200"/>
              <w:spacing w:after="0"/>
              <w:rPr>
                <w:sz w:val="20"/>
                <w:szCs w:val="20"/>
                <w:color w:val="auto"/>
              </w:rPr>
            </w:pPr>
            <w:r>
              <w:rPr>
                <w:rFonts w:ascii="Arial" w:cs="Arial" w:eastAsia="Arial" w:hAnsi="Arial"/>
                <w:sz w:val="16"/>
                <w:szCs w:val="16"/>
                <w:color w:val="auto"/>
              </w:rPr>
              <w:t>Professional Services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5,253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2,891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3,262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11,405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3,861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2,698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9,966</w:t>
            </w:r>
          </w:p>
        </w:tc>
      </w:tr>
      <w:tr>
        <w:trPr>
          <w:trHeight w:val="219"/>
        </w:trPr>
        <w:tc>
          <w:tcPr>
            <w:tcW w:w="2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Transaction Services</w:t>
            </w:r>
          </w:p>
        </w:tc>
        <w:tc>
          <w:tcPr>
            <w:tcW w:w="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4,041</w:t>
            </w:r>
          </w:p>
        </w:tc>
      </w:tr>
      <w:tr>
        <w:trPr>
          <w:trHeight w:val="213"/>
        </w:trPr>
        <w:tc>
          <w:tcPr>
            <w:tcW w:w="2360" w:type="dxa"/>
            <w:vAlign w:val="bottom"/>
          </w:tcPr>
          <w:p>
            <w:pPr>
              <w:ind w:left="200"/>
              <w:spacing w:after="0"/>
              <w:rPr>
                <w:sz w:val="20"/>
                <w:szCs w:val="20"/>
                <w:color w:val="auto"/>
              </w:rPr>
            </w:pPr>
            <w:r>
              <w:rPr>
                <w:rFonts w:ascii="Arial" w:cs="Arial" w:eastAsia="Arial" w:hAnsi="Arial"/>
                <w:sz w:val="16"/>
                <w:szCs w:val="16"/>
                <w:color w:val="auto"/>
              </w:rPr>
              <w:t>Subscription Services</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32,887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8,001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11,236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52,124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35,243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(12,653)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9,321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31,911</w:t>
            </w:r>
          </w:p>
        </w:tc>
      </w:tr>
      <w:tr>
        <w:trPr>
          <w:trHeight w:val="216"/>
        </w:trPr>
        <w:tc>
          <w:tcPr>
            <w:tcW w:w="2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License</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6,292</w:t>
            </w:r>
          </w:p>
        </w:tc>
      </w:tr>
      <w:tr>
        <w:trPr>
          <w:trHeight w:val="212"/>
        </w:trPr>
        <w:tc>
          <w:tcPr>
            <w:tcW w:w="23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39,484</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12,635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16,517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68,636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40,461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(5,322)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17,071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52,210</w:t>
            </w:r>
          </w:p>
        </w:tc>
      </w:tr>
      <w:tr>
        <w:trPr>
          <w:trHeight w:val="21"/>
        </w:trPr>
        <w:tc>
          <w:tcPr>
            <w:tcW w:w="2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13"/>
          </w:tcPr>
          <w:p>
            <w:pPr>
              <w:jc w:val="right"/>
              <w:ind w:right="199"/>
              <w:spacing w:after="0"/>
              <w:rPr>
                <w:sz w:val="20"/>
                <w:szCs w:val="20"/>
                <w:color w:val="auto"/>
              </w:rPr>
            </w:pPr>
            <w:r>
              <w:rPr>
                <w:rFonts w:ascii="Arial" w:cs="Arial" w:eastAsia="Arial" w:hAnsi="Arial"/>
                <w:sz w:val="14"/>
                <w:szCs w:val="14"/>
                <w:b w:val="1"/>
                <w:bCs w:val="1"/>
                <w:color w:val="auto"/>
                <w:w w:val="91"/>
              </w:rPr>
              <w:t>Nine Months Ended September 30, 2020</w:t>
            </w: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12"/>
          </w:tcPr>
          <w:p>
            <w:pPr>
              <w:jc w:val="right"/>
              <w:ind w:right="199"/>
              <w:spacing w:after="0"/>
              <w:rPr>
                <w:sz w:val="20"/>
                <w:szCs w:val="20"/>
                <w:color w:val="auto"/>
              </w:rPr>
            </w:pPr>
            <w:r>
              <w:rPr>
                <w:rFonts w:ascii="Arial" w:cs="Arial" w:eastAsia="Arial" w:hAnsi="Arial"/>
                <w:sz w:val="14"/>
                <w:szCs w:val="14"/>
                <w:b w:val="1"/>
                <w:bCs w:val="1"/>
                <w:color w:val="auto"/>
                <w:w w:val="91"/>
              </w:rPr>
              <w:t>Nine Months Ended September 30, 2019</w:t>
            </w: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48"/>
        </w:trPr>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right"/>
              <w:ind w:right="159"/>
              <w:spacing w:after="0" w:line="148" w:lineRule="exact"/>
              <w:rPr>
                <w:sz w:val="20"/>
                <w:szCs w:val="20"/>
                <w:color w:val="auto"/>
              </w:rPr>
            </w:pPr>
            <w:r>
              <w:rPr>
                <w:rFonts w:ascii="Arial" w:cs="Arial" w:eastAsia="Arial" w:hAnsi="Arial"/>
                <w:sz w:val="14"/>
                <w:szCs w:val="14"/>
                <w:b w:val="1"/>
                <w:bCs w:val="1"/>
                <w:color w:val="auto"/>
              </w:rPr>
              <w:t>Cloud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tcPr>
          <w:p>
            <w:pPr>
              <w:ind w:left="80"/>
              <w:spacing w:after="0" w:line="148" w:lineRule="exact"/>
              <w:rPr>
                <w:sz w:val="20"/>
                <w:szCs w:val="20"/>
                <w:color w:val="auto"/>
              </w:rPr>
            </w:pPr>
            <w:r>
              <w:rPr>
                <w:rFonts w:ascii="Arial" w:cs="Arial" w:eastAsia="Arial" w:hAnsi="Arial"/>
                <w:sz w:val="14"/>
                <w:szCs w:val="14"/>
                <w:b w:val="1"/>
                <w:bCs w:val="1"/>
                <w:color w:val="auto"/>
              </w:rPr>
              <w:t>Digital</w:t>
            </w:r>
          </w:p>
        </w:tc>
        <w:tc>
          <w:tcPr>
            <w:tcW w:w="140" w:type="dxa"/>
            <w:vAlign w:val="bottom"/>
          </w:tcPr>
          <w:p>
            <w:pPr>
              <w:spacing w:after="0"/>
              <w:rPr>
                <w:sz w:val="12"/>
                <w:szCs w:val="12"/>
                <w:color w:val="auto"/>
              </w:rPr>
            </w:pPr>
          </w:p>
        </w:tc>
        <w:tc>
          <w:tcPr>
            <w:tcW w:w="1000" w:type="dxa"/>
            <w:vAlign w:val="bottom"/>
            <w:gridSpan w:val="4"/>
          </w:tcPr>
          <w:p>
            <w:pPr>
              <w:ind w:left="40"/>
              <w:spacing w:after="0" w:line="148" w:lineRule="exact"/>
              <w:rPr>
                <w:sz w:val="20"/>
                <w:szCs w:val="20"/>
                <w:color w:val="auto"/>
              </w:rPr>
            </w:pPr>
            <w:r>
              <w:rPr>
                <w:rFonts w:ascii="Arial" w:cs="Arial" w:eastAsia="Arial" w:hAnsi="Arial"/>
                <w:sz w:val="14"/>
                <w:szCs w:val="14"/>
                <w:b w:val="1"/>
                <w:bCs w:val="1"/>
                <w:color w:val="auto"/>
              </w:rPr>
              <w:t>Messaging</w:t>
            </w:r>
          </w:p>
        </w:tc>
        <w:tc>
          <w:tcPr>
            <w:tcW w:w="340" w:type="dxa"/>
            <w:vAlign w:val="bottom"/>
          </w:tcPr>
          <w:p>
            <w:pPr>
              <w:spacing w:after="0"/>
              <w:rPr>
                <w:sz w:val="12"/>
                <w:szCs w:val="12"/>
                <w:color w:val="auto"/>
              </w:rPr>
            </w:pPr>
          </w:p>
        </w:tc>
        <w:tc>
          <w:tcPr>
            <w:tcW w:w="66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gridSpan w:val="2"/>
          </w:tcPr>
          <w:p>
            <w:pPr>
              <w:jc w:val="right"/>
              <w:ind w:right="179"/>
              <w:spacing w:after="0" w:line="148" w:lineRule="exact"/>
              <w:rPr>
                <w:sz w:val="20"/>
                <w:szCs w:val="20"/>
                <w:color w:val="auto"/>
              </w:rPr>
            </w:pPr>
            <w:r>
              <w:rPr>
                <w:rFonts w:ascii="Arial" w:cs="Arial" w:eastAsia="Arial" w:hAnsi="Arial"/>
                <w:sz w:val="14"/>
                <w:szCs w:val="14"/>
                <w:b w:val="1"/>
                <w:bCs w:val="1"/>
                <w:color w:val="auto"/>
                <w:w w:val="85"/>
              </w:rPr>
              <w:t>Cloud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Digital</w:t>
            </w:r>
          </w:p>
        </w:tc>
        <w:tc>
          <w:tcPr>
            <w:tcW w:w="140" w:type="dxa"/>
            <w:vAlign w:val="bottom"/>
          </w:tcPr>
          <w:p>
            <w:pPr>
              <w:spacing w:after="0"/>
              <w:rPr>
                <w:sz w:val="12"/>
                <w:szCs w:val="12"/>
                <w:color w:val="auto"/>
              </w:rPr>
            </w:pPr>
          </w:p>
        </w:tc>
        <w:tc>
          <w:tcPr>
            <w:tcW w:w="980" w:type="dxa"/>
            <w:vAlign w:val="bottom"/>
            <w:gridSpan w:val="4"/>
          </w:tcPr>
          <w:p>
            <w:pPr>
              <w:ind w:left="40"/>
              <w:spacing w:after="0" w:line="148" w:lineRule="exact"/>
              <w:rPr>
                <w:sz w:val="20"/>
                <w:szCs w:val="20"/>
                <w:color w:val="auto"/>
              </w:rPr>
            </w:pPr>
            <w:r>
              <w:rPr>
                <w:rFonts w:ascii="Arial" w:cs="Arial" w:eastAsia="Arial" w:hAnsi="Arial"/>
                <w:sz w:val="14"/>
                <w:szCs w:val="14"/>
                <w:b w:val="1"/>
                <w:bCs w:val="1"/>
                <w:color w:val="auto"/>
              </w:rPr>
              <w:t>Messaging</w:t>
            </w:r>
          </w:p>
        </w:tc>
        <w:tc>
          <w:tcPr>
            <w:tcW w:w="340" w:type="dxa"/>
            <w:vAlign w:val="bottom"/>
          </w:tcPr>
          <w:p>
            <w:pPr>
              <w:spacing w:after="0"/>
              <w:rPr>
                <w:sz w:val="12"/>
                <w:szCs w:val="12"/>
                <w:color w:val="auto"/>
              </w:rPr>
            </w:pPr>
          </w:p>
        </w:tc>
        <w:tc>
          <w:tcPr>
            <w:tcW w:w="66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89"/>
              </w:rPr>
              <w:t>Total</w:t>
            </w:r>
          </w:p>
        </w:tc>
      </w:tr>
      <w:tr>
        <w:trPr>
          <w:trHeight w:val="21"/>
        </w:trPr>
        <w:tc>
          <w:tcPr>
            <w:tcW w:w="2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9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Geography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3"/>
        </w:trPr>
        <w:tc>
          <w:tcPr>
            <w:tcW w:w="2360" w:type="dxa"/>
            <w:vAlign w:val="bottom"/>
          </w:tcPr>
          <w:p>
            <w:pPr>
              <w:ind w:left="200"/>
              <w:spacing w:after="0"/>
              <w:rPr>
                <w:sz w:val="20"/>
                <w:szCs w:val="20"/>
                <w:color w:val="auto"/>
              </w:rPr>
            </w:pPr>
            <w:r>
              <w:rPr>
                <w:rFonts w:ascii="Arial" w:cs="Arial" w:eastAsia="Arial" w:hAnsi="Arial"/>
                <w:sz w:val="16"/>
                <w:szCs w:val="16"/>
                <w:color w:val="auto"/>
              </w:rPr>
              <w:t>Americas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117,889</w:t>
            </w: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33,786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23,652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175,326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116,165</w:t>
            </w: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34,325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6,864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157,354</w:t>
            </w:r>
          </w:p>
        </w:tc>
      </w:tr>
      <w:tr>
        <w:trPr>
          <w:trHeight w:val="219"/>
        </w:trPr>
        <w:tc>
          <w:tcPr>
            <w:tcW w:w="2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APAC</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2,368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24,163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26,531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37,578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40,502</w:t>
            </w:r>
          </w:p>
        </w:tc>
      </w:tr>
      <w:tr>
        <w:trPr>
          <w:trHeight w:val="213"/>
        </w:trPr>
        <w:tc>
          <w:tcPr>
            <w:tcW w:w="23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EMEA</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5,086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4,237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11,113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20,436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5,437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2,506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12,362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20,305</w:t>
            </w:r>
          </w:p>
        </w:tc>
      </w:tr>
      <w:tr>
        <w:trPr>
          <w:trHeight w:val="23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122,975</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40,390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58,928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222,293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121,602</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39,755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56,804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218,161</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3"/>
        </w:trPr>
        <w:tc>
          <w:tcPr>
            <w:tcW w:w="2360" w:type="dxa"/>
            <w:vAlign w:val="bottom"/>
          </w:tcPr>
          <w:p>
            <w:pPr>
              <w:ind w:left="200"/>
              <w:spacing w:after="0"/>
              <w:rPr>
                <w:sz w:val="20"/>
                <w:szCs w:val="20"/>
                <w:color w:val="auto"/>
              </w:rPr>
            </w:pPr>
            <w:r>
              <w:rPr>
                <w:rFonts w:ascii="Arial" w:cs="Arial" w:eastAsia="Arial" w:hAnsi="Arial"/>
                <w:sz w:val="16"/>
                <w:szCs w:val="16"/>
                <w:color w:val="auto"/>
              </w:rPr>
              <w:t>Professional Services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14,398</w:t>
            </w: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10,163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14,464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39,024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11,220</w:t>
            </w: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11,699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20,066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42,985</w:t>
            </w:r>
          </w:p>
        </w:tc>
      </w:tr>
      <w:tr>
        <w:trPr>
          <w:trHeight w:val="219"/>
        </w:trPr>
        <w:tc>
          <w:tcPr>
            <w:tcW w:w="2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Transaction Services</w:t>
            </w:r>
          </w:p>
        </w:tc>
        <w:tc>
          <w:tcPr>
            <w:tcW w:w="2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4,126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10,084</w:t>
            </w:r>
          </w:p>
        </w:tc>
      </w:tr>
      <w:tr>
        <w:trPr>
          <w:trHeight w:val="213"/>
        </w:trPr>
        <w:tc>
          <w:tcPr>
            <w:tcW w:w="2360" w:type="dxa"/>
            <w:vAlign w:val="bottom"/>
          </w:tcPr>
          <w:p>
            <w:pPr>
              <w:ind w:left="200"/>
              <w:spacing w:after="0"/>
              <w:rPr>
                <w:sz w:val="20"/>
                <w:szCs w:val="20"/>
                <w:color w:val="auto"/>
              </w:rPr>
            </w:pPr>
            <w:r>
              <w:rPr>
                <w:rFonts w:ascii="Arial" w:cs="Arial" w:eastAsia="Arial" w:hAnsi="Arial"/>
                <w:sz w:val="16"/>
                <w:szCs w:val="16"/>
                <w:color w:val="auto"/>
              </w:rPr>
              <w:t>Subscription Services</w:t>
            </w:r>
          </w:p>
        </w:tc>
        <w:tc>
          <w:tcPr>
            <w:tcW w:w="2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104,452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24,254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32,965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161,671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106,036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19,886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27,043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152,965</w:t>
            </w:r>
          </w:p>
        </w:tc>
      </w:tr>
      <w:tr>
        <w:trPr>
          <w:trHeight w:val="216"/>
        </w:trPr>
        <w:tc>
          <w:tcPr>
            <w:tcW w:w="23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License</w:t>
            </w:r>
          </w:p>
        </w:tc>
        <w:tc>
          <w:tcPr>
            <w:tcW w:w="2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969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11,499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2,290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9,695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12,127</w:t>
            </w:r>
          </w:p>
        </w:tc>
      </w:tr>
      <w:tr>
        <w:trPr>
          <w:trHeight w:val="213"/>
        </w:trPr>
        <w:tc>
          <w:tcPr>
            <w:tcW w:w="23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122,975</w:t>
            </w: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40,390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58,928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222,293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121,602</w:t>
            </w: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39,755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56,804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218,161</w:t>
            </w:r>
          </w:p>
        </w:tc>
      </w:tr>
      <w:tr>
        <w:trPr>
          <w:trHeight w:val="20"/>
        </w:trPr>
        <w:tc>
          <w:tcPr>
            <w:tcW w:w="2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Accounts Receivable and Contract balances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condensed consolidated statements of financial position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economic indicators.</w:t>
      </w:r>
    </w:p>
    <w:p>
      <w:pPr>
        <w:spacing w:after="0" w:line="20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assets balance at September 30, 2020 is $13.6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Amounts collected in advance of services being provided are accounted for as contract liabilities, which are presented as deferred revenue on the accompanying Condensed Consolidated Balance Sheets and are realized with the associated revenue recognized under the contract. Nearly all of the Company's contract liabilities balance is related to services revenue, primarily subscription services contracts.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contract assets and liabilities are reported in a net position on a customer basis at the end of each reporting period.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changes in the contract liabilities balance (current and non-current) during the period are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8"/>
              </w:rPr>
              <w:t>Contract Liabilities*</w:t>
            </w:r>
          </w:p>
        </w:tc>
      </w:tr>
      <w:tr>
        <w:trPr>
          <w:trHeight w:val="22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 2020</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87,799</w:t>
            </w:r>
          </w:p>
        </w:tc>
      </w:tr>
      <w:tr>
        <w:trPr>
          <w:trHeight w:val="229"/>
        </w:trPr>
        <w:tc>
          <w:tcPr>
            <w:tcW w:w="9460" w:type="dxa"/>
            <w:vAlign w:val="bottom"/>
          </w:tcPr>
          <w:p>
            <w:pPr>
              <w:ind w:left="120"/>
              <w:spacing w:after="0"/>
              <w:rPr>
                <w:sz w:val="20"/>
                <w:szCs w:val="20"/>
                <w:color w:val="auto"/>
              </w:rPr>
            </w:pPr>
            <w:r>
              <w:rPr>
                <w:rFonts w:ascii="Arial" w:cs="Arial" w:eastAsia="Arial" w:hAnsi="Arial"/>
                <w:sz w:val="18"/>
                <w:szCs w:val="18"/>
                <w:color w:val="auto"/>
              </w:rPr>
              <w:t>Revenue recognized in the period</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(218,074)</w:t>
            </w:r>
          </w:p>
        </w:tc>
      </w:tr>
      <w:tr>
        <w:trPr>
          <w:trHeight w:val="230"/>
        </w:trPr>
        <w:tc>
          <w:tcPr>
            <w:tcW w:w="9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Amounts billed but not recognized as revenue</w:t>
            </w: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181,690</w:t>
            </w:r>
          </w:p>
        </w:tc>
      </w:tr>
      <w:tr>
        <w:trPr>
          <w:trHeight w:val="223"/>
        </w:trPr>
        <w:tc>
          <w:tcPr>
            <w:tcW w:w="9460" w:type="dxa"/>
            <w:vAlign w:val="bottom"/>
          </w:tcPr>
          <w:p>
            <w:pPr>
              <w:ind w:left="20"/>
              <w:spacing w:after="0"/>
              <w:rPr>
                <w:sz w:val="20"/>
                <w:szCs w:val="20"/>
                <w:color w:val="auto"/>
              </w:rPr>
            </w:pPr>
            <w:r>
              <w:rPr>
                <w:rFonts w:ascii="Arial" w:cs="Arial" w:eastAsia="Arial" w:hAnsi="Arial"/>
                <w:sz w:val="18"/>
                <w:szCs w:val="18"/>
                <w:color w:val="auto"/>
              </w:rPr>
              <w:t>Balance - September 30, 2020</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51,415</w:t>
            </w:r>
          </w:p>
        </w:tc>
      </w:tr>
      <w:tr>
        <w:trPr>
          <w:trHeight w:val="21"/>
        </w:trPr>
        <w:tc>
          <w:tcPr>
            <w:tcW w:w="9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Comprised of Deferred Revenue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Transaction price allocated to the remaining performance obligations</w:t>
      </w:r>
    </w:p>
    <w:p>
      <w:pPr>
        <w:spacing w:after="0" w:line="25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September 30, 2020. The Company has elected not to disclose transaction price allocated to remaining performance obligations for:</w:t>
      </w:r>
    </w:p>
    <w:p>
      <w:pPr>
        <w:spacing w:after="0" w:line="15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Contracts for which the Company recognizes revenues based on the right to invoice for services performed;</w:t>
      </w:r>
    </w:p>
    <w:p>
      <w:pPr>
        <w:spacing w:after="0" w:line="9" w:lineRule="exact"/>
        <w:rPr>
          <w:rFonts w:ascii="Arial" w:cs="Arial" w:eastAsia="Arial" w:hAnsi="Arial"/>
          <w:sz w:val="18"/>
          <w:szCs w:val="18"/>
          <w:color w:val="auto"/>
        </w:rPr>
      </w:pPr>
    </w:p>
    <w:p>
      <w:pPr>
        <w:jc w:val="both"/>
        <w:ind w:left="660" w:right="2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20"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Many of the Company’s performance obligations meet one or more of these exemptions. Specifically, the Company has excluded the following from the Company’s remaining performance obligations, all of which will be resolved in the period in which amounts are known:</w:t>
      </w:r>
    </w:p>
    <w:p>
      <w:pPr>
        <w:spacing w:after="0" w:line="1"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consideration for future transactions, above any contractual minimums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consideration for success-based transactions contingent on third party data</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credits for failure to meet future service level requirements</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2020, the aggregate amount of transaction price allocated to remaining performance obligations, other than those meeting the exclusion criteria above, was $296.0 million, of which approximately 64.6 percent is expected to be recognized as revenues within 2 years, and the remainder thereafter.</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21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Observable inputs - quoted prices in active markets for identical assets and liabilities;</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1" w:lineRule="exact"/>
        <w:rPr>
          <w:rFonts w:ascii="Arial" w:cs="Arial" w:eastAsia="Arial" w:hAnsi="Arial"/>
          <w:sz w:val="18"/>
          <w:szCs w:val="18"/>
          <w:color w:val="auto"/>
        </w:rPr>
      </w:pPr>
    </w:p>
    <w:p>
      <w:pPr>
        <w:ind w:left="340" w:right="20" w:hanging="332"/>
        <w:spacing w:after="0" w:line="260"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 includes amounts derived from valuation models where one or more significant inputs are unobservable and require the Company to develop relevant assumptions.</w:t>
      </w:r>
    </w:p>
    <w:p>
      <w:pPr>
        <w:spacing w:after="0" w:line="21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right"/>
              <w:ind w:right="255"/>
              <w:spacing w:after="0"/>
              <w:rPr>
                <w:sz w:val="20"/>
                <w:szCs w:val="20"/>
                <w:color w:val="auto"/>
              </w:rPr>
            </w:pPr>
            <w:r>
              <w:rPr>
                <w:rFonts w:ascii="Arial" w:cs="Arial" w:eastAsia="Arial" w:hAnsi="Arial"/>
                <w:sz w:val="16"/>
                <w:szCs w:val="16"/>
                <w:b w:val="1"/>
                <w:bCs w:val="1"/>
                <w:color w:val="auto"/>
              </w:rPr>
              <w:t>September 30, 2020</w:t>
            </w: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ind w:left="8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32"/>
              <w:spacing w:after="0"/>
              <w:rPr>
                <w:sz w:val="20"/>
                <w:szCs w:val="20"/>
                <w:color w:val="auto"/>
              </w:rPr>
            </w:pPr>
            <w:r>
              <w:rPr>
                <w:rFonts w:ascii="Arial" w:cs="Arial" w:eastAsia="Arial" w:hAnsi="Arial"/>
                <w:sz w:val="16"/>
                <w:szCs w:val="16"/>
                <w:b w:val="1"/>
                <w:bCs w:val="1"/>
                <w:color w:val="auto"/>
              </w:rPr>
              <w:t>(Level 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3"/>
                <w:szCs w:val="23"/>
                <w:color w:val="auto"/>
                <w:vertAlign w:val="superscript"/>
              </w:rPr>
              <w:t>(1)</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46,359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46,359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775"/>
              <w:spacing w:after="0"/>
              <w:rPr>
                <w:sz w:val="20"/>
                <w:szCs w:val="20"/>
                <w:color w:val="auto"/>
              </w:rPr>
            </w:pPr>
            <w:r>
              <w:rPr>
                <w:rFonts w:ascii="Arial" w:cs="Arial" w:eastAsia="Arial" w:hAnsi="Arial"/>
                <w:sz w:val="18"/>
                <w:szCs w:val="18"/>
                <w:color w:val="auto"/>
                <w:w w:val="99"/>
              </w:rPr>
              <w:t>$</w:t>
            </w:r>
          </w:p>
        </w:tc>
        <w:tc>
          <w:tcPr>
            <w:tcW w:w="38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46,359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46,359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775"/>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Temporary equity</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3"/>
                <w:szCs w:val="23"/>
                <w:color w:val="auto"/>
                <w:vertAlign w:val="superscript"/>
              </w:rPr>
              <w:t>(3)</w:t>
            </w: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775"/>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4"/>
        </w:trPr>
        <w:tc>
          <w:tcPr>
            <w:tcW w:w="5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255"/>
              <w:spacing w:after="0"/>
              <w:rPr>
                <w:sz w:val="20"/>
                <w:szCs w:val="20"/>
                <w:color w:val="auto"/>
              </w:rPr>
            </w:pPr>
            <w:r>
              <w:rPr>
                <w:rFonts w:ascii="Arial" w:cs="Arial" w:eastAsia="Arial" w:hAnsi="Arial"/>
                <w:sz w:val="16"/>
                <w:szCs w:val="16"/>
                <w:b w:val="1"/>
                <w:bCs w:val="1"/>
                <w:color w:val="auto"/>
              </w:rPr>
              <w:t>December 31, 2019</w:t>
            </w: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ind w:left="20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1)</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92"/>
              <w:spacing w:after="0"/>
              <w:rPr>
                <w:sz w:val="20"/>
                <w:szCs w:val="20"/>
                <w:color w:val="auto"/>
              </w:rPr>
            </w:pPr>
            <w:r>
              <w:rPr>
                <w:rFonts w:ascii="Arial" w:cs="Arial" w:eastAsia="Arial" w:hAnsi="Arial"/>
                <w:sz w:val="16"/>
                <w:szCs w:val="16"/>
                <w:b w:val="1"/>
                <w:bCs w:val="1"/>
                <w:color w:val="auto"/>
              </w:rPr>
              <w:t>(Level 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3"/>
                <w:szCs w:val="23"/>
                <w:color w:val="auto"/>
                <w:vertAlign w:val="superscript"/>
              </w:rPr>
              <w:t>(1)</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39,001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39,001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735"/>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39,012</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39,001</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35"/>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color w:val="auto"/>
                <w:w w:val="89"/>
              </w:rPr>
              <w:t>11</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Temporary Equity</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3"/>
                <w:szCs w:val="23"/>
                <w:color w:val="auto"/>
                <w:vertAlign w:val="superscript"/>
              </w:rPr>
              <w:t>(3)</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35"/>
              <w:spacing w:after="0"/>
              <w:rPr>
                <w:sz w:val="20"/>
                <w:szCs w:val="20"/>
                <w:color w:val="auto"/>
              </w:rPr>
            </w:pPr>
            <w:r>
              <w:rPr>
                <w:rFonts w:ascii="Arial" w:cs="Arial" w:eastAsia="Arial" w:hAnsi="Arial"/>
                <w:sz w:val="18"/>
                <w:szCs w:val="18"/>
                <w:color w:val="auto"/>
              </w:rPr>
              <w:t>$</w:t>
            </w:r>
          </w:p>
        </w:tc>
        <w:tc>
          <w:tcPr>
            <w:tcW w:w="38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ind w:left="320" w:hanging="312"/>
        <w:spacing w:after="0" w:line="217"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Cash equivalents primarily included money market funds.</w:t>
      </w:r>
    </w:p>
    <w:p>
      <w:pPr>
        <w:spacing w:after="0" w:line="1"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Marketable securities are comprised of municipal bonds, certificates of deposit. corporate bonds, treasury bonds, and mutual funds.</w:t>
      </w:r>
    </w:p>
    <w:p>
      <w:pPr>
        <w:spacing w:after="0" w:line="2" w:lineRule="exact"/>
        <w:rPr>
          <w:rFonts w:ascii="Arial" w:cs="Arial" w:eastAsia="Arial" w:hAnsi="Arial"/>
          <w:sz w:val="23"/>
          <w:szCs w:val="23"/>
          <w:color w:val="auto"/>
          <w:vertAlign w:val="superscript"/>
        </w:rPr>
      </w:pPr>
    </w:p>
    <w:p>
      <w:pPr>
        <w:ind w:left="320" w:hanging="312"/>
        <w:spacing w:after="0" w:line="194"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Put arrangements held by the noncontrolling interests in certain of the Company’s joint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5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noncontrolling interests could significantly increase or decrease the fair value estimates recorded in the Condensed Consolidated Balance Sheets.</w:t>
      </w:r>
    </w:p>
    <w:p>
      <w:pPr>
        <w:spacing w:after="0" w:line="2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in fair value of the Company’s Level 3 redeemable noncontrolling interests during the nine months ended September 30, 2020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29"/>
        </w:trPr>
        <w:tc>
          <w:tcPr>
            <w:tcW w:w="10000" w:type="dxa"/>
            <w:vAlign w:val="bottom"/>
          </w:tcPr>
          <w:p>
            <w:pPr>
              <w:ind w:left="220"/>
              <w:spacing w:after="0"/>
              <w:rPr>
                <w:sz w:val="20"/>
                <w:szCs w:val="20"/>
                <w:color w:val="auto"/>
              </w:rPr>
            </w:pPr>
            <w:r>
              <w:rPr>
                <w:rFonts w:ascii="Arial" w:cs="Arial" w:eastAsia="Arial" w:hAnsi="Arial"/>
                <w:sz w:val="18"/>
                <w:szCs w:val="18"/>
                <w:color w:val="auto"/>
              </w:rPr>
              <w:t>Fair value adjustment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10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attributable to redeemable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3"/>
        </w:trPr>
        <w:tc>
          <w:tcPr>
            <w:tcW w:w="1000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r>
      <w:tr>
        <w:trPr>
          <w:trHeight w:val="21"/>
        </w:trPr>
        <w:tc>
          <w:tcPr>
            <w:tcW w:w="10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party to certain sublease arrangements, primarily related to the Company’s real estate leases, where it acts as the lessee and intermediate lessor.</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reflects finance leases as a component of Leases, non-current on the Condensed Consolidated Balance Sheet. The finance leases were not material for the period ended September 30, 2020.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the Company's Right of Use (ROU) assets and lease liabilities at September 30, 2020 (in thousands):</w:t>
      </w:r>
    </w:p>
    <w:p>
      <w:pPr>
        <w:sectPr>
          <w:pgSz w:w="11900" w:h="16838" w:orient="portrait"/>
          <w:cols w:equalWidth="0" w:num="1">
            <w:col w:w="11240"/>
          </w:cols>
          <w:pgMar w:left="320" w:top="125" w:right="339" w:bottom="1440" w:gutter="0" w:footer="0" w:header="0"/>
        </w:sectPr>
      </w:pP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Non-current operating lease ROU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1062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 operating lease liabilities*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lease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Amounts are included in Accrued Expenses on the Condensed Consolidated Balance Sheet.</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left="948" w:hanging="948"/>
        <w:spacing w:after="0"/>
        <w:tabs>
          <w:tab w:leader="none" w:pos="948" w:val="left"/>
        </w:tabs>
        <w:numPr>
          <w:ilvl w:val="0"/>
          <w:numId w:val="8"/>
        </w:numPr>
        <w:rPr>
          <w:rFonts w:ascii="Arial" w:cs="Arial" w:eastAsia="Arial" w:hAnsi="Arial"/>
          <w:sz w:val="17"/>
          <w:szCs w:val="17"/>
          <w:color w:val="auto"/>
        </w:rPr>
      </w:pPr>
      <w:r>
        <w:rPr>
          <w:rFonts w:ascii="Arial" w:cs="Arial" w:eastAsia="Arial" w:hAnsi="Arial"/>
          <w:sz w:val="17"/>
          <w:szCs w:val="17"/>
          <w:color w:val="auto"/>
        </w:rPr>
        <w:t>37,019</w:t>
      </w:r>
    </w:p>
    <w:p>
      <w:pPr>
        <w:spacing w:after="0" w:line="200" w:lineRule="exact"/>
        <w:rPr>
          <w:sz w:val="20"/>
          <w:szCs w:val="20"/>
          <w:color w:val="auto"/>
        </w:rPr>
      </w:pPr>
    </w:p>
    <w:p>
      <w:pPr>
        <w:spacing w:after="0" w:line="334" w:lineRule="exact"/>
        <w:rPr>
          <w:sz w:val="20"/>
          <w:szCs w:val="20"/>
          <w:color w:val="auto"/>
        </w:rPr>
      </w:pPr>
    </w:p>
    <w:p>
      <w:pPr>
        <w:ind w:left="948" w:hanging="948"/>
        <w:spacing w:after="0"/>
        <w:tabs>
          <w:tab w:leader="none" w:pos="948" w:val="left"/>
        </w:tabs>
        <w:numPr>
          <w:ilvl w:val="0"/>
          <w:numId w:val="9"/>
        </w:numPr>
        <w:rPr>
          <w:rFonts w:ascii="Arial" w:cs="Arial" w:eastAsia="Arial" w:hAnsi="Arial"/>
          <w:sz w:val="17"/>
          <w:szCs w:val="17"/>
          <w:color w:val="auto"/>
        </w:rPr>
      </w:pPr>
      <w:r>
        <w:rPr>
          <w:rFonts w:ascii="Arial" w:cs="Arial" w:eastAsia="Arial" w:hAnsi="Arial"/>
          <w:sz w:val="17"/>
          <w:szCs w:val="17"/>
          <w:color w:val="auto"/>
        </w:rPr>
        <w:t>(9,300)</w:t>
      </w:r>
    </w:p>
    <w:p>
      <w:pPr>
        <w:spacing w:after="0" w:line="34" w:lineRule="exact"/>
        <w:rPr>
          <w:rFonts w:ascii="Arial" w:cs="Arial" w:eastAsia="Arial" w:hAnsi="Arial"/>
          <w:sz w:val="17"/>
          <w:szCs w:val="17"/>
          <w:color w:val="auto"/>
        </w:rPr>
      </w:pPr>
    </w:p>
    <w:p>
      <w:pPr>
        <w:ind w:left="868"/>
        <w:spacing w:after="0"/>
        <w:rPr>
          <w:rFonts w:ascii="Arial" w:cs="Arial" w:eastAsia="Arial" w:hAnsi="Arial"/>
          <w:sz w:val="17"/>
          <w:szCs w:val="17"/>
          <w:color w:val="auto"/>
        </w:rPr>
      </w:pPr>
      <w:r>
        <w:rPr>
          <w:rFonts w:ascii="Arial" w:cs="Arial" w:eastAsia="Arial" w:hAnsi="Arial"/>
          <w:sz w:val="16"/>
          <w:szCs w:val="16"/>
          <w:color w:val="auto"/>
        </w:rPr>
        <w:t>(48,703)</w:t>
      </w:r>
    </w:p>
    <w:p>
      <w:pPr>
        <w:spacing w:after="0" w:line="58" w:lineRule="exact"/>
        <w:rPr>
          <w:sz w:val="20"/>
          <w:szCs w:val="20"/>
          <w:color w:val="auto"/>
        </w:rPr>
      </w:pPr>
    </w:p>
    <w:p>
      <w:pPr>
        <w:ind w:left="868" w:hanging="868"/>
        <w:spacing w:after="0"/>
        <w:tabs>
          <w:tab w:leader="none" w:pos="868" w:val="left"/>
        </w:tabs>
        <w:numPr>
          <w:ilvl w:val="0"/>
          <w:numId w:val="10"/>
        </w:numPr>
        <w:rPr>
          <w:rFonts w:ascii="Arial" w:cs="Arial" w:eastAsia="Arial" w:hAnsi="Arial"/>
          <w:sz w:val="16"/>
          <w:szCs w:val="16"/>
          <w:color w:val="auto"/>
        </w:rPr>
      </w:pPr>
      <w:r>
        <w:rPr>
          <w:rFonts w:ascii="Arial" w:cs="Arial" w:eastAsia="Arial" w:hAnsi="Arial"/>
          <w:sz w:val="16"/>
          <w:szCs w:val="16"/>
          <w:color w:val="auto"/>
        </w:rPr>
        <w:t>(58,003)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55245</wp:posOffset>
            </wp:positionV>
            <wp:extent cx="9683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804" w:lineRule="exact"/>
        <w:rPr>
          <w:sz w:val="20"/>
          <w:szCs w:val="20"/>
          <w:color w:val="auto"/>
        </w:rPr>
      </w:pPr>
    </w:p>
    <w:p>
      <w:pPr>
        <w:sectPr>
          <w:pgSz w:w="11900" w:h="16838" w:orient="portrait"/>
          <w:cols w:equalWidth="0" w:num="2">
            <w:col w:w="8992" w:space="720"/>
            <w:col w:w="1528"/>
          </w:cols>
          <w:pgMar w:left="320" w:top="125" w:right="339" w:bottom="1440" w:gutter="0" w:footer="0" w:header="0"/>
          <w:type w:val="continuous"/>
        </w:sectPr>
      </w:pPr>
    </w:p>
    <w:p>
      <w:pPr>
        <w:spacing w:after="0" w:line="38" w:lineRule="exact"/>
        <w:rPr>
          <w:sz w:val="20"/>
          <w:szCs w:val="20"/>
          <w:color w:val="auto"/>
        </w:rPr>
      </w:pPr>
    </w:p>
    <w:p>
      <w:pPr>
        <w:ind w:firstLine="324"/>
        <w:spacing w:after="0" w:line="274" w:lineRule="auto"/>
        <w:rPr>
          <w:sz w:val="20"/>
          <w:szCs w:val="20"/>
          <w:color w:val="auto"/>
        </w:rPr>
      </w:pPr>
      <w:r>
        <w:rPr>
          <w:rFonts w:ascii="Arial" w:cs="Arial" w:eastAsia="Arial" w:hAnsi="Arial"/>
          <w:sz w:val="18"/>
          <w:szCs w:val="18"/>
          <w:color w:val="auto"/>
        </w:rPr>
        <w:t>The following table presents information about lease expense and sublease income for the three and nine months ended September 30, 2020 (in thousands):</w:t>
      </w:r>
    </w:p>
    <w:tbl>
      <w:tblPr>
        <w:tblLayout w:type="fixed"/>
        <w:tblInd w:w="8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jc w:val="right"/>
              <w:ind w:right="393"/>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604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September 30, 2020</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September 30, 2020</w:t>
            </w:r>
          </w:p>
        </w:tc>
      </w:tr>
      <w:tr>
        <w:trPr>
          <w:trHeight w:val="22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100" w:type="dxa"/>
            <w:vAlign w:val="bottom"/>
            <w:shd w:val="clear" w:color="auto" w:fill="CCEEFF"/>
          </w:tcPr>
          <w:p>
            <w:pPr>
              <w:jc w:val="right"/>
              <w:ind w:right="189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Other lease costs and income:</w:t>
            </w:r>
          </w:p>
        </w:tc>
        <w:tc>
          <w:tcPr>
            <w:tcW w:w="2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60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costs* </w:t>
            </w:r>
            <w:r>
              <w:rPr>
                <w:rFonts w:ascii="Arial" w:cs="Arial" w:eastAsia="Arial" w:hAnsi="Arial"/>
                <w:sz w:val="23"/>
                <w:szCs w:val="23"/>
                <w:color w:val="auto"/>
                <w:vertAlign w:val="superscript"/>
              </w:rPr>
              <w:t>(1)</w:t>
            </w:r>
          </w:p>
        </w:tc>
        <w:tc>
          <w:tcPr>
            <w:tcW w:w="2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r>
      <w:tr>
        <w:trPr>
          <w:trHeight w:val="229"/>
        </w:trPr>
        <w:tc>
          <w:tcPr>
            <w:tcW w:w="6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Sublease income*</w:t>
            </w:r>
          </w:p>
        </w:tc>
        <w:tc>
          <w:tcPr>
            <w:tcW w:w="2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r>
      <w:tr>
        <w:trPr>
          <w:trHeight w:val="248"/>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lease cost</w:t>
            </w:r>
          </w:p>
        </w:tc>
        <w:tc>
          <w:tcPr>
            <w:tcW w:w="2100" w:type="dxa"/>
            <w:vAlign w:val="bottom"/>
            <w:tcBorders>
              <w:bottom w:val="single" w:sz="8" w:color="auto"/>
            </w:tcBorders>
            <w:shd w:val="clear" w:color="auto" w:fill="CCEEFF"/>
          </w:tcPr>
          <w:p>
            <w:pPr>
              <w:jc w:val="right"/>
              <w:ind w:right="189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ind w:left="340" w:hanging="332"/>
        <w:spacing w:after="0" w:line="258" w:lineRule="auto"/>
        <w:tabs>
          <w:tab w:leader="none" w:pos="39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are included in Cost of revenues, Selling, general and administrative and/or Research and development based on the function that the underlying leased asset supports which are reflected in the Condensed Consolidated Statements of Operations.</w:t>
      </w:r>
    </w:p>
    <w:p>
      <w:pPr>
        <w:spacing w:after="0" w:line="1" w:lineRule="exact"/>
        <w:rPr>
          <w:sz w:val="20"/>
          <w:szCs w:val="20"/>
          <w:color w:val="auto"/>
        </w:rPr>
      </w:pPr>
    </w:p>
    <w:p>
      <w:pPr>
        <w:jc w:val="both"/>
        <w:ind w:left="340" w:hanging="332"/>
        <w:spacing w:after="0" w:line="255" w:lineRule="auto"/>
        <w:tabs>
          <w:tab w:leader="none" w:pos="396" w:val="left"/>
        </w:tabs>
        <w:numPr>
          <w:ilvl w:val="0"/>
          <w:numId w:val="12"/>
        </w:numPr>
        <w:rPr>
          <w:rFonts w:ascii="Arial" w:cs="Arial" w:eastAsia="Arial" w:hAnsi="Arial"/>
          <w:sz w:val="14"/>
          <w:szCs w:val="14"/>
          <w:color w:val="auto"/>
        </w:rPr>
      </w:pPr>
      <w:r>
        <w:rPr>
          <w:rFonts w:ascii="Arial" w:cs="Arial" w:eastAsia="Arial" w:hAnsi="Arial"/>
          <w:sz w:val="18"/>
          <w:szCs w:val="18"/>
          <w:color w:val="auto"/>
        </w:rPr>
        <w:t>During the third quarter, the Company reevaluated its current business model and determined that certain actions were appropriate to scale down the Company’s global real estate portfolio. These actions resulted in a $5.1 million impairment charge to the Company’s ROU assets and an additional $3.1 million impairment to leasehold improvements.</w:t>
      </w:r>
    </w:p>
    <w:p>
      <w:pPr>
        <w:spacing w:after="0" w:line="2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provides the undiscounted amount of future cash flows included in our lease liabilities at September 30, 2020 for each of the five years subsequent to December 31, 2019 and thereafter, as well as a reconciliation of such undiscounted cash flows to our lease liabilities at September 30, 2020 (in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9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71"/>
              <w:spacing w:after="0"/>
              <w:rPr>
                <w:sz w:val="20"/>
                <w:szCs w:val="20"/>
                <w:color w:val="auto"/>
              </w:rPr>
            </w:pPr>
            <w:r>
              <w:rPr>
                <w:rFonts w:ascii="Arial" w:cs="Arial" w:eastAsia="Arial" w:hAnsi="Arial"/>
                <w:sz w:val="16"/>
                <w:szCs w:val="16"/>
                <w:b w:val="1"/>
                <w:bCs w:val="1"/>
                <w:color w:val="auto"/>
                <w:w w:val="90"/>
              </w:rPr>
              <w:t>Operating Leases</w:t>
            </w:r>
          </w:p>
        </w:tc>
      </w:tr>
      <w:tr>
        <w:trPr>
          <w:trHeight w:val="233"/>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Remaining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r>
      <w:tr>
        <w:trPr>
          <w:trHeight w:val="229"/>
        </w:trPr>
        <w:tc>
          <w:tcPr>
            <w:tcW w:w="96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13,160</w:t>
            </w:r>
          </w:p>
        </w:tc>
      </w:tr>
      <w:tr>
        <w:trPr>
          <w:trHeight w:val="229"/>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12,241</w:t>
            </w:r>
          </w:p>
        </w:tc>
      </w:tr>
      <w:tr>
        <w:trPr>
          <w:trHeight w:val="230"/>
        </w:trPr>
        <w:tc>
          <w:tcPr>
            <w:tcW w:w="966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9,756</w:t>
            </w:r>
          </w:p>
        </w:tc>
      </w:tr>
      <w:tr>
        <w:trPr>
          <w:trHeight w:val="229"/>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w:t>
            </w:r>
          </w:p>
        </w:tc>
      </w:tr>
      <w:tr>
        <w:trPr>
          <w:trHeight w:val="229"/>
        </w:trPr>
        <w:tc>
          <w:tcPr>
            <w:tcW w:w="9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26,782</w:t>
            </w:r>
          </w:p>
        </w:tc>
      </w:tr>
      <w:tr>
        <w:trPr>
          <w:trHeight w:val="223"/>
        </w:trPr>
        <w:tc>
          <w:tcPr>
            <w:tcW w:w="9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future lease payments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74,162</w:t>
            </w:r>
          </w:p>
        </w:tc>
      </w:tr>
      <w:tr>
        <w:trPr>
          <w:trHeight w:val="229"/>
        </w:trPr>
        <w:tc>
          <w:tcPr>
            <w:tcW w:w="9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(16,158)</w:t>
            </w:r>
          </w:p>
        </w:tc>
      </w:tr>
      <w:tr>
        <w:trPr>
          <w:trHeight w:val="248"/>
        </w:trPr>
        <w:tc>
          <w:tcPr>
            <w:tcW w:w="9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Present value of future lease payments (lease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58,003</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the weighted-average remaining lease term and weighted-average discount rates for our leases as of September 30, 2020:</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1940" w:type="dxa"/>
            <w:vAlign w:val="bottom"/>
            <w:shd w:val="clear" w:color="auto" w:fill="CCEEFF"/>
          </w:tcPr>
          <w:p>
            <w:pPr>
              <w:spacing w:after="0"/>
              <w:rPr>
                <w:sz w:val="19"/>
                <w:szCs w:val="19"/>
                <w:color w:val="auto"/>
              </w:rPr>
            </w:pPr>
          </w:p>
        </w:tc>
      </w:tr>
      <w:tr>
        <w:trPr>
          <w:trHeight w:val="230"/>
        </w:trPr>
        <w:tc>
          <w:tcPr>
            <w:tcW w:w="9240" w:type="dxa"/>
            <w:vAlign w:val="bottom"/>
          </w:tcPr>
          <w:p>
            <w:pPr>
              <w:ind w:left="100"/>
              <w:spacing w:after="0"/>
              <w:rPr>
                <w:sz w:val="20"/>
                <w:szCs w:val="20"/>
                <w:color w:val="auto"/>
              </w:rPr>
            </w:pPr>
            <w:r>
              <w:rPr>
                <w:rFonts w:ascii="Arial" w:cs="Arial" w:eastAsia="Arial" w:hAnsi="Arial"/>
                <w:sz w:val="18"/>
                <w:szCs w:val="18"/>
                <w:color w:val="auto"/>
              </w:rPr>
              <w:t>Weighted-average remaining lease term (years), weighted based on lease liability balances</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6.52</w:t>
            </w:r>
          </w:p>
        </w:tc>
      </w:tr>
      <w:tr>
        <w:trPr>
          <w:trHeight w:val="230"/>
        </w:trPr>
        <w:tc>
          <w:tcPr>
            <w:tcW w:w="9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Weighted-average discount rate (percentages), weighted based on the remaining balance of lease payments</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certain cash flow and supplemental noncash information related to our lease liabilities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(in thousands):</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28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420" w:type="dxa"/>
            <w:vAlign w:val="bottom"/>
          </w:tcPr>
          <w:p>
            <w:pPr>
              <w:ind w:left="10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9,920</w:t>
            </w:r>
          </w:p>
        </w:tc>
      </w:tr>
      <w:tr>
        <w:trPr>
          <w:trHeight w:val="230"/>
        </w:trPr>
        <w:tc>
          <w:tcPr>
            <w:tcW w:w="7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Lease liabilities arising from obtaining right-of-use assets</w:t>
            </w:r>
          </w:p>
        </w:tc>
        <w:tc>
          <w:tcPr>
            <w:tcW w:w="28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Affiliates and Related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Sequential Technology International, LLC</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divestiture of the exception handling business of the Company in 2017, Synchronoss entered into a three-year Cloud Telephony and Support services agreement (“CTS Agreement”) to grant Sequential Technology International, LLC (“STIN”) access to certain Synchronoss software and private branch exchange systems to facilitate exception handling operations required to support STIN customers.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CTS agreement expired in the first quarter of 2020. At the time of the expiration, the Company entered into an Asset Purchase Agreement with STIN. As part of the agreement, the Company received $1.6 million in exchange for certain hardware and system assets for the cloud telephony and remaining support service business.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During the second quarter of 2020, the Company entered into an agreement with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a 3-year stated term. As part of the arrangement, APC acquired a majority stake of STIN. Additionally, in the event of a Sale of STIN by APC and STIN at a future date, the Company shall receive 5% of such sale proceeds, after reducing the sale proceeds by any outstanding amounts of the above Note, including any earned contingent consideration. The Company determined the fair value of the Note as of the transaction date to be approximately $4.8 million. The Company determined the fair value of the Note using a discounted cash flow analysis, which discounts the expected future cash flows of the asset to determine its fair value. The fair value measurement is based on significant inputs not observable in the market and thus represents a Level 3 measurement. The Note has been reflected in Other assets on the Condensed Consolidated balance sheet. No gain or loss was recognized as a result of the transaction.</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Additionally, the Company has renewed its commercial agreement with STIN to continue to provide software and managed support services.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Revolving Credit Facility</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October 4, 2019, the Company entered into a Credit Agreement with Citizens Bank, N.A., for a $10.0 million Revolving Credit Facility. Borrowings under the Revolving Credit Facility bear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0.50%, the prime commercial lending rate as determined by the Agent, and the daily LIBOR rate plus 1.00%, in each case plus an applicable margin and subject to a floor of 0%. In addition, on a quarterly basis, the Company is required to pay each lender under the Revolving Credit Facility a 0.2% commitment fee in respect of commitments under the Revolving Credit Facility, which may be subject to adjustment based on the Company’s total leverage ratio. On November 9, 2020, the Company entered into an amended credit agreement which changes the terms of the Company’s debt covenants. The Company is in compliance with its debt covenants. The outstanding balance under the Revolving Credit Facility as of September 30, 2020 is $10.0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interest expense: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288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w w:val="91"/>
              </w:rPr>
              <w:t>Three Months Ended September 30,</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10"/>
        </w:trPr>
        <w:tc>
          <w:tcPr>
            <w:tcW w:w="46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Amortization of debt issuance costs</w:t>
            </w:r>
          </w:p>
        </w:tc>
        <w:tc>
          <w:tcPr>
            <w:tcW w:w="112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borrowings</w:t>
            </w:r>
          </w:p>
        </w:tc>
        <w:tc>
          <w:tcPr>
            <w:tcW w:w="1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2019 Revolving Credit Facility</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issuance costs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Commitment fee</w:t>
            </w:r>
          </w:p>
        </w:tc>
        <w:tc>
          <w:tcPr>
            <w:tcW w:w="11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borrowings</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23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203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 / Income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accumulated other comprehensive (loss) income during the nine months ended September 30, 2020 were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w:t>
      </w:r>
    </w:p>
    <w:p>
      <w:pPr>
        <w:spacing w:after="0" w:line="32" w:lineRule="exact"/>
        <w:rPr>
          <w:sz w:val="20"/>
          <w:szCs w:val="20"/>
          <w:color w:val="auto"/>
        </w:rPr>
      </w:pPr>
    </w:p>
    <w:p>
      <w:pPr>
        <w:ind w:left="20" w:right="360"/>
        <w:spacing w:after="0" w:line="352" w:lineRule="auto"/>
        <w:rPr>
          <w:sz w:val="20"/>
          <w:szCs w:val="20"/>
          <w:color w:val="auto"/>
        </w:rPr>
      </w:pPr>
      <w:r>
        <w:rPr>
          <w:rFonts w:ascii="Arial" w:cs="Arial" w:eastAsia="Arial" w:hAnsi="Arial"/>
          <w:sz w:val="14"/>
          <w:szCs w:val="14"/>
          <w:color w:val="auto"/>
        </w:rPr>
        <w:t>Unrealized loss on intra-entity foreign currency transactions Unrealized holding gains (losses) on marketable debt securities</w:t>
      </w: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Balance at</w:t>
            </w:r>
          </w:p>
        </w:tc>
        <w:tc>
          <w:tcPr>
            <w:tcW w:w="3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Other</w:t>
            </w:r>
          </w:p>
        </w:tc>
        <w:tc>
          <w:tcPr>
            <w:tcW w:w="24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Tax effect</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213"/>
        </w:trPr>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December 31, 2019</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comprehensive loss</w:t>
            </w:r>
          </w:p>
        </w:tc>
        <w:tc>
          <w:tcPr>
            <w:tcW w:w="2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30, 2020</w:t>
            </w:r>
          </w:p>
        </w:tc>
        <w:tc>
          <w:tcPr>
            <w:tcW w:w="0" w:type="dxa"/>
            <w:vAlign w:val="bottom"/>
          </w:tcPr>
          <w:p>
            <w:pPr>
              <w:spacing w:after="0"/>
              <w:rPr>
                <w:sz w:val="1"/>
                <w:szCs w:val="1"/>
                <w:color w:val="auto"/>
              </w:rPr>
            </w:pPr>
          </w:p>
        </w:tc>
      </w:tr>
      <w:tr>
        <w:trPr>
          <w:trHeight w:val="206"/>
        </w:trPr>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(28,204)</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(28,930)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(3,260)</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(33,261)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(32,190)</w:t>
            </w:r>
          </w:p>
        </w:tc>
        <w:tc>
          <w:tcPr>
            <w:tcW w:w="0" w:type="dxa"/>
            <w:vAlign w:val="bottom"/>
          </w:tcPr>
          <w:p>
            <w:pPr>
              <w:spacing w:after="0"/>
              <w:rPr>
                <w:sz w:val="1"/>
                <w:szCs w:val="1"/>
                <w:color w:val="auto"/>
              </w:rPr>
            </w:pPr>
          </w:p>
        </w:tc>
      </w:tr>
      <w:tr>
        <w:trPr>
          <w:trHeight w:val="23"/>
        </w:trPr>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-599440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-316865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significant changes to Company’s authorized capital stock and preferred stock during the nine months ended September 30,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2020, there were 241,671 shares of Series A Preferred Stock outstanding, including the initial issuance of 185,000 shares of Series A Preferred Stock and the issuance of 56,671 shares of Series A Preferred Stock as dividends.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the Company does not declare and pay a dividend in-kind or in cash on any Series A Dividend Payment Date, the unpaid amount of the Preferred Dividend will be added to the Liquidation Preference. In addition, the Series A Preferred Stock participates in dividends declared and paid on shares of the Company’s common stock.</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and after February 15, 2023,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September 30, 2020, the Liquidation Value and Redemption Value of the Preferred Shares was $243.1 million.</w:t>
      </w:r>
    </w:p>
    <w:p>
      <w:pPr>
        <w:spacing w:after="0" w:line="21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holders of a majority of the Series A Preferred Stock, voting separately as a class, are entitled at each of the Company’s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the Company’s Board of Directors for so long as the Preferred Percentage (as defined in the Series A Certificate) is equal to or greater than 10%; and (ii) to nominate and elect one member of the Company’s Board of Directors for so long as the Preferred Percentage is equal to or greater than 5% but less than 10%.</w:t>
      </w:r>
    </w:p>
    <w:p>
      <w:pPr>
        <w:spacing w:after="0" w:line="2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the Company is required to obtain the prior approval of Silver prior to taking certain actions, including: (i) certain dividends, repayments and redemptions; (ii) any amendment to the Company’s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the Company; (iv) changes in the size of the Company’s Board of Directors; (v) any amendment, alteration, modification or repeal of the charter of the Company’s Nominating and Corporate Governance Committee of the Board of Directors and related documents; and (vi) any change in the Company’s principal business or the entry into any line of business outside of the Company’s existing lines of businesses. In addition, in the event that the Company is in EBITDA Non-Compliance (as defined in the Series A Certificate) or the undertaking of certain actions would result in the Company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20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the Series A Certificate, if Silver and certain of its affiliates have elected to effect a conversion of some or all of their shares of Series A Preferred Stock and if the sum, without duplication, of (i) the aggregate number of shares of the Company’s common stock issued to such holders upon such conversion and any shares of the Company’s common stock previously issued to such holders upon conversion of Series A Preferred Stock and then held by such holders, plus (ii) the number of shares of the Company’s common stock underlying shares of Series A Preferred Stock that would be held at such time by such holders (after giving effect to such conversion), would exceed the 19.9% of the issued and outstanding shares of the Company’s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the Company’s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the Company’s common stock under the applicable listing standards.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to maintain its ownership percentage.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21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8"/>
          <w:szCs w:val="18"/>
          <w:color w:val="auto"/>
        </w:rPr>
        <w:t>A summary of the Company’s Series A Convertible Participating Perpetual Preferred Stock balance at September 30, 2020 and changes during the nine months ended September 30, 2020, are presented below:</w:t>
      </w:r>
    </w:p>
    <w:p>
      <w:pPr>
        <w:ind w:left="9260"/>
        <w:spacing w:after="0"/>
        <w:rPr>
          <w:sz w:val="20"/>
          <w:szCs w:val="20"/>
          <w:color w:val="auto"/>
        </w:rPr>
      </w:pPr>
      <w:r>
        <w:rPr>
          <w:rFonts w:ascii="Arial" w:cs="Arial" w:eastAsia="Arial" w:hAnsi="Arial"/>
          <w:sz w:val="14"/>
          <w:szCs w:val="14"/>
          <w:b w:val="1"/>
          <w:bCs w:val="1"/>
          <w:color w:val="auto"/>
        </w:rPr>
        <w:t>Preferred Stock</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Shares</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Amount</w:t>
            </w:r>
          </w:p>
        </w:tc>
      </w:tr>
      <w:tr>
        <w:trPr>
          <w:trHeight w:val="211"/>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200,865</w:t>
            </w:r>
          </w:p>
        </w:tc>
      </w:tr>
      <w:tr>
        <w:trPr>
          <w:trHeight w:val="213"/>
        </w:trPr>
        <w:tc>
          <w:tcPr>
            <w:tcW w:w="9300" w:type="dxa"/>
            <w:vAlign w:val="bottom"/>
            <w:gridSpan w:val="2"/>
          </w:tcPr>
          <w:p>
            <w:pPr>
              <w:ind w:left="120"/>
              <w:spacing w:after="0"/>
              <w:rPr>
                <w:sz w:val="20"/>
                <w:szCs w:val="20"/>
                <w:color w:val="auto"/>
              </w:rPr>
            </w:pPr>
            <w:r>
              <w:rPr>
                <w:rFonts w:ascii="Arial" w:cs="Arial" w:eastAsia="Arial" w:hAnsi="Arial"/>
                <w:sz w:val="16"/>
                <w:szCs w:val="16"/>
                <w:color w:val="auto"/>
              </w:rPr>
              <w:t>Issuance of preferred stock</w:t>
            </w: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Amortization of preferred stock issuance costs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w:t>
            </w:r>
          </w:p>
        </w:tc>
      </w:tr>
      <w:tr>
        <w:trPr>
          <w:trHeight w:val="213"/>
        </w:trPr>
        <w:tc>
          <w:tcPr>
            <w:tcW w:w="82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Issuance of preferred PIK dividend</w:t>
            </w: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24,486</w:t>
            </w:r>
          </w:p>
        </w:tc>
      </w:tr>
      <w:tr>
        <w:trPr>
          <w:trHeight w:val="232"/>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September 30, 2020</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227,861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registration rights during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significant changes to the Company’s Stock Plans during the three and nine months ended September 30, 2020. As of September 30, 2020, there were 0.6 million shares available for the grant or award under the Company’s 2015 Plan and 0.4 million shares available for the grant or award under the Company’s 2017 New Hire Equity Incentive Plan.</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performance cash awards granted to executives under the Long Term Incentive (“LTI”) Plans have been accounted for as liability awards, due to the Company’s intent and the ability to settle such awards in cash upon vesting and the Company has reflected such awards in accrued expenses. As of September 30, 2020, the liability for such awards is approximately $0.8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ind w:right="540" w:firstLine="324"/>
        <w:spacing w:after="0" w:line="274" w:lineRule="auto"/>
        <w:rPr>
          <w:sz w:val="20"/>
          <w:szCs w:val="20"/>
          <w:color w:val="auto"/>
        </w:rPr>
      </w:pPr>
      <w:r>
        <w:rPr>
          <w:rFonts w:ascii="Arial" w:cs="Arial" w:eastAsia="Arial" w:hAnsi="Arial"/>
          <w:sz w:val="18"/>
          <w:szCs w:val="18"/>
          <w:color w:val="auto"/>
        </w:rPr>
        <w:t>The following table summarizes stock-based compensation expense related to all of the Company’s stock awards included by operating expense categories, as follows:</w:t>
      </w: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336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300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46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26"/>
        </w:trPr>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revenues</w:t>
            </w: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r>
      <w:tr>
        <w:trPr>
          <w:trHeight w:val="230"/>
        </w:trPr>
        <w:tc>
          <w:tcPr>
            <w:tcW w:w="462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3,231</w:t>
            </w:r>
          </w:p>
        </w:tc>
      </w:tr>
      <w:tr>
        <w:trPr>
          <w:trHeight w:val="229"/>
        </w:trPr>
        <w:tc>
          <w:tcPr>
            <w:tcW w:w="4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11,650</w:t>
            </w:r>
          </w:p>
        </w:tc>
      </w:tr>
      <w:tr>
        <w:trPr>
          <w:trHeight w:val="223"/>
        </w:trPr>
        <w:tc>
          <w:tcPr>
            <w:tcW w:w="4620" w:type="dxa"/>
            <w:vAlign w:val="bottom"/>
          </w:tcPr>
          <w:p>
            <w:pPr>
              <w:ind w:left="20"/>
              <w:spacing w:after="0"/>
              <w:rPr>
                <w:sz w:val="20"/>
                <w:szCs w:val="20"/>
                <w:color w:val="auto"/>
              </w:rPr>
            </w:pPr>
            <w:r>
              <w:rPr>
                <w:rFonts w:ascii="Arial" w:cs="Arial" w:eastAsia="Arial" w:hAnsi="Arial"/>
                <w:sz w:val="16"/>
                <w:szCs w:val="16"/>
                <w:color w:val="auto"/>
              </w:rPr>
              <w:t>Total stock-based compensation expense</w:t>
            </w:r>
          </w:p>
        </w:tc>
        <w:tc>
          <w:tcPr>
            <w:tcW w:w="1020" w:type="dxa"/>
            <w:vAlign w:val="bottom"/>
            <w:tcBorders>
              <w:bottom w:val="single" w:sz="8" w:color="auto"/>
            </w:tcBorders>
          </w:tcPr>
          <w:p>
            <w:pPr>
              <w:jc w:val="right"/>
              <w:ind w:right="81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17,028</w:t>
            </w:r>
          </w:p>
        </w:tc>
      </w:tr>
      <w:tr>
        <w:trPr>
          <w:trHeight w:val="20"/>
        </w:trPr>
        <w:tc>
          <w:tcPr>
            <w:tcW w:w="4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3320" w:type="dxa"/>
            <w:vAlign w:val="bottom"/>
            <w:gridSpan w:val="6"/>
          </w:tcPr>
          <w:p>
            <w:pPr>
              <w:ind w:left="36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8"/>
                <w:szCs w:val="18"/>
                <w:color w:val="auto"/>
              </w:rPr>
            </w:pPr>
          </w:p>
        </w:tc>
        <w:tc>
          <w:tcPr>
            <w:tcW w:w="2960" w:type="dxa"/>
            <w:vAlign w:val="bottom"/>
            <w:gridSpan w:val="4"/>
          </w:tcPr>
          <w:p>
            <w:pPr>
              <w:jc w:val="right"/>
              <w:ind w:right="312"/>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10"/>
        </w:trPr>
        <w:tc>
          <w:tcPr>
            <w:tcW w:w="47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26"/>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options</w:t>
            </w:r>
          </w:p>
        </w:tc>
        <w:tc>
          <w:tcPr>
            <w:tcW w:w="102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r>
      <w:tr>
        <w:trPr>
          <w:trHeight w:val="230"/>
        </w:trPr>
        <w:tc>
          <w:tcPr>
            <w:tcW w:w="4700" w:type="dxa"/>
            <w:vAlign w:val="bottom"/>
          </w:tcPr>
          <w:p>
            <w:pPr>
              <w:ind w:left="120"/>
              <w:spacing w:after="0"/>
              <w:rPr>
                <w:sz w:val="20"/>
                <w:szCs w:val="20"/>
                <w:color w:val="auto"/>
              </w:rPr>
            </w:pPr>
            <w:r>
              <w:rPr>
                <w:rFonts w:ascii="Arial" w:cs="Arial" w:eastAsia="Arial" w:hAnsi="Arial"/>
                <w:sz w:val="16"/>
                <w:szCs w:val="16"/>
                <w:color w:val="auto"/>
              </w:rPr>
              <w:t>Restricted stock awards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2,626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11,164</w:t>
            </w:r>
          </w:p>
        </w:tc>
      </w:tr>
      <w:tr>
        <w:trPr>
          <w:trHeight w:val="230"/>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Performance Based Cash Units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stock-based compensation before taxes</w:t>
            </w:r>
          </w:p>
        </w:tc>
        <w:tc>
          <w:tcPr>
            <w:tcW w:w="1020" w:type="dxa"/>
            <w:vAlign w:val="bottom"/>
            <w:tcBorders>
              <w:bottom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17,028</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stock-based compensation cost related to unvested equity awards as of September 30, 2020 was approximately $19.9 million. The expense is expected to be recognized over a weighted-average period of approximately 0.89 years.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stock-based compensation cost related to unvested performance based cash units as of September 30, 2020 was approximately $0.8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expense is expected to be recognized over a weighted-average period of approximately 1.87 years.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Stock Option Plans during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 options. The weighted-average assumptions used in the Black-Scholes option pricing model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336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0"/>
        </w:trPr>
        <w:tc>
          <w:tcPr>
            <w:tcW w:w="45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1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stock price volatility</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69.6 %</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of options (in years)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0.0 %</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fair value (PSV) of the options</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3.84</w:t>
            </w: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 as of September 30,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Weighted-Average</w:t>
            </w:r>
          </w:p>
        </w:tc>
        <w:tc>
          <w:tcPr>
            <w:tcW w:w="260" w:type="dxa"/>
            <w:vAlign w:val="bottom"/>
          </w:tcPr>
          <w:p>
            <w:pPr>
              <w:spacing w:after="0"/>
              <w:rPr>
                <w:sz w:val="16"/>
                <w:szCs w:val="16"/>
                <w:color w:val="auto"/>
              </w:rPr>
            </w:pPr>
          </w:p>
        </w:tc>
        <w:tc>
          <w:tcPr>
            <w:tcW w:w="1320" w:type="dxa"/>
            <w:vAlign w:val="bottom"/>
            <w:vMerge w:val="restart"/>
          </w:tcPr>
          <w:p>
            <w:pPr>
              <w:jc w:val="center"/>
              <w:ind w:right="175"/>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7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Weighted-Average</w:t>
            </w:r>
          </w:p>
        </w:tc>
        <w:tc>
          <w:tcPr>
            <w:tcW w:w="17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Remaining</w:t>
            </w:r>
          </w:p>
        </w:tc>
        <w:tc>
          <w:tcPr>
            <w:tcW w:w="2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Contractual</w:t>
            </w:r>
          </w:p>
        </w:tc>
        <w:tc>
          <w:tcPr>
            <w:tcW w:w="260" w:type="dxa"/>
            <w:vAlign w:val="bottom"/>
          </w:tcPr>
          <w:p>
            <w:pPr>
              <w:spacing w:after="0"/>
              <w:rPr>
                <w:sz w:val="14"/>
                <w:szCs w:val="14"/>
                <w:color w:val="auto"/>
              </w:rPr>
            </w:pPr>
          </w:p>
        </w:tc>
        <w:tc>
          <w:tcPr>
            <w:tcW w:w="1320" w:type="dxa"/>
            <w:vAlign w:val="bottom"/>
          </w:tcPr>
          <w:p>
            <w:pPr>
              <w:jc w:val="center"/>
              <w:ind w:right="175"/>
              <w:spacing w:after="0" w:line="162"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4500" w:type="dxa"/>
            <w:vAlign w:val="bottom"/>
            <w:vMerge w:val="continue"/>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Options</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Term (Years)</w:t>
            </w:r>
          </w:p>
        </w:tc>
        <w:tc>
          <w:tcPr>
            <w:tcW w:w="260" w:type="dxa"/>
            <w:vAlign w:val="bottom"/>
          </w:tcPr>
          <w:p>
            <w:pPr>
              <w:spacing w:after="0"/>
              <w:rPr>
                <w:sz w:val="18"/>
                <w:szCs w:val="18"/>
                <w:color w:val="auto"/>
              </w:rPr>
            </w:pPr>
          </w:p>
        </w:tc>
        <w:tc>
          <w:tcPr>
            <w:tcW w:w="1320" w:type="dxa"/>
            <w:vAlign w:val="bottom"/>
          </w:tcPr>
          <w:p>
            <w:pPr>
              <w:jc w:val="center"/>
              <w:ind w:right="175"/>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2,293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September 30,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tcPr>
          <w:p>
            <w:pPr>
              <w:ind w:left="20"/>
              <w:spacing w:after="0" w:line="203" w:lineRule="exact"/>
              <w:rPr>
                <w:sz w:val="20"/>
                <w:szCs w:val="20"/>
                <w:color w:val="auto"/>
              </w:rPr>
            </w:pPr>
            <w:r>
              <w:rPr>
                <w:rFonts w:ascii="Arial" w:cs="Arial" w:eastAsia="Arial" w:hAnsi="Arial"/>
                <w:sz w:val="18"/>
                <w:szCs w:val="18"/>
                <w:color w:val="auto"/>
              </w:rPr>
              <w:t>Vested at September 30, 2020</w:t>
            </w: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1,798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15.87</w:t>
            </w: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intrinsic value of stock options exercisable at September 30, 2020 and 2019 was nil and nil, respectively. The total intrinsic value of stock options exercised during the nine months ended September 30, 2020 and 2019 was nil and nil,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to the Company’s restricted stock award (“Restricted Stock”) and performance stock plan during the three and nine months ended September 30, 2020.</w:t>
      </w:r>
    </w:p>
    <w:p>
      <w:pPr>
        <w:spacing w:after="0" w:line="197"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8"/>
          <w:szCs w:val="18"/>
          <w:color w:val="auto"/>
        </w:rPr>
        <w:t>A summary of the Company’s unvested restricted stock at September 30, 2020, and changes during the nine months ended September 30, 2020, is presented below:</w:t>
      </w:r>
    </w:p>
    <w:tbl>
      <w:tblPr>
        <w:tblLayout w:type="fixed"/>
        <w:tblInd w:w="0" w:type="dxa"/>
        <w:tblCellMar>
          <w:top w:w="0" w:type="dxa"/>
          <w:left w:w="0" w:type="dxa"/>
          <w:bottom w:w="0" w:type="dxa"/>
          <w:right w:w="0" w:type="dxa"/>
        </w:tblCellMar>
      </w:tblPr>
      <w:tr>
        <w:trPr>
          <w:trHeight w:val="163"/>
        </w:trPr>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33"/>
              <w:spacing w:after="0" w:line="163" w:lineRule="exact"/>
              <w:rPr>
                <w:sz w:val="20"/>
                <w:szCs w:val="20"/>
                <w:color w:val="auto"/>
              </w:rPr>
            </w:pPr>
            <w:r>
              <w:rPr>
                <w:rFonts w:ascii="Arial" w:cs="Arial" w:eastAsia="Arial" w:hAnsi="Arial"/>
                <w:sz w:val="16"/>
                <w:szCs w:val="16"/>
                <w:b w:val="1"/>
                <w:bCs w:val="1"/>
                <w:color w:val="auto"/>
                <w:w w:val="91"/>
              </w:rPr>
              <w:t>Weighted- Average</w:t>
            </w:r>
          </w:p>
        </w:tc>
        <w:tc>
          <w:tcPr>
            <w:tcW w:w="0" w:type="dxa"/>
            <w:vAlign w:val="bottom"/>
          </w:tcPr>
          <w:p>
            <w:pPr>
              <w:spacing w:after="0"/>
              <w:rPr>
                <w:sz w:val="1"/>
                <w:szCs w:val="1"/>
                <w:color w:val="auto"/>
              </w:rPr>
            </w:pPr>
          </w:p>
        </w:tc>
      </w:tr>
      <w:tr>
        <w:trPr>
          <w:trHeight w:val="162"/>
        </w:trPr>
        <w:tc>
          <w:tcPr>
            <w:tcW w:w="7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Unvested Restricted Stock</w:t>
            </w:r>
          </w:p>
        </w:tc>
        <w:tc>
          <w:tcPr>
            <w:tcW w:w="1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213"/>
        </w:trPr>
        <w:tc>
          <w:tcPr>
            <w:tcW w:w="7920" w:type="dxa"/>
            <w:vAlign w:val="bottom"/>
            <w:gridSpan w:val="2"/>
            <w:vMerge w:val="continue"/>
          </w:tcPr>
          <w:p>
            <w:pPr>
              <w:spacing w:after="0"/>
              <w:rPr>
                <w:sz w:val="18"/>
                <w:szCs w:val="18"/>
                <w:color w:val="auto"/>
              </w:rPr>
            </w:pPr>
          </w:p>
        </w:tc>
        <w:tc>
          <w:tcPr>
            <w:tcW w:w="1600" w:type="dxa"/>
            <w:vAlign w:val="bottom"/>
          </w:tcPr>
          <w:p>
            <w:pPr>
              <w:jc w:val="right"/>
              <w:ind w:right="453"/>
              <w:spacing w:after="0"/>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3"/>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26"/>
        </w:trPr>
        <w:tc>
          <w:tcPr>
            <w:tcW w:w="7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79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7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September 30, 2020</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Cash Units</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Performance based cash units granted under the Company’s 2015 Plan vest at the end of a three-year period based on service and achievement of certain performance objectives determined by the Company’s Board of Directors.</w:t>
      </w:r>
    </w:p>
    <w:p>
      <w:pPr>
        <w:spacing w:after="0" w:line="197" w:lineRule="exact"/>
        <w:rPr>
          <w:sz w:val="20"/>
          <w:szCs w:val="20"/>
          <w:color w:val="auto"/>
        </w:rPr>
      </w:pPr>
    </w:p>
    <w:p>
      <w:pPr>
        <w:ind w:firstLine="324"/>
        <w:spacing w:after="0" w:line="274" w:lineRule="auto"/>
        <w:rPr>
          <w:sz w:val="20"/>
          <w:szCs w:val="20"/>
          <w:color w:val="auto"/>
        </w:rPr>
      </w:pPr>
      <w:r>
        <w:rPr>
          <w:rFonts w:ascii="Arial" w:cs="Arial" w:eastAsia="Arial" w:hAnsi="Arial"/>
          <w:sz w:val="18"/>
          <w:szCs w:val="18"/>
          <w:color w:val="auto"/>
        </w:rPr>
        <w:t>A summary of the Company’s unvested performance-based cash units at September 30, 2020 and changes during the nine months ended September 30, 2020, is presented below:</w:t>
      </w:r>
    </w:p>
    <w:tbl>
      <w:tblPr>
        <w:tblLayout w:type="fixed"/>
        <w:tblInd w:w="80" w:type="dxa"/>
        <w:tblCellMar>
          <w:top w:w="0" w:type="dxa"/>
          <w:left w:w="0" w:type="dxa"/>
          <w:bottom w:w="0" w:type="dxa"/>
          <w:right w:w="0" w:type="dxa"/>
        </w:tblCellMar>
      </w:tblPr>
      <w:tr>
        <w:trPr>
          <w:trHeight w:val="163"/>
        </w:trPr>
        <w:tc>
          <w:tcPr>
            <w:tcW w:w="4840" w:type="dxa"/>
            <w:vAlign w:val="bottom"/>
            <w:vMerge w:val="restart"/>
          </w:tcPr>
          <w:p>
            <w:pPr>
              <w:spacing w:after="0"/>
              <w:rPr>
                <w:sz w:val="20"/>
                <w:szCs w:val="20"/>
                <w:color w:val="auto"/>
              </w:rPr>
            </w:pPr>
            <w:r>
              <w:rPr>
                <w:rFonts w:ascii="Arial" w:cs="Arial" w:eastAsia="Arial" w:hAnsi="Arial"/>
                <w:sz w:val="16"/>
                <w:szCs w:val="16"/>
                <w:b w:val="1"/>
                <w:bCs w:val="1"/>
                <w:color w:val="auto"/>
              </w:rPr>
              <w:t>Unvested Cash Units</w:t>
            </w:r>
          </w:p>
        </w:tc>
        <w:tc>
          <w:tcPr>
            <w:tcW w:w="4420" w:type="dxa"/>
            <w:vAlign w:val="bottom"/>
          </w:tcPr>
          <w:p>
            <w:pPr>
              <w:jc w:val="center"/>
              <w:ind w:left="3059"/>
              <w:spacing w:after="0" w:line="163" w:lineRule="exact"/>
              <w:rPr>
                <w:sz w:val="20"/>
                <w:szCs w:val="20"/>
                <w:color w:val="auto"/>
              </w:rPr>
            </w:pPr>
            <w:r>
              <w:rPr>
                <w:rFonts w:ascii="Arial" w:cs="Arial" w:eastAsia="Arial" w:hAnsi="Arial"/>
                <w:sz w:val="16"/>
                <w:szCs w:val="16"/>
                <w:b w:val="1"/>
                <w:bCs w:val="1"/>
                <w:color w:val="auto"/>
                <w:w w:val="94"/>
              </w:rPr>
              <w:t>Number of</w:t>
            </w:r>
          </w:p>
        </w:tc>
        <w:tc>
          <w:tcPr>
            <w:tcW w:w="1840" w:type="dxa"/>
            <w:vAlign w:val="bottom"/>
            <w:vMerge w:val="restart"/>
          </w:tcPr>
          <w:p>
            <w:pPr>
              <w:ind w:left="280"/>
              <w:spacing w:after="0"/>
              <w:rPr>
                <w:sz w:val="20"/>
                <w:szCs w:val="20"/>
                <w:color w:val="auto"/>
              </w:rPr>
            </w:pPr>
            <w:r>
              <w:rPr>
                <w:rFonts w:ascii="Arial" w:cs="Arial" w:eastAsia="Arial" w:hAnsi="Arial"/>
                <w:sz w:val="16"/>
                <w:szCs w:val="16"/>
                <w:b w:val="1"/>
                <w:bCs w:val="1"/>
                <w:color w:val="auto"/>
                <w:w w:val="93"/>
              </w:rPr>
              <w:t>Period End Fair Value</w:t>
            </w:r>
          </w:p>
        </w:tc>
        <w:tc>
          <w:tcPr>
            <w:tcW w:w="0" w:type="dxa"/>
            <w:vAlign w:val="bottom"/>
          </w:tcPr>
          <w:p>
            <w:pPr>
              <w:spacing w:after="0"/>
              <w:rPr>
                <w:sz w:val="1"/>
                <w:szCs w:val="1"/>
                <w:color w:val="auto"/>
              </w:rPr>
            </w:pPr>
          </w:p>
        </w:tc>
      </w:tr>
      <w:tr>
        <w:trPr>
          <w:trHeight w:val="210"/>
        </w:trPr>
        <w:tc>
          <w:tcPr>
            <w:tcW w:w="4840" w:type="dxa"/>
            <w:vAlign w:val="bottom"/>
            <w:vMerge w:val="continue"/>
          </w:tcPr>
          <w:p>
            <w:pPr>
              <w:spacing w:after="0"/>
              <w:rPr>
                <w:sz w:val="18"/>
                <w:szCs w:val="18"/>
                <w:color w:val="auto"/>
              </w:rPr>
            </w:pPr>
          </w:p>
        </w:tc>
        <w:tc>
          <w:tcPr>
            <w:tcW w:w="4420" w:type="dxa"/>
            <w:vAlign w:val="bottom"/>
          </w:tcPr>
          <w:p>
            <w:pPr>
              <w:jc w:val="center"/>
              <w:ind w:left="3059"/>
              <w:spacing w:after="0"/>
              <w:rPr>
                <w:sz w:val="20"/>
                <w:szCs w:val="20"/>
                <w:color w:val="auto"/>
              </w:rPr>
            </w:pPr>
            <w:r>
              <w:rPr>
                <w:rFonts w:ascii="Arial" w:cs="Arial" w:eastAsia="Arial" w:hAnsi="Arial"/>
                <w:sz w:val="16"/>
                <w:szCs w:val="16"/>
                <w:b w:val="1"/>
                <w:bCs w:val="1"/>
                <w:color w:val="auto"/>
                <w:w w:val="89"/>
              </w:rPr>
              <w:t>Units</w:t>
            </w: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29"/>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September 30, 2020</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76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ind w:firstLine="324"/>
        <w:spacing w:after="0" w:line="291" w:lineRule="auto"/>
        <w:rPr>
          <w:sz w:val="20"/>
          <w:szCs w:val="20"/>
          <w:color w:val="auto"/>
        </w:rPr>
      </w:pPr>
      <w:r>
        <w:rPr>
          <w:rFonts w:ascii="Arial" w:cs="Arial" w:eastAsia="Arial" w:hAnsi="Arial"/>
          <w:sz w:val="17"/>
          <w:szCs w:val="17"/>
          <w:color w:val="auto"/>
        </w:rPr>
        <w:t>Performance based cash units are measured at the closing stock price at the reporting period end date and are recognized straight line over the requisite service period. The expense for the period will increase or decrease based on updated fair values of these awards at each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In March 2020, in response to the COVID-19 pandemic, the Coronavirus Aid, Relief and Economic Security Act (“CARES Act”) was signed into law. The CARES Act provides numerous tax provisions and other stimulus measures, including temporary changes regarding the prior and future utilization of net operating losses. The CARES Act amends the Net Operating Loss (“NOL”) provisions of the Tax Cuts and Jobs Act, allowing for the carryback of losses arising in tax years 2018, 2019 and 2020, to each of the five taxable years preceding the taxable year of loss. The Company filed a carryback claim in the second quarter of 2020 for the NOL generated in tax year 2018, which will result in a refund of previously paid taxes. The carryback of the 2018 NOL will result in an increase in the Company’s 2019 tax liability, so the Company has also recorded an estimate of the additional 2019 current tax expense in the first quarter income tax provision. The estimated net income tax benefit associated with the 2018 NOL carryback is approximately $9 million, and this was recorded discretely in the first quarter income tax provision.</w:t>
      </w:r>
    </w:p>
    <w:p>
      <w:pPr>
        <w:spacing w:after="0" w:line="20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In April 2020, there was a redemption of the Company’s partnership interest in STIN. The total discrete benefit related to the exit from STI was $12.1 million which included the settlement of certain trade receivables.</w:t>
      </w:r>
    </w:p>
    <w:p>
      <w:pPr>
        <w:spacing w:after="0" w:line="19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During the third quarter, the Company finalized its U.S. federal income tax return which resulted in a discrete tax benefit of $1.5 million, primarily related to research and development tax credits generated, impact of favorable tax regulations released during the period and refinement of the 2019 current tax expense estimate recorded in the first quarter of 2020 associated with the 2018 NOL carryback claim. In the third quarter of 2020, the Company also received a tax refund for the carryback claim associated to the CARES Act.</w:t>
      </w:r>
    </w:p>
    <w:p>
      <w:pPr>
        <w:spacing w:after="0" w:line="2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color w:val="auto"/>
        </w:rPr>
        <w:t>The Company recognized approximately $29.1 million in related income tax benefit and $6.6 million in related income tax provision during the nine months ended September 30, 2020 and 2019, respectively. The effective tax rate was approximately 75.3% for the nine months ended September 30, 2020, which was higher than the U.S. federal statutory rate primarily due to discrete income tax benefit recorded in the period associated with a 2018 NOL carryback claim pursuant to the CARES Act, a redemption of the Company’s partnership interest in STIN, and the finalization of the Company’s U.S. federal income tax return. This increase was partially offset by projected current tax expense in certain foreign jurisdictions.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nine months ended September 30,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continues to execute certain restructurings to identify workforce optimization opportunities to better align the Company’s resources with its key strategic priorities. A summary of the Company’s restructuring accrual at September 30, 2020 and changes during the nine months ended September 30, 2020, are presented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Balance at December</w:t>
            </w:r>
          </w:p>
        </w:tc>
        <w:tc>
          <w:tcPr>
            <w:tcW w:w="260" w:type="dxa"/>
            <w:vAlign w:val="bottom"/>
          </w:tcPr>
          <w:p>
            <w:pPr>
              <w:spacing w:after="0"/>
              <w:rPr>
                <w:sz w:val="14"/>
                <w:szCs w:val="1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Charges</w:t>
            </w:r>
          </w:p>
        </w:tc>
        <w:tc>
          <w:tcPr>
            <w:tcW w:w="26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Payments</w:t>
            </w:r>
          </w:p>
        </w:tc>
        <w:tc>
          <w:tcPr>
            <w:tcW w:w="12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Adjustments</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at September</w:t>
            </w:r>
          </w:p>
        </w:tc>
        <w:tc>
          <w:tcPr>
            <w:tcW w:w="0" w:type="dxa"/>
            <w:vAlign w:val="bottom"/>
          </w:tcPr>
          <w:p>
            <w:pPr>
              <w:spacing w:after="0"/>
              <w:rPr>
                <w:sz w:val="1"/>
                <w:szCs w:val="1"/>
                <w:color w:val="auto"/>
              </w:rPr>
            </w:pPr>
          </w:p>
        </w:tc>
      </w:tr>
      <w:tr>
        <w:trPr>
          <w:trHeight w:val="188"/>
        </w:trPr>
        <w:tc>
          <w:tcPr>
            <w:tcW w:w="3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ind w:right="384"/>
              <w:spacing w:after="0"/>
              <w:rPr>
                <w:sz w:val="20"/>
                <w:szCs w:val="20"/>
                <w:color w:val="auto"/>
              </w:rPr>
            </w:pPr>
            <w:r>
              <w:rPr>
                <w:rFonts w:ascii="Arial" w:cs="Arial" w:eastAsia="Arial" w:hAnsi="Arial"/>
                <w:sz w:val="14"/>
                <w:szCs w:val="14"/>
                <w:b w:val="1"/>
                <w:bCs w:val="1"/>
                <w:color w:val="auto"/>
              </w:rPr>
              <w:t>31, 2019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04"/>
              <w:spacing w:after="0"/>
              <w:rPr>
                <w:sz w:val="20"/>
                <w:szCs w:val="20"/>
                <w:color w:val="auto"/>
              </w:rPr>
            </w:pPr>
            <w:r>
              <w:rPr>
                <w:rFonts w:ascii="Arial" w:cs="Arial" w:eastAsia="Arial" w:hAnsi="Arial"/>
                <w:sz w:val="14"/>
                <w:szCs w:val="14"/>
                <w:b w:val="1"/>
                <w:bCs w:val="1"/>
                <w:color w:val="auto"/>
              </w:rPr>
              <w:t>30, 2020</w:t>
            </w:r>
          </w:p>
        </w:tc>
        <w:tc>
          <w:tcPr>
            <w:tcW w:w="0" w:type="dxa"/>
            <w:vAlign w:val="bottom"/>
          </w:tcPr>
          <w:p>
            <w:pPr>
              <w:spacing w:after="0"/>
              <w:rPr>
                <w:sz w:val="1"/>
                <w:szCs w:val="1"/>
                <w:color w:val="auto"/>
              </w:rPr>
            </w:pPr>
          </w:p>
        </w:tc>
      </w:tr>
      <w:tr>
        <w:trPr>
          <w:trHeight w:val="211"/>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Employment termination costs</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6,763</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Common Share (“EPS”)</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1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from continued and discontinued operations.</w:t>
      </w:r>
    </w:p>
    <w:p>
      <w:pPr>
        <w:spacing w:after="0" w:line="238"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00" w:type="dxa"/>
            <w:vAlign w:val="bottom"/>
          </w:tcPr>
          <w:p>
            <w:pPr>
              <w:spacing w:after="0"/>
              <w:rPr>
                <w:sz w:val="18"/>
                <w:szCs w:val="18"/>
                <w:color w:val="auto"/>
              </w:rPr>
            </w:pPr>
          </w:p>
        </w:tc>
        <w:tc>
          <w:tcPr>
            <w:tcW w:w="25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4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r>
      <w:tr>
        <w:trPr>
          <w:trHeight w:val="19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 - Basic:</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5480" w:type="dxa"/>
            <w:vAlign w:val="bottom"/>
          </w:tcPr>
          <w:p>
            <w:pPr>
              <w:ind w:left="120"/>
              <w:spacing w:after="0"/>
              <w:rPr>
                <w:sz w:val="20"/>
                <w:szCs w:val="20"/>
                <w:color w:val="auto"/>
              </w:rPr>
            </w:pPr>
            <w:r>
              <w:rPr>
                <w:rFonts w:ascii="Arial" w:cs="Arial" w:eastAsia="Arial" w:hAnsi="Arial"/>
                <w:sz w:val="16"/>
                <w:szCs w:val="16"/>
                <w:color w:val="auto"/>
              </w:rPr>
              <w:t>Net loss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(5,622)</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(61,213)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(9,666)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(97,528)</w:t>
            </w:r>
          </w:p>
        </w:tc>
      </w:tr>
      <w:tr>
        <w:trPr>
          <w:trHeight w:val="219"/>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 attributable to redeemable noncontrolling interests</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w:t>
            </w:r>
          </w:p>
        </w:tc>
      </w:tr>
      <w:tr>
        <w:trPr>
          <w:trHeight w:val="213"/>
        </w:trPr>
        <w:tc>
          <w:tcPr>
            <w:tcW w:w="54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Preferred stock dividend</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(27,882)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(23,590)</w:t>
            </w:r>
          </w:p>
        </w:tc>
      </w:tr>
      <w:tr>
        <w:trPr>
          <w:trHeight w:val="235"/>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Synchronoss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(69,432)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(37,790)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(122,049)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 - Diluted:</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5480" w:type="dxa"/>
            <w:vAlign w:val="bottom"/>
          </w:tcPr>
          <w:p>
            <w:pPr>
              <w:ind w:left="120"/>
              <w:spacing w:after="0"/>
              <w:rPr>
                <w:sz w:val="20"/>
                <w:szCs w:val="20"/>
                <w:color w:val="auto"/>
              </w:rPr>
            </w:pPr>
            <w:r>
              <w:rPr>
                <w:rFonts w:ascii="Arial" w:cs="Arial" w:eastAsia="Arial" w:hAnsi="Arial"/>
                <w:sz w:val="16"/>
                <w:szCs w:val="16"/>
                <w:color w:val="auto"/>
              </w:rPr>
              <w:t>Net loss from continuing operations attributable to Synchronoss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(15,367)</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(69,432)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(37,790)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(122,049)</w:t>
            </w:r>
          </w:p>
        </w:tc>
      </w:tr>
      <w:tr>
        <w:trPr>
          <w:trHeight w:val="219"/>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effect for interest on convertible debt, net of tax</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480" w:type="dxa"/>
            <w:vAlign w:val="bottom"/>
          </w:tcPr>
          <w:p>
            <w:pPr>
              <w:ind w:left="20"/>
              <w:spacing w:after="0"/>
              <w:rPr>
                <w:sz w:val="20"/>
                <w:szCs w:val="20"/>
                <w:color w:val="auto"/>
              </w:rPr>
            </w:pPr>
            <w:r>
              <w:rPr>
                <w:rFonts w:ascii="Arial" w:cs="Arial" w:eastAsia="Arial" w:hAnsi="Arial"/>
                <w:sz w:val="16"/>
                <w:szCs w:val="16"/>
                <w:color w:val="auto"/>
              </w:rPr>
              <w:t>Net loss from continuing operations adjusted for the convertible debt</w:t>
            </w:r>
          </w:p>
        </w:tc>
        <w:tc>
          <w:tcPr>
            <w:tcW w:w="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(15,367)</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(69,432)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(37,790)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(122,049)</w:t>
            </w:r>
          </w:p>
        </w:tc>
      </w:tr>
      <w:tr>
        <w:trPr>
          <w:trHeight w:val="260"/>
        </w:trPr>
        <w:tc>
          <w:tcPr>
            <w:tcW w:w="5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40,564</w:t>
            </w: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color w:val="auto"/>
              </w:rPr>
              <w:t>Dilutive effect of:</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48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Shares from assumed conversion of convertible debt </w:t>
            </w:r>
            <w:r>
              <w:rPr>
                <w:rFonts w:ascii="Arial" w:cs="Arial" w:eastAsia="Arial" w:hAnsi="Arial"/>
                <w:sz w:val="21"/>
                <w:szCs w:val="21"/>
                <w:color w:val="auto"/>
                <w:vertAlign w:val="superscript"/>
              </w:rPr>
              <w:t>1</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48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Shares from assumed conversion of preferred stock </w:t>
            </w:r>
            <w:r>
              <w:rPr>
                <w:rFonts w:ascii="Arial" w:cs="Arial" w:eastAsia="Arial" w:hAnsi="Arial"/>
                <w:sz w:val="21"/>
                <w:szCs w:val="21"/>
                <w:color w:val="auto"/>
                <w:vertAlign w:val="superscript"/>
              </w:rPr>
              <w:t>2</w:t>
            </w:r>
          </w:p>
        </w:tc>
        <w:tc>
          <w:tcPr>
            <w:tcW w:w="8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4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Options and unvested restricted shares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4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42,360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40,910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41,777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40,564</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7"/>
        </w:trPr>
        <w:tc>
          <w:tcPr>
            <w:tcW w:w="5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5480" w:type="dxa"/>
            <w:vAlign w:val="bottom"/>
          </w:tcPr>
          <w:p>
            <w:pPr>
              <w:ind w:left="20"/>
              <w:spacing w:after="0"/>
              <w:rPr>
                <w:sz w:val="20"/>
                <w:szCs w:val="20"/>
                <w:color w:val="auto"/>
              </w:rPr>
            </w:pPr>
            <w:r>
              <w:rPr>
                <w:rFonts w:ascii="Arial" w:cs="Arial" w:eastAsia="Arial" w:hAnsi="Arial"/>
                <w:sz w:val="16"/>
                <w:szCs w:val="16"/>
                <w:b w:val="1"/>
                <w:bCs w:val="1"/>
                <w:color w:val="auto"/>
              </w:rPr>
              <w:t>Basic EPS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5480" w:type="dxa"/>
            <w:vAlign w:val="bottom"/>
          </w:tcPr>
          <w:p>
            <w:pPr>
              <w:ind w:left="120"/>
              <w:spacing w:after="0"/>
              <w:rPr>
                <w:sz w:val="20"/>
                <w:szCs w:val="20"/>
                <w:color w:val="auto"/>
              </w:rPr>
            </w:pPr>
            <w:r>
              <w:rPr>
                <w:rFonts w:ascii="Arial" w:cs="Arial" w:eastAsia="Arial" w:hAnsi="Arial"/>
                <w:sz w:val="16"/>
                <w:szCs w:val="16"/>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19"/>
        </w:trPr>
        <w:tc>
          <w:tcPr>
            <w:tcW w:w="5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16"/>
        </w:trPr>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stock options excluded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480" w:type="dxa"/>
            <w:vAlign w:val="bottom"/>
          </w:tcPr>
          <w:p>
            <w:pPr>
              <w:ind w:left="20"/>
              <w:spacing w:after="0"/>
              <w:rPr>
                <w:sz w:val="20"/>
                <w:szCs w:val="20"/>
                <w:color w:val="auto"/>
              </w:rPr>
            </w:pPr>
            <w:r>
              <w:rPr>
                <w:rFonts w:ascii="Arial" w:cs="Arial" w:eastAsia="Arial" w:hAnsi="Arial"/>
                <w:sz w:val="16"/>
                <w:szCs w:val="16"/>
                <w:color w:val="auto"/>
              </w:rPr>
              <w:t>Unvested shares of restricted stock awards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3,467</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14" w:lineRule="exact"/>
        <w:rPr>
          <w:sz w:val="20"/>
          <w:szCs w:val="20"/>
          <w:color w:val="auto"/>
        </w:rPr>
      </w:pPr>
    </w:p>
    <w:p>
      <w:pPr>
        <w:ind w:left="340" w:hanging="332"/>
        <w:spacing w:after="0" w:line="237" w:lineRule="auto"/>
        <w:tabs>
          <w:tab w:leader="none" w:pos="181"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The calculation does not include the effect of assumed conversion of convertible debt of nil and 512,991 shares for the three months ended September 30, 2020 and 2019, respectively; and nil and 1,687,533 shares for the nine months ended September 30, 2020 and 2019, respectively; which is based on 18.8072 shares per $1,000 principal amount of the Senior Convertible Notes.</w:t>
      </w:r>
    </w:p>
    <w:p>
      <w:pPr>
        <w:spacing w:after="0" w:line="1" w:lineRule="exact"/>
        <w:rPr>
          <w:rFonts w:ascii="Arial" w:cs="Arial" w:eastAsia="Arial" w:hAnsi="Arial"/>
          <w:sz w:val="21"/>
          <w:szCs w:val="21"/>
          <w:color w:val="auto"/>
          <w:vertAlign w:val="superscript"/>
        </w:rPr>
      </w:pPr>
    </w:p>
    <w:p>
      <w:pPr>
        <w:jc w:val="both"/>
        <w:ind w:left="340" w:hanging="332"/>
        <w:spacing w:after="0" w:line="216" w:lineRule="auto"/>
        <w:tabs>
          <w:tab w:leader="none" w:pos="309"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The calculation does not include the effect of assumed conversion of preferred stock of 13,426,155 and 11,510,968 shares, for the three months ended September 30, 2020 and 2019, respectively, and 12,963,664 and 11,199,390 shares for the nine months ended September 30, 2020 and 2019, respectively; which is based on 55.5556 shares per $1,000 principal amount of the preferred stock, because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Arial" w:cs="Arial" w:eastAsia="Arial" w:hAnsi="Arial"/>
                <w:sz w:val="18"/>
                <w:szCs w:val="18"/>
                <w:b w:val="1"/>
                <w:bCs w:val="1"/>
                <w:color w:val="auto"/>
              </w:rPr>
              <w:t>13. Commitments, Contingencies and Other</w:t>
            </w:r>
          </w:p>
        </w:tc>
        <w:tc>
          <w:tcPr>
            <w:tcW w:w="30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59"/>
        </w:trPr>
        <w:tc>
          <w:tcPr>
            <w:tcW w:w="83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Purchase Obligations</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59"/>
        </w:trPr>
        <w:tc>
          <w:tcPr>
            <w:tcW w:w="8300" w:type="dxa"/>
            <w:vAlign w:val="bottom"/>
          </w:tcPr>
          <w:p>
            <w:pPr>
              <w:ind w:left="340"/>
              <w:spacing w:after="0"/>
              <w:rPr>
                <w:sz w:val="20"/>
                <w:szCs w:val="20"/>
                <w:color w:val="auto"/>
              </w:rPr>
            </w:pPr>
            <w:r>
              <w:rPr>
                <w:rFonts w:ascii="Arial" w:cs="Arial" w:eastAsia="Arial" w:hAnsi="Arial"/>
                <w:sz w:val="18"/>
                <w:szCs w:val="18"/>
                <w:color w:val="auto"/>
              </w:rPr>
              <w:t>Aggregate annual future minimum payments under non-cancelable agreements are as follows:</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56"/>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Non-cancelable agreements</w:t>
            </w:r>
          </w:p>
        </w:tc>
        <w:tc>
          <w:tcPr>
            <w:tcW w:w="300" w:type="dxa"/>
            <w:vAlign w:val="bottom"/>
          </w:tcPr>
          <w:p>
            <w:pPr>
              <w:spacing w:after="0"/>
              <w:rPr>
                <w:sz w:val="22"/>
                <w:szCs w:val="22"/>
                <w:color w:val="auto"/>
              </w:rPr>
            </w:pPr>
          </w:p>
        </w:tc>
        <w:tc>
          <w:tcPr>
            <w:tcW w:w="2640" w:type="dxa"/>
            <w:vAlign w:val="bottom"/>
          </w:tcPr>
          <w:p>
            <w:pPr>
              <w:jc w:val="right"/>
              <w:ind w:right="410"/>
              <w:spacing w:after="0"/>
              <w:rPr>
                <w:sz w:val="20"/>
                <w:szCs w:val="20"/>
                <w:color w:val="auto"/>
              </w:rPr>
            </w:pPr>
            <w:r>
              <w:rPr>
                <w:rFonts w:ascii="Arial" w:cs="Arial" w:eastAsia="Arial" w:hAnsi="Arial"/>
                <w:sz w:val="18"/>
                <w:szCs w:val="18"/>
                <w:b w:val="1"/>
                <w:bCs w:val="1"/>
                <w:color w:val="auto"/>
                <w:w w:val="97"/>
              </w:rPr>
              <w:t>As of September 30, 2020</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13,750</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0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12,959</w:t>
            </w:r>
          </w:p>
        </w:tc>
      </w:tr>
      <w:tr>
        <w:trPr>
          <w:trHeight w:val="229"/>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 and thereafter</w:t>
            </w:r>
          </w:p>
        </w:tc>
        <w:tc>
          <w:tcPr>
            <w:tcW w:w="3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35,330</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7"/>
          <w:szCs w:val="17"/>
          <w:color w:val="auto"/>
        </w:rPr>
        <w:t>On May 1, 2017, May 2, 2017, June 8, 2017 and June 14, 2017, four putative class actions were filed against the Company and certain of its current and former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complaint purportedly on behalf of purchasers of the Company’s common stock between February 3, 2016 and June 13, 2017. On February 2, 2018, the defendants moved to dismiss the consolidated complaint in its entirety, with prejudice. Before that motion was decided, on August 24, 2018, lead plaintiff filed a consolidated amended complaint purportedly on behalf of purchasers of the Company’s common stock between October 28, 2014 and June 13, 2017. On June 28, 2019, the Court granted defendants’ motion to dismiss the consolidated amended complaint in its entirety, without prejudice, allowing lead plaintiff leave to amend its complaint. On August 14, 2019, lead plaintiff filed a second amended complaint. The second amended complaint asserts claims under Sections 10(b) and 20(a) of the Securities Exchange Act of 1934, as amended, and it alleges, among other things, that the defendants made false and misleading statements of material information concerning the Company’s financial results, business operations, and prospects. On October 4, 2019, the defendants moved to dismiss the second amended complaint in its entirety, with prejudice. On May 29, 2020, the court granted in part and denied in part defendants’ motion to dismiss the second amended complaint without prejudice. The Company believes that the asserted claims lack merit and intends to defend against all of the claims vigorously. The plaintiff seeks unspecified damages, fees, interest, and costs. Due to the inherent uncertainties of litigation, the Company cannot predict the outcome of the actions at this time and can give no assurance that the asserted claims will not have a material adverse effect on its financial position or results of operations.</w:t>
      </w:r>
    </w:p>
    <w:p>
      <w:pPr>
        <w:spacing w:after="0" w:line="2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6"/>
          <w:szCs w:val="16"/>
          <w:color w:val="auto"/>
        </w:rPr>
        <w:t>On September 15, 2017, October 24, 2017, October 27, 2017 and October 30, 2017, the Company’s shareholders filed derivative lawsuits against certain of its officers and directors and the Company (as nominal defendant) in the United States District Court for the District of New Jersey (the “Derivative Suits”). On May 24, 2018, the Court consolidated the Derivative Suits and appointed Lisa LeBoeuf as lead plaintiff. The lead plaintiff designated as the Operative Complaint the complaint she previously had filed on October 27, 2017. On March 11, 2019, the defendants filed a motion to dismiss the Operative Complaint, which the Court granted in substantial part on November 26, 2019. On December 10, 2019, the defendants filed a motion for reconsideration respecting the only claim to survive the motion to dismiss.. On June 12, 2020, the Court granted the defendants’ motion for reconsideration and dismissed the remaining claim without prejudice, allowing lead plaintiff leave to amend her complaint. On July 13, 2020, lead plaintiff filed an amended complaint. The amended complaint alleges claims related to breaches of fiduciary duty and unjust enrichment. The amended complaint’s allegations relate substantially to the same facts as those underlying the Securities Law Action described above. Plaintiff seeks unspecified damages and for the Company to take steps to improve its corporate governance and internal procedures. On September 11, 2020 the defendants filed a motion to dismiss the amended complaint. The Company believes that the asserted claims lack merit and intends to defend against all of the claims vigorously. Due to the inherent uncertainties of litigation, the Company cannot predict the outcome of the actions at this time and can give no assurance that the asserted claims will not have a material adverse effect on its financial position or results of operations.</w:t>
      </w:r>
    </w:p>
    <w:p>
      <w:pPr>
        <w:spacing w:after="0" w:line="19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On March 7, 2019, Synchronoss shareholders, Beth Daniel and Juan Solis, filed a separate derivative lawsuit against certain of the Company’s current and former officers and directors and the Company (as nominal defendant) in the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Chancery of the State of Delaware, asserting substantially the same allegations as those underlying the Derivative Suits and the Securities Law Action described above. Plaintiffs seek unspecified damages and for the Company to take steps to improve its corporate governance and internal procedures. On May 20, 2019, the parties stipulated to a stay of the action pending a ruling on the motion to dismiss in the Derivative Suits. The Company believes that the asserted claims lack merit and intends to defend against all of the claims vigorously. Due to the inherent uncertainties of litigation, the Company cannot predict the outcome of the Derivative Suits at this time and can give no assurance that the asserted claims will not have a material adverse effect on our financial position or results of operations.</w:t>
      </w:r>
    </w:p>
    <w:p>
      <w:pPr>
        <w:spacing w:after="0" w:line="21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7"/>
          <w:szCs w:val="17"/>
          <w:color w:val="auto"/>
        </w:rPr>
        <w:t>On June 11, 2020 and June 12, 2020, the Company’s shareholders filed derivative lawsuits against certain of its officers and directors and the Company (as nominal defendant) in the United States District Court for the District of New Jersey (the “Demand Refused Derivative Complaints”). The Demand Refused Derivative Complaints allege claims related to breaches of fiduciary duty, unjust enrichment, and alleged violations of securities laws. The complaints’ allegations relate substantially to the same facts as those underlying the Securities Law Action described above. The Demand Refused Derivative Complaints further allege that each plaintiff made a demand upon the Company’s Board of Directors to investigate the alleged misconduct and that such demand was wrongfully refused. On October 20, 2020 the Court appointed co-lead plaintiffs and co-lead counsel for plaintiffs. Plaintiffs seek unspecified damages and for the Company to take steps to improve its corporate governance and internal procedures. Due to the inherent uncertainties of litigation, the Company cannot predict the outcome of the actions at this time and can give no assurance that the asserted claims will not have a material adverse effect on its financial position or results of operations.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Except as set forth above, the Company is not currently subject to any legal proceedings that could have a material adverse effect on its operations; however, it may from time to time become a party to various legal proceedings arising in the ordinary course of its business. The Company is 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against all of such counterclaims.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Additional 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components of included in the Other Income, net included in the Condensed Consolidated Statements of Operations: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332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280" w:type="dxa"/>
            <w:vAlign w:val="bottom"/>
          </w:tcPr>
          <w:p>
            <w:pPr>
              <w:spacing w:after="0"/>
              <w:rPr>
                <w:sz w:val="18"/>
                <w:szCs w:val="18"/>
                <w:color w:val="auto"/>
              </w:rPr>
            </w:pPr>
          </w:p>
        </w:tc>
        <w:tc>
          <w:tcPr>
            <w:tcW w:w="304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10"/>
        </w:trPr>
        <w:tc>
          <w:tcPr>
            <w:tcW w:w="45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2019</w:t>
            </w:r>
          </w:p>
        </w:tc>
      </w:tr>
      <w:tr>
        <w:trPr>
          <w:trHeight w:val="226"/>
        </w:trPr>
        <w:tc>
          <w:tcPr>
            <w:tcW w:w="4560" w:type="dxa"/>
            <w:vAlign w:val="bottom"/>
            <w:shd w:val="clear" w:color="auto" w:fill="CCEEFF"/>
          </w:tcPr>
          <w:p>
            <w:pPr>
              <w:ind w:left="120"/>
              <w:spacing w:after="0" w:line="225" w:lineRule="exact"/>
              <w:rPr>
                <w:sz w:val="20"/>
                <w:szCs w:val="20"/>
                <w:color w:val="auto"/>
              </w:rPr>
            </w:pPr>
            <w:r>
              <w:rPr>
                <w:rFonts w:ascii="Arial" w:cs="Arial" w:eastAsia="Arial" w:hAnsi="Arial"/>
                <w:sz w:val="18"/>
                <w:szCs w:val="18"/>
                <w:color w:val="auto"/>
              </w:rPr>
              <w:t xml:space="preserve">FX gains (losses) </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2,228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30"/>
        </w:trPr>
        <w:tc>
          <w:tcPr>
            <w:tcW w:w="4560" w:type="dxa"/>
            <w:vAlign w:val="bottom"/>
          </w:tcPr>
          <w:p>
            <w:pPr>
              <w:ind w:left="100"/>
              <w:spacing w:after="0"/>
              <w:rPr>
                <w:sz w:val="20"/>
                <w:szCs w:val="20"/>
                <w:color w:val="auto"/>
              </w:rPr>
            </w:pPr>
            <w:r>
              <w:rPr>
                <w:rFonts w:ascii="Arial" w:cs="Arial" w:eastAsia="Arial" w:hAnsi="Arial"/>
                <w:sz w:val="18"/>
                <w:szCs w:val="18"/>
                <w:color w:val="auto"/>
              </w:rPr>
              <w:t>Government refunds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Income from sale of intangible assets </w:t>
            </w:r>
            <w:r>
              <w:rPr>
                <w:rFonts w:ascii="Arial" w:cs="Arial" w:eastAsia="Arial" w:hAnsi="Arial"/>
                <w:sz w:val="23"/>
                <w:szCs w:val="23"/>
                <w:color w:val="auto"/>
                <w:vertAlign w:val="superscript"/>
              </w:rPr>
              <w:t>(2)</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60" w:type="dxa"/>
            <w:vAlign w:val="bottom"/>
            <w:tcBorders>
              <w:bottom w:val="single" w:sz="8" w:color="CCEEFF"/>
            </w:tcBorders>
          </w:tcPr>
          <w:p>
            <w:pPr>
              <w:ind w:left="1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(3)</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w:t>
            </w:r>
          </w:p>
        </w:tc>
      </w:tr>
      <w:tr>
        <w:trPr>
          <w:trHeight w:val="248"/>
        </w:trPr>
        <w:tc>
          <w:tcPr>
            <w:tcW w:w="4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2,684</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ind w:left="320" w:hanging="312"/>
        <w:spacing w:after="0" w:line="217"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Fair value of foreign exchange gains and losses</w:t>
      </w:r>
    </w:p>
    <w:p>
      <w:pPr>
        <w:spacing w:after="0" w:line="1" w:lineRule="exact"/>
        <w:rPr>
          <w:rFonts w:ascii="Arial" w:cs="Arial" w:eastAsia="Arial" w:hAnsi="Arial"/>
          <w:sz w:val="23"/>
          <w:szCs w:val="23"/>
          <w:color w:val="auto"/>
          <w:vertAlign w:val="superscript"/>
        </w:rPr>
      </w:pPr>
    </w:p>
    <w:p>
      <w:pPr>
        <w:ind w:left="320" w:hanging="312"/>
        <w:spacing w:after="0" w:line="183"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Represents gain on sale of certain of the Company’s IP addresses</w:t>
      </w:r>
    </w:p>
    <w:p>
      <w:pPr>
        <w:ind w:left="320" w:hanging="312"/>
        <w:spacing w:after="0" w:line="194" w:lineRule="auto"/>
        <w:tabs>
          <w:tab w:leader="none" w:pos="32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Represents an aggregate of individually immaterial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Dividends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 to September 30, 2020, the Company paid in-kind the accrued Preferred Dividends of $8.8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200"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including, but not limited to, risks, uncertainties and assumptions relating to the duration and severity of the COVID-19 pandemic and its impact on 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Synchronoss Technologies, Inc. (“Synchronoss” or the “Company”) is a global software and services company that provides essential technologies for the mobile transformation of business. The Company’s portfolio contains offerings such as personal cloud, secure-mobility, identity management and scalable messaging platforms, products and solutions. These essential technologies create a better way of delivering the transformative mobile experiences that the Company’s customers need to help them stay ahead of the curve in competition, innovation, productivity, growth and operational efficiency.</w:t>
      </w:r>
    </w:p>
    <w:p>
      <w:pPr>
        <w:spacing w:after="0" w:line="18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currently operates in and markets its solutions and services directly through its sales organizations in North America, Europe and Asia-Pacific.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the Recent Novel Coronavirus (COVID-19)</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This disclosure discusses the actions the Company has taken in response to the COVID-19 crisis and the impacts that the situation has had on our business, as well as related known or expected trends.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COVID-19 was identified in China in late 2019 and has since spread throughout the world, including throughout the United States (U.S.). COVID-19 has resulted in authorities implementing numerous preventative measures to contain or mitigate the outbreak of the virus, such as travel bans and restrictions, limitations on business activity, quarantines, and shelter-in-place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These restrictions and our responses to them are impacting our customers and their use of our products and services. In addition, governments have imposed a wide variety of consumer protection measures that limit how certain businesses, including TMT companies, can operate their businesses and interact with their customers. The crisis and governmental responses to the crisis have also resulted in a slowdown of global economic activity, which has impacted our customers. As a result, prior trends in our business may not be applicable to our operations during the pendency of the crisis.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impact of COVID-19 for the remainder of the year and beyond will depend significantly on the duration and potential cyclicality of the health crisis and the related public policy actions, additional initiatives we undertake in response to employee, market or regulatory needs or demands, the length and severity of the global economic slowdown, and whether and how our customers change their behaviors over the longer term. As a result, the demand for our products and services, as well as our overall results of operations, may be materially and adversely impacted by the pandemic for the duration of 2020 or longer, and we are unable to predict the duration or degree of such impact with any certainty.</w:t>
      </w:r>
    </w:p>
    <w:p>
      <w:pPr>
        <w:spacing w:after="0" w:line="2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response to COVID-19, we have been executing our business continuity plans and evolving our operations to protect the safety of our employees while continuing to provide critical products and services to our customers. Some of the initiatives the Company has undertaken include:</w:t>
      </w:r>
    </w:p>
    <w:p>
      <w:pPr>
        <w:spacing w:after="0" w:line="17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Working with our customers to continue to provide our products and services through the pandemic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Enhancing our safety protocols including moving the majority of our employees to remote work arrangements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Adjusting business operations to address circumstances created by COVID-19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effective governance and internal controls in a remote work environment</w:t>
      </w:r>
    </w:p>
    <w:p>
      <w:pPr>
        <w:spacing w:after="0" w:line="2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the crisis continues, we may revise our approach to these initiatives or take additional actions to meet the needs of our employees, customers and the Company and to continue to provide our products and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majority of our revenues on a per transaction or subscription basis, which is derived from contracts that extend up to 60 months from execution.</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future success of our business depends on the continued growth of Business-to-Business and Business-to-Business-to-Consumer driving customer transactions, and continued expansion of our platforms into the TMT Market globally through Cloud, Messaging, Digital Transformation and Internet of Things (“IoT”) markets. As such, the volume of transactions and our ability to expand our footprint in TMT and globally may result in revenue fluctuations on a quarterly basis.</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top five customers accounted for 69.0% and 70.8% of net revenues for the nine months ended September 30, 2020 and September 30, 2019, respectively. Contracts with these customers typically run for three to five years. Of these customers, Verizon accounted for more than 10% of our revenues in 2020 and 2019. The loss of Verizon as a customer would have a material negative impact on our company. However, we believe that the costs incurred and subscriber disruption by Verizon to replace Synchronoss’ solutions would be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the full impact of the COVID-19 pandemic on our business continues to develop, we are actively monitoring the global situation. The extent of the impact of the COVID-19 pandemic on our operational and financial performance will depend on certain developments, including the duration and spread of the outbreak, impact on our customers and our sales cycles, impact on our business operations, impact on our customer, employee or industry events, and effect on our vendors, all of which are uncertain and cannot be predicted. The extent to which the COVID-19 pandemic may impact our business, financial condition or results of operations is uncertain, but may include, without limitation, impacts to our paying user growth as well as disruptions to our business operations as a result of travel restrictions, shutdown of workplaces and potential impacts to our vendors. Additionally, our results of operations and cash flows are subject to fluctuations due to changes in foreign currency exchange rates relative to U.S. dollars, our reporting currency, as well as changes in interest rates. Volatile market conditions arising from the COVID-19 pandemic have and may continue to negatively impact our results of operations and cash flows, due to a weakening of foreign currencies relative to the U.S. dollar, which may cause our revenues to decline relative to our costs.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essential needs and subscriber expectations. Such devices include smartphones, connected cars, personal health and wellness devices and connected home devices. The need for the contents of these devices to be stored in a common cloud are also expected to be drivers of our business in the longer term.</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Business from our traditional Synchronoss Messaging business has been driven by a resurgence in the need for white label secure messaging platforms that favor the Mobile Network Operator’s (“MNO”) business objectives and are not beholden to the objectives of a sponsoring over-the-top (“OTT”) platform. We believe that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has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Companies in the TMT market all face the dilemma of attempting to pivot their businesses to digital execution in order to create experiences that meet the expectations of their subscribers, generate new revenues and streamline costs creating healthier margins at a faster time to market than they have ever operated before. Their challenges feature the lack of skill sets to conceptualize and run day to day digital operations and the lack of resources to integrate their legacy back end systems to enact digital experiences that achieve their business objectives.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capital expenditure spending options often tried internally. The ability for our platforms to create low/no code, new customer digital journeys, virtually on the fly, gives TMT Companies the ability to operate new experiences and businesses without heavily investing in development resources.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Synchronoss Advanced Messaging, Cloud and Digital Platforms are poised to bring IoT initiatives to life across MNO and TMT companies creating new use cases that will help stimulate the commercial growth of the robust potential of the IoT market. As new devices and sensors come online in connected cities, Synchronoss, partnering with carriers like AT&amp;T, has technology to unify and harness data from legacy systems; provide analytic insights that fuel automated communications, via our Advanced Messaging Platform between sensors, devices and people; and create a common storage reservoir with our secure Cloud. There is opportunity in many areas of the IoT ecosystem for Synchronoss to support utilizing our Activation, Cloud and Analytics tools.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support our growth, which will be driven by these favorable industry trends mentioned above, we will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expand our platforms into the converging TMT, MNO, Digital and IoT spaces to enable connected devices to do more things across multiple networks, brands and communities. Our initiatives with AT&amp;T, Verizon, Sprint, British Telecom, Softbank and other CSPs continue to grow both with regard to our current business as well as our new product offerings. We are also exploring additional opportunities through merger and acquisition activities to support our customer, product and geographic diversification strategies.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to the three months ended September 30,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overview of our results of operations for the three months ended September 30, 2020 and 2019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80" w:type="dxa"/>
            <w:vAlign w:val="bottom"/>
          </w:tcPr>
          <w:p>
            <w:pPr>
              <w:spacing w:after="0"/>
              <w:rPr>
                <w:sz w:val="18"/>
                <w:szCs w:val="18"/>
                <w:color w:val="auto"/>
              </w:rPr>
            </w:pPr>
          </w:p>
        </w:tc>
        <w:tc>
          <w:tcPr>
            <w:tcW w:w="384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September 30, 2020</w:t>
            </w:r>
          </w:p>
        </w:tc>
        <w:tc>
          <w:tcPr>
            <w:tcW w:w="240" w:type="dxa"/>
            <w:vAlign w:val="bottom"/>
          </w:tcPr>
          <w:p>
            <w:pPr>
              <w:spacing w:after="0"/>
              <w:rPr>
                <w:sz w:val="18"/>
                <w:szCs w:val="18"/>
                <w:color w:val="auto"/>
              </w:rPr>
            </w:pPr>
          </w:p>
        </w:tc>
        <w:tc>
          <w:tcPr>
            <w:tcW w:w="136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 vs 2019</w:t>
            </w:r>
          </w:p>
        </w:tc>
      </w:tr>
      <w:tr>
        <w:trPr>
          <w:trHeight w:val="210"/>
        </w:trPr>
        <w:tc>
          <w:tcPr>
            <w:tcW w:w="57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 Change</w:t>
            </w:r>
          </w:p>
        </w:tc>
      </w:tr>
      <w:tr>
        <w:trPr>
          <w:trHeight w:val="22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12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16,426</w:t>
            </w:r>
          </w:p>
        </w:tc>
      </w:tr>
      <w:tr>
        <w:trPr>
          <w:trHeight w:val="229"/>
        </w:trPr>
        <w:tc>
          <w:tcPr>
            <w:tcW w:w="5780" w:type="dxa"/>
            <w:vAlign w:val="bottom"/>
          </w:tcPr>
          <w:p>
            <w:pPr>
              <w:ind w:left="120"/>
              <w:spacing w:after="0"/>
              <w:rPr>
                <w:sz w:val="20"/>
                <w:szCs w:val="20"/>
                <w:color w:val="auto"/>
              </w:rPr>
            </w:pPr>
            <w:r>
              <w:rPr>
                <w:rFonts w:ascii="Arial" w:cs="Arial" w:eastAsia="Arial" w:hAnsi="Arial"/>
                <w:sz w:val="18"/>
                <w:szCs w:val="18"/>
                <w:color w:val="auto"/>
              </w:rPr>
              <w:t>Cost of revenues*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35,602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(7,150)</w:t>
            </w:r>
          </w:p>
        </w:tc>
      </w:tr>
      <w:tr>
        <w:trPr>
          <w:trHeight w:val="23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r>
      <w:tr>
        <w:trPr>
          <w:trHeight w:val="229"/>
        </w:trPr>
        <w:tc>
          <w:tcPr>
            <w:tcW w:w="578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30,536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(7,271)</w:t>
            </w:r>
          </w:p>
        </w:tc>
      </w:tr>
      <w:tr>
        <w:trPr>
          <w:trHeight w:val="23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charges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229"/>
        </w:trPr>
        <w:tc>
          <w:tcPr>
            <w:tcW w:w="5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85,634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(17,548)</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112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(16,998)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33,974</w:t>
            </w:r>
          </w:p>
        </w:tc>
      </w:tr>
      <w:tr>
        <w:trPr>
          <w:trHeight w:val="20"/>
        </w:trPr>
        <w:tc>
          <w:tcPr>
            <w:tcW w:w="5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Cost of revenues excludes depreciation and amortization which are shown separately.</w:t>
      </w:r>
    </w:p>
    <w:p>
      <w:pPr>
        <w:spacing w:after="0" w:line="234"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increased $16.4 million to $68.6 million for the three months ended September 30, 2020, compared to the same period in 2019.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revenue is primarily driven by changes to the STIN business which resulted in a reduction in revenue in fiscal 2019. This increase in revenue was partially offset by the sunsetting of our Universal ID product, the accounting treatment of deferred revenue due to the Verizon renewal as per ASC 606 and lower partner revenue in our activation business.</w:t>
      </w:r>
    </w:p>
    <w:p>
      <w:pPr>
        <w:spacing w:after="0" w:line="208"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decreased $7.2 million to $28.5 million for the three months ended September 30, 2020, compared to the same period in 2019. The</w:t>
      </w:r>
      <w:r>
        <w:rPr>
          <w:rFonts w:ascii="Arial" w:cs="Arial" w:eastAsia="Arial" w:hAnsi="Arial"/>
          <w:sz w:val="18"/>
          <w:szCs w:val="18"/>
          <w:b w:val="1"/>
          <w:bCs w:val="1"/>
          <w:color w:val="auto"/>
        </w:rPr>
        <w:t xml:space="preserve"> </w:t>
      </w:r>
      <w:r>
        <w:rPr>
          <w:rFonts w:ascii="Arial" w:cs="Arial" w:eastAsia="Arial" w:hAnsi="Arial"/>
          <w:sz w:val="18"/>
          <w:szCs w:val="18"/>
          <w:color w:val="auto"/>
        </w:rPr>
        <w:t>2020 decrease was primarily due to cost savings initiatives implemented by the Company. These initiatives resulted in a significant decrease in cost of revenues driven mainly by data center consolidation and operating expense savings.</w:t>
      </w:r>
    </w:p>
    <w:p>
      <w:pPr>
        <w:spacing w:after="0" w:line="203"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expense increased $2.3 million to $20.9 million for the three months ended September 30, 2020, compared to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2019. The increase in research and development costs was primarily attributable to the right of use asset impairment in 2020.</w:t>
      </w:r>
    </w:p>
    <w:p>
      <w:pPr>
        <w:spacing w:after="0" w:line="16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expense decreased $7.3 million to $23.3 million for the three months ended September 30, 2020,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2019. The 2020 decrease was primarily driven by cost savings initiatives that resulted in a decrease in employee costs, facilities, and external costs related to outside consultants and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Restructuring charges </w:t>
      </w:r>
      <w:r>
        <w:rPr>
          <w:rFonts w:ascii="Arial" w:cs="Arial" w:eastAsia="Arial" w:hAnsi="Arial"/>
          <w:sz w:val="18"/>
          <w:szCs w:val="18"/>
          <w:color w:val="auto"/>
        </w:rPr>
        <w:t>were $0.8 million and $0.0 million for the three months ended September 30, 2020 and 2019, respectively, which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employment termination costs as a result of the work-force reductions initiated in the current year to reduce operating costs and align our resources with our key strategic priorities.</w:t>
      </w:r>
    </w:p>
    <w:p>
      <w:pPr>
        <w:spacing w:after="0" w:line="20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expense decreased $6.3 million to $12.2 million for the three months ended September 30, 2020,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2019. The 2020 decrease was primarily attributable to the expiration of amortizable acquired assets in combination with reduced capital expenditures mainly as a result of the data center consolidation efforts, partially offset by the increased amortization of capitalized software. Additionally, management continues to strategically scale down its real estate portfolio which resulted in an additional $3.1 million asset impairment for certain leasehold improvements during the quarter.</w:t>
      </w:r>
    </w:p>
    <w:p>
      <w:pPr>
        <w:spacing w:after="0" w:line="2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The Company recognized approximately $8.7 million in related income tax benefit and $9.8 million in related income tax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three months ended September 30, 2020 and 2019, respectively. The effective tax rate was approximately 60.87% for the three months ended September 30, 2020, which was higher than the U.S. federal statutory rate primarily due to discrete income tax benefit recorded in the period associated with the finalization of the Company’s U.S. federal income tax return, projected impact of the new NOL carryback provisions provided by the CARES Act, and a decrease in permanent book-tax adjustments, partially offset by certain foreign jurisdictions projecting current income tax expense. The Company’s effective tax rate was approximately (19.2)% for the three months ended September 30, 2019, which was lower than the U.S. federal statutory rate primarily due to pre-tax losses in jurisdictions where full valuation allowances have been recorded and in zero rate jurisdictions, offset by certain foreign jurisdictions projecting current income tax expense. In addition, during the period the company recorded discrete current income tax expense associated with U.S. Base Erosion and Anti-Abuse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Condensed Consolidated Statements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compared to the nine months ended September 30,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an overview of our results of operations for the nine months ended September 30, 2020 and 2019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5"/>
          </w:tcPr>
          <w:p>
            <w:pPr>
              <w:ind w:left="12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18"/>
                <w:szCs w:val="18"/>
                <w:color w:val="auto"/>
              </w:rPr>
            </w:pPr>
          </w:p>
        </w:tc>
        <w:tc>
          <w:tcPr>
            <w:tcW w:w="1300" w:type="dxa"/>
            <w:vAlign w:val="bottom"/>
          </w:tcPr>
          <w:p>
            <w:pPr>
              <w:jc w:val="right"/>
              <w:ind w:right="232"/>
              <w:spacing w:after="0"/>
              <w:rPr>
                <w:sz w:val="20"/>
                <w:szCs w:val="20"/>
                <w:color w:val="auto"/>
              </w:rPr>
            </w:pPr>
            <w:r>
              <w:rPr>
                <w:rFonts w:ascii="Arial" w:cs="Arial" w:eastAsia="Arial" w:hAnsi="Arial"/>
                <w:sz w:val="16"/>
                <w:szCs w:val="16"/>
                <w:b w:val="1"/>
                <w:bCs w:val="1"/>
                <w:color w:val="auto"/>
                <w:w w:val="98"/>
              </w:rPr>
              <w:t>2020 vs 2019</w:t>
            </w:r>
          </w:p>
        </w:tc>
      </w:tr>
      <w:tr>
        <w:trPr>
          <w:trHeight w:val="210"/>
        </w:trPr>
        <w:tc>
          <w:tcPr>
            <w:tcW w:w="64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r>
      <w:tr>
        <w:trPr>
          <w:trHeight w:val="229"/>
        </w:trPr>
        <w:tc>
          <w:tcPr>
            <w:tcW w:w="6400" w:type="dxa"/>
            <w:vAlign w:val="bottom"/>
          </w:tcPr>
          <w:p>
            <w:pPr>
              <w:ind w:left="120"/>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93,403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107,958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(14,555)</w:t>
            </w:r>
          </w:p>
        </w:tc>
      </w:tr>
      <w:tr>
        <w:trPr>
          <w:trHeight w:val="229"/>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r>
      <w:tr>
        <w:trPr>
          <w:trHeight w:val="230"/>
        </w:trPr>
        <w:tc>
          <w:tcPr>
            <w:tcW w:w="64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82,862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(8,613)</w:t>
            </w:r>
          </w:p>
        </w:tc>
      </w:tr>
      <w:tr>
        <w:trPr>
          <w:trHeight w:val="229"/>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Restructuring charges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w:t>
            </w:r>
          </w:p>
        </w:tc>
      </w:tr>
      <w:tr>
        <w:trPr>
          <w:trHeight w:val="230"/>
        </w:trPr>
        <w:tc>
          <w:tcPr>
            <w:tcW w:w="6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(25,068)</w:t>
            </w: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(39,724)</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(89,599)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43,856</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Cost of revenues excludes depreciation and amortization which are shown separately.</w:t>
      </w:r>
    </w:p>
    <w:p>
      <w:pPr>
        <w:spacing w:after="0" w:line="23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increased $4.1 million to $222.3 million for the nine months ended September 30, 2020, compared to the same period in 2019. The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revenue is primarily driven by changes to the STIN business which resulted in a reduction in revenue in fiscal 2019. This increase in revenue was partially offset by lower partner revenue in our activation business and the sunsetting of certain products.</w:t>
      </w:r>
    </w:p>
    <w:p>
      <w:pPr>
        <w:spacing w:after="0" w:line="203" w:lineRule="exact"/>
        <w:rPr>
          <w:sz w:val="20"/>
          <w:szCs w:val="20"/>
          <w:color w:val="auto"/>
        </w:rPr>
      </w:pPr>
    </w:p>
    <w:p>
      <w:pPr>
        <w:jc w:val="both"/>
        <w:ind w:right="20" w:firstLine="324"/>
        <w:spacing w:after="0" w:line="266"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decreased $14.6 million to $93.4 million for the nine months ended September 30, 2020, compared to the same period in 2019. The</w:t>
      </w:r>
      <w:r>
        <w:rPr>
          <w:rFonts w:ascii="Arial" w:cs="Arial" w:eastAsia="Arial" w:hAnsi="Arial"/>
          <w:sz w:val="18"/>
          <w:szCs w:val="18"/>
          <w:b w:val="1"/>
          <w:bCs w:val="1"/>
          <w:color w:val="auto"/>
        </w:rPr>
        <w:t xml:space="preserve"> </w:t>
      </w:r>
      <w:r>
        <w:rPr>
          <w:rFonts w:ascii="Arial" w:cs="Arial" w:eastAsia="Arial" w:hAnsi="Arial"/>
          <w:sz w:val="18"/>
          <w:szCs w:val="18"/>
          <w:color w:val="auto"/>
        </w:rPr>
        <w:t>2020 decrease was primarily due to cost savings initiatives implemented by the Company. These initiatives resulted in a significant decrease in cost of revenues driven mainly by data center consolidation and operating expense savings.</w:t>
      </w:r>
    </w:p>
    <w:p>
      <w:pPr>
        <w:spacing w:after="0" w:line="20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expense increased $2.5 million to $59.8 million for the nine months ended September 30, 2020, compared to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2019. The increase in research and development costs was primarily attributable to the right of use asset impairment in 2020.</w:t>
      </w:r>
    </w:p>
    <w:p>
      <w:pPr>
        <w:spacing w:after="0" w:line="16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expense decreased $8.6 million to $74.2 million for the nine months ended September 30, 2020,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2019. The 2020 decrease was primarily driven by cost savings initiatives that resulted in a decrease in employee costs, facilities, and external costs related to outside consultants and legal fees.</w:t>
      </w:r>
    </w:p>
    <w:p>
      <w:pPr>
        <w:spacing w:after="0" w:line="20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Restructuring charges </w:t>
      </w:r>
      <w:r>
        <w:rPr>
          <w:rFonts w:ascii="Arial" w:cs="Arial" w:eastAsia="Arial" w:hAnsi="Arial"/>
          <w:sz w:val="18"/>
          <w:szCs w:val="18"/>
          <w:color w:val="auto"/>
        </w:rPr>
        <w:t>were $6.8 million and $0.7 million for the nine months ended September 30, 2020 and 2019, respectively, which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employment termination costs as a result of the work-force reductions initiated in the current year to reduce operating costs and align our resources with our key strategic priorities.</w:t>
      </w:r>
    </w:p>
    <w:p>
      <w:pPr>
        <w:spacing w:after="0" w:line="20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Depreciation and amortization </w:t>
      </w:r>
      <w:r>
        <w:rPr>
          <w:rFonts w:ascii="Arial" w:cs="Arial" w:eastAsia="Arial" w:hAnsi="Arial"/>
          <w:sz w:val="17"/>
          <w:szCs w:val="17"/>
          <w:color w:val="auto"/>
        </w:rPr>
        <w:t>expense decreased $25.1 million to $33.9 million for the nine months ended September 30, 2020, compared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same period in 2019. The 2020 decrease was primarily attributable to the expiration of amortizable acquired assets in combination with reduced capital expenditures mainly as a result of the data center consolidation efforts, partially offset by the increased amortization of capitalized software.</w:t>
      </w:r>
    </w:p>
    <w:p>
      <w:pPr>
        <w:spacing w:after="0" w:line="18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was $1.6 million for the nine months ended September 30, 2020. The interest income was primarily attributable to the settlement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PIK note receivable, which resulted in a reversal of past interest expenses incurred for tax purposes.</w:t>
      </w:r>
    </w:p>
    <w:p>
      <w:pPr>
        <w:spacing w:after="0" w:line="189"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6"/>
          <w:szCs w:val="16"/>
          <w:b w:val="1"/>
          <w:bCs w:val="1"/>
          <w:color w:val="auto"/>
        </w:rPr>
        <w:t xml:space="preserve">Income tax. </w:t>
      </w:r>
      <w:r>
        <w:rPr>
          <w:rFonts w:ascii="Arial" w:cs="Arial" w:eastAsia="Arial" w:hAnsi="Arial"/>
          <w:sz w:val="16"/>
          <w:szCs w:val="16"/>
          <w:color w:val="auto"/>
        </w:rPr>
        <w:t>The Company recognized approximately $29.1 million in related income tax benefit and $6.6 million in related income tax provision</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nine months ended September 30, 2020 and 2019, respectively. The effective tax rate was approximately 75.3% for the nine months ended September 30, 2020, which was higher than the U.S. federal statutory rate primarily due to discrete income tax benefit recorded in the period associated with a 2018 NOL carryback claim pursuant to the CARES Act, a redemption of the Company’s partnership interest in STIN, and the finalization of the Company’s U.S. federal income tax return. This increase was partially offset by projected current tax expense in certain foreign jurisdictions. The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Company’s effective tax rate was approximately 7.3% for the nine months ended September 30, 2019, which was lower than the U.S. federal statutory rate primarily due to pre-tax losses in jurisdictions where full valuation allowances have been recorded and in zero rate jurisdictions, offset by certain foreign jurisdictions projecting current income tax expense. In addition, during the period the company recorded discrete current income tax expense associated with U.S. Base Erosion and Anti-Abuse Tax.</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September 30, 2020, our principal sources of liquidity have been cash provided by operations and capital from our revolving credit facility. Our cash, cash equivalents, marketable securities and restricted cash balance was $46.4 million at September 30, 2020. We anticipate that our principal uses of cash, cash equivalents, and marketable securities will be to fund the expansion of our business through both organic growth and the expansion of our customer base. Uses of cash will also include technology expansion, capital expenditures, and working capital.</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September 30, 2020, our non-U.S. subsidiaries held approximately $7.0 million of cash and cash equivalents that are available for use by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6"/>
          <w:szCs w:val="16"/>
          <w:color w:val="auto"/>
        </w:rPr>
        <w:t>We believe that our existing cash, cash equivalents, credit facility, and our ability to manage working capital and expected positive cash flows generated from operations in combination with continued expense reductions will be sufficient to fund our operations for the next twelve months from the date of filing based on our current business plans. However, as the impact of the COVID-19 pandemic on the economy and our operations evolves, we will continue to assess our liquidity needs. Given the economic uncertainty as a result of the pandemic, we have taken actions to improve our current liquidity position, including, reducing working capital, reducing operating costs and substantially reducing discretionary spending. Even with these actions however, an extended period of economic disruption as a result of COVID-19 could materially affect our business, results of operations, ability to meet debt covenants, access to sources of liquidity and financial condition. Our liquidity plans are subject to a number of risks and uncertainties, including those described in the "Forward-Looking Statements" section of this MD&amp;A and Part I, Item 1A. “Risk Factors”, some of which are outside of our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the first quarter of fiscal 2020, the Company drew the $10.0 million from our Revolving Credit Facility. For further details, see </w:t>
      </w:r>
      <w:r>
        <w:rPr>
          <w:rFonts w:ascii="Arial" w:cs="Arial" w:eastAsia="Arial" w:hAnsi="Arial"/>
          <w:sz w:val="18"/>
          <w:szCs w:val="18"/>
          <w:b w:val="1"/>
          <w:bCs w:val="1"/>
          <w:i w:val="1"/>
          <w:iCs w:val="1"/>
          <w:color w:val="auto"/>
        </w:rPr>
        <w:t>Note 7. Debt</w:t>
      </w:r>
      <w:r>
        <w:rPr>
          <w:rFonts w:ascii="Arial" w:cs="Arial" w:eastAsia="Arial" w:hAnsi="Arial"/>
          <w:sz w:val="18"/>
          <w:szCs w:val="18"/>
          <w:color w:val="auto"/>
        </w:rPr>
        <w:t xml:space="preserve"> of the Notes to Condensed Consolidated Financial Statements in Item 1 of this Form 10-Q.</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in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Preferred Stock</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accordance with the terms of the Share Purchase Agreement dated as of October 17, 2017 (the “PIPE Purchase Agreement”), with Silver Private Holdings I, LLC, an affiliate of Siris (“Silver”), on February 15, 2018, we issued to Silver 185,000 shares of our newly issued Series A Preferred Stock, par value $0.0001 per share, with an initial liquidation preference of $1,000 per share, in exchange for $97.7 million in cash and the transfer from Silver to us of the 5,994,667 shares of our common stock held by Silver (the “Preferred Transaction”). In connection with the issuance of the Series A Preferred Stock, we (i) filed the Series A Certificate and (ii) entered into an Investor Rights Agreement with Silver setting forth certain registration, governance and preemptive rights of Silver with respect to us (the “Investor Rights Agreement”). Pursuant to the PIPE Purchase Agreement, at the closing, we paid to Siris $5.0 million as a reimbursement of Silver’s reasonable costs and expenses incurred in connection with the Preferred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Preferred Dividends. The Preferred Dividends are due on each Series A Dividend Payment Date. We may choose to pay the Preferred Dividends in cash or in additional shares of Series A Preferred Stock. In the event we do not declare and pay a dividend in-kind or in cash on any Series A Dividend Payment Date, the unpaid amount of the Preferred Dividend will be added to the Liquidation Preference. In addition, the Series A Preferred Stock participates in dividends declared and paid on shares of our common stock.</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2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and after February 15, 2023,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September 30, 2020, the Liquidation Value and Redemption Value of the Preferred Shares was $243.1 million.</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holders of a majority of the Series A Preferred Stock, voting separately as a class, are entitled at each of our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our Board of Directors for so long as the Preferred Percentage (as defined in the Series A Certificate) is equal to or greater than 10%; and (ii) to nominate and elect one member of our Board of Directors for so long as the Preferred Percentage is equal to or greater than 5% but less than 10%.</w:t>
      </w:r>
    </w:p>
    <w:p>
      <w:pPr>
        <w:spacing w:after="0" w:line="21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we are required to obtain the prior approval of Silver prior to taking certain actions, including: (i) certain dividends, repayments and redemptions; (ii) any amendment to our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us; (iv) changes in the size of our Board of Directors; (v) any amendment, alteration, modification or repeal of the charter of our Nominating and Corporate Governance Committee of the Board of Directors and related documents; and (vi) any change in our principal business or the entry into any line of business outside of our existing lines of businesses. In addition, in the event that we are in EBITDA Non-Compliance (as defined in the Series A Certificate) or the undertaking of certain actions would result in us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2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Series A Certificate, if Silver and certain of its affiliates have elected to effect a conversion of some or all of their shares of Series A Preferred Stock and if the sum, without duplication, of (i) the aggregate number of shares of our common stock issued to such holders upon such conversion and any shares of our common stock previously issued to such holders upon conversion of Series A Preferred Stock and then held by such holders, plus (ii) the number of shares of our common stock underlying shares of Series A Preferred Stock that would be held at such time by such holders (after giving effect to such conversion), would exceed the 19.9% of the issued and outstanding shares of our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our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our common stock under the applicable listing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20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in order to maintain its ownership percentage.</w:t>
      </w:r>
    </w:p>
    <w:p>
      <w:pPr>
        <w:spacing w:after="0" w:line="2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Discussion of Cash Flows</w:t>
            </w: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A summary of net cash flows follows (in thousands):</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3560" w:type="dxa"/>
            <w:vAlign w:val="bottom"/>
            <w:gridSpan w:val="6"/>
          </w:tcPr>
          <w:p>
            <w:pPr>
              <w:ind w:left="380"/>
              <w:spacing w:after="0"/>
              <w:rPr>
                <w:sz w:val="20"/>
                <w:szCs w:val="20"/>
                <w:color w:val="auto"/>
              </w:rPr>
            </w:pPr>
            <w:r>
              <w:rPr>
                <w:rFonts w:ascii="Arial" w:cs="Arial" w:eastAsia="Arial" w:hAnsi="Arial"/>
                <w:sz w:val="18"/>
                <w:szCs w:val="18"/>
                <w:b w:val="1"/>
                <w:bCs w:val="1"/>
                <w:color w:val="auto"/>
              </w:rPr>
              <w:t>Nine Months Ended September 30,</w:t>
            </w:r>
          </w:p>
        </w:tc>
        <w:tc>
          <w:tcPr>
            <w:tcW w:w="200" w:type="dxa"/>
            <w:vAlign w:val="bottom"/>
          </w:tcPr>
          <w:p>
            <w:pPr>
              <w:spacing w:after="0"/>
              <w:rPr>
                <w:sz w:val="22"/>
                <w:szCs w:val="22"/>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2020 vs 2019</w:t>
            </w: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8,661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11,839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(3,178)</w:t>
            </w:r>
          </w:p>
        </w:tc>
      </w:tr>
      <w:tr>
        <w:trPr>
          <w:trHeight w:val="229"/>
        </w:trPr>
        <w:tc>
          <w:tcPr>
            <w:tcW w:w="20" w:type="dxa"/>
            <w:vAlign w:val="bottom"/>
          </w:tcPr>
          <w:p>
            <w:pPr>
              <w:spacing w:after="0"/>
              <w:rPr>
                <w:sz w:val="19"/>
                <w:szCs w:val="19"/>
                <w:color w:val="auto"/>
              </w:rPr>
            </w:pPr>
          </w:p>
        </w:tc>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(29,131)</w:t>
            </w:r>
          </w:p>
        </w:tc>
      </w:tr>
      <w:tr>
        <w:trPr>
          <w:trHeight w:val="230"/>
        </w:trPr>
        <w:tc>
          <w:tcPr>
            <w:tcW w:w="20" w:type="dxa"/>
            <w:vAlign w:val="bottom"/>
          </w:tcPr>
          <w:p>
            <w:pPr>
              <w:spacing w:after="0"/>
              <w:rPr>
                <w:sz w:val="20"/>
                <w:szCs w:val="20"/>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(120,993)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130,984</w:t>
            </w:r>
          </w:p>
        </w:tc>
      </w:tr>
    </w:tbl>
    <w:p>
      <w:pPr>
        <w:spacing w:after="0" w:line="33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20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Cash flows from operating activities </w:t>
      </w:r>
      <w:r>
        <w:rPr>
          <w:rFonts w:ascii="Arial" w:cs="Arial" w:eastAsia="Arial" w:hAnsi="Arial"/>
          <w:sz w:val="18"/>
          <w:szCs w:val="18"/>
          <w:color w:val="auto"/>
        </w:rPr>
        <w:t>for the nine months ended September 30, 2020 was $8.7 million cash provided by operating activities,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$11.8 million of cash provided by operating activities for the same period in 2019. Excluding the tax refunds received in 2020 and 2019 respectively, cash provided from operations increased for the nine months ended 2020 compared to the nine months ended 2019 mainly driven by the Company’s cost savings initiatives.</w:t>
      </w:r>
    </w:p>
    <w:p>
      <w:pPr>
        <w:spacing w:after="0" w:line="20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Cash flows from investing </w:t>
      </w:r>
      <w:r>
        <w:rPr>
          <w:rFonts w:ascii="Arial" w:cs="Arial" w:eastAsia="Arial" w:hAnsi="Arial"/>
          <w:sz w:val="18"/>
          <w:szCs w:val="18"/>
          <w:color w:val="auto"/>
        </w:rPr>
        <w:t>for the nine months ended September 30, 2020 was $11.4 million cash used for investing, as compared to $17.7 million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provided by investing activities during the same period in 2019. The cash used for investing in the current year was primarily related to the purchase of fixed assets and investment in capitalized software offset by the sale of certain IP address assets. The net decrease in cash from investing activities from the prior year mainly related to the net proceeds from the purchases and sales of marketable securities in the prior year that were not present in the current period.</w:t>
      </w:r>
    </w:p>
    <w:p>
      <w:pPr>
        <w:spacing w:after="0" w:line="21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Cash flows from financing </w:t>
      </w:r>
      <w:r>
        <w:rPr>
          <w:rFonts w:ascii="Arial" w:cs="Arial" w:eastAsia="Arial" w:hAnsi="Arial"/>
          <w:sz w:val="18"/>
          <w:szCs w:val="18"/>
          <w:color w:val="auto"/>
        </w:rPr>
        <w:t>for nine months ended September 30, 2020 was $10.0 million of cash provided, as compared to $121.0 million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used by financing activities for the same period in 2019. The cash provided from investing activities was attributable to the $10.0 million drawdown from our Revolving Credit Facility. The net change in cash provided from financing activities from the prior year is primarily attributable to the cash provided from the Revolving Credit Facility offset by repayments for our Convertible Senior Notes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56"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Although inflation generally affects us by increasing our cost of labor and equipment, we do not believe that inflation has had any material effect on our results of operations during 2020 and 2019. We do not expect the current rate of inflation to have a material impact on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contractual obligations consist of contingent consideration, office equipment and colocation services and contractual commitments under third-party hosting, software licenses and maintenance agreements. The following table summarizes our long-term contractual obligations as of September 30, 2020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w w:val="89"/>
              </w:rPr>
              <w:t>Payments Due by Period</w:t>
            </w:r>
          </w:p>
        </w:tc>
        <w:tc>
          <w:tcPr>
            <w:tcW w:w="1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0"/>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spacing w:after="0"/>
              <w:rPr>
                <w:sz w:val="18"/>
                <w:szCs w:val="18"/>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11"/>
              <w:spacing w:after="0"/>
              <w:rPr>
                <w:sz w:val="20"/>
                <w:szCs w:val="20"/>
                <w:color w:val="auto"/>
              </w:rPr>
            </w:pPr>
            <w:r>
              <w:rPr>
                <w:rFonts w:ascii="Arial" w:cs="Arial" w:eastAsia="Arial" w:hAnsi="Arial"/>
                <w:sz w:val="16"/>
                <w:szCs w:val="16"/>
                <w:b w:val="1"/>
                <w:bCs w:val="1"/>
                <w:color w:val="auto"/>
              </w:rPr>
              <w:t>2021-2023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11"/>
              <w:spacing w:after="0"/>
              <w:rPr>
                <w:sz w:val="20"/>
                <w:szCs w:val="20"/>
                <w:color w:val="auto"/>
              </w:rPr>
            </w:pPr>
            <w:r>
              <w:rPr>
                <w:rFonts w:ascii="Arial" w:cs="Arial" w:eastAsia="Arial" w:hAnsi="Arial"/>
                <w:sz w:val="16"/>
                <w:szCs w:val="16"/>
                <w:b w:val="1"/>
                <w:bCs w:val="1"/>
                <w:color w:val="auto"/>
              </w:rPr>
              <w:t>2024-2025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11"/>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35,157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18,579</w:t>
            </w:r>
          </w:p>
        </w:tc>
      </w:tr>
      <w:tr>
        <w:trPr>
          <w:trHeight w:val="229"/>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39,890</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150,646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85,161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39,284</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18,579</w:t>
            </w:r>
          </w:p>
        </w:tc>
      </w:tr>
      <w:tr>
        <w:trPr>
          <w:trHeight w:val="20"/>
        </w:trPr>
        <w:tc>
          <w:tcPr>
            <w:tcW w:w="4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Amount represents obligations associated with colocation agreements and other customer delivery related purchase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5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Unrecognized tax positions of $3.3 million at September 30, 2020 are excluded from the table above as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These estimates and assumptions take into account historical and forward looking factors that the Company believes are reasonable, including but not limited to the potential impacts arising from COVID-19 and public and private sector policies and initiatives aimed at reducing its transmission. As the extent and duration of the impacts from COVID-19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During the nine months ended September 30, 2020, the Company made changes in its accounting policies over Accounting Standards Update No. 2016-13, Financial Instruments-Credit Losses (Topic 326): Measurement of Credit Losses on Financial Instruments. These updates are described in detail in </w:t>
      </w:r>
      <w:r>
        <w:rPr>
          <w:rFonts w:ascii="Arial" w:cs="Arial" w:eastAsia="Arial" w:hAnsi="Arial"/>
          <w:sz w:val="16"/>
          <w:szCs w:val="16"/>
          <w:b w:val="1"/>
          <w:bCs w:val="1"/>
          <w:i w:val="1"/>
          <w:iCs w:val="1"/>
          <w:color w:val="auto"/>
        </w:rPr>
        <w:t>Note 2. Basis of Presentation and Consolidation</w:t>
      </w:r>
      <w:r>
        <w:rPr>
          <w:rFonts w:ascii="Arial" w:cs="Arial" w:eastAsia="Arial" w:hAnsi="Arial"/>
          <w:sz w:val="16"/>
          <w:szCs w:val="16"/>
          <w:i w:val="1"/>
          <w:iCs w:val="1"/>
          <w:color w:val="auto"/>
        </w:rPr>
        <w:t>.</w:t>
      </w:r>
      <w:r>
        <w:rPr>
          <w:rFonts w:ascii="Arial" w:cs="Arial" w:eastAsia="Arial" w:hAnsi="Arial"/>
          <w:sz w:val="16"/>
          <w:szCs w:val="16"/>
          <w:color w:val="auto"/>
        </w:rPr>
        <w:t xml:space="preserve"> Aside from the adoption of Topic 326, there were no significant changes in our critical accounting policies and estimates discussed in our Form 10-K for the year ended December 31, 2019 during the nine months ended September 30, 2020. Please refer to Management’s Discussion and Analysis of Financial Condition and Results of Operations contained in Part II, Item 7 of our Annual Report on Form 10-K for the year ended December 31, 2019 for a more complete discussion of our critical accounting policies and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a discussion of recently issued accounting standards see </w:t>
      </w:r>
      <w:r>
        <w:rPr>
          <w:rFonts w:ascii="Arial" w:cs="Arial" w:eastAsia="Arial" w:hAnsi="Arial"/>
          <w:sz w:val="18"/>
          <w:szCs w:val="18"/>
          <w:b w:val="1"/>
          <w:bCs w:val="1"/>
          <w:i w:val="1"/>
          <w:iCs w:val="1"/>
          <w:color w:val="auto"/>
        </w:rPr>
        <w:t>Note 2. Basis of Presentation and Consolidation</w:t>
      </w:r>
      <w:r>
        <w:rPr>
          <w:rFonts w:ascii="Arial" w:cs="Arial" w:eastAsia="Arial" w:hAnsi="Arial"/>
          <w:sz w:val="18"/>
          <w:szCs w:val="18"/>
          <w:color w:val="auto"/>
        </w:rPr>
        <w:t xml:space="preserve"> included in Part I, Item 1. “Notes to Condensed Consolidated Financial Statements (unaudited)” of this Quarterly Report on Form 10-Q.</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had no off-balance sheet arrangements as of September 30, 2020 and December 31, 2019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September 30, 2020 and December 31, 2019 were invested in liquid money market accounts, certificates of deposit and government securities. All market-risk sensitive instruments were entered into for non-trading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2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the risk of interest rate fluctuations on the interest income earned on our cash and cash equivalents. A hypothetical 100 basis point movement in interest rates applicable to our cash and cash equivalents outstanding at September 30, 2020 would increase interest income by approximately $0.5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September 30,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We completed an implementation of a new enterprise resource planning, or ERP, system during the first quarter of 2020. The ERP system replaced or enhanced certain internal financial, operating and other systems that are critical to our business operations. The ERP implementation affected the processes that constitute our internal control over financial reporting. Management has taken steps to ensure that appropriate controls were designed and implemented as the new ERP system was implemented.</w:t>
      </w:r>
    </w:p>
    <w:p>
      <w:pPr>
        <w:spacing w:after="0" w:line="21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With the exception of the ERP implementation described above, there were no changes in the Company's internal control over financial reporting that occurred during the quarterly period ended September 30, 2020 that have materially affected, or are reasonably likely to materially effect, the Company's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5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discussion of our material pending legal proceedings that could impact our results of operations, financial condition or cash flows see </w:t>
      </w:r>
      <w:r>
        <w:rPr>
          <w:rFonts w:ascii="Arial" w:cs="Arial" w:eastAsia="Arial" w:hAnsi="Arial"/>
          <w:sz w:val="18"/>
          <w:szCs w:val="18"/>
          <w:b w:val="1"/>
          <w:bCs w:val="1"/>
          <w:i w:val="1"/>
          <w:iCs w:val="1"/>
          <w:color w:val="auto"/>
        </w:rPr>
        <w:t>Note 13.</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Commitments, Contingencies and Other </w:t>
      </w:r>
      <w:r>
        <w:rPr>
          <w:rFonts w:ascii="Arial" w:cs="Arial" w:eastAsia="Arial" w:hAnsi="Arial"/>
          <w:sz w:val="18"/>
          <w:szCs w:val="18"/>
          <w:color w:val="auto"/>
        </w:rPr>
        <w:t>included in Part I, Item 1. “Notes to Condensed Consolidated Financial Statements (unaudited)” of this Quarterly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Except as stated below, there have been no material changes to our risk factors as previously disclosed in Part I, Item 1A. included in our Annual Report on Form 10-K for the year ended December 31, 2019. In addition, the impacts of COVID-19 and any worsening of the economic environment may exacerbate the risks described below and in our Annual Report on Form 10-K for the year ended December 31, 2019, any of which could have a material impact on 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Public health crises, including the recent novel coronavirus (COVID-19) outbreak, could materially adversely affect our business, financial condition and results of operations. Our business is based on our ability to provide products and services to customers throughout the United States and around the world and the ability of those customers to utilize and pay for those products and services for their businesses. As a result, our business could be materially adversely affected by a crisis, like the COVID-19 outbreak, that significantly impacts our current and potential customers and vendors. In addition, such a crisis could significantly increase the probability or consequences of the risks our business faces in ordinary circumstances, such as risks associated with our supplier and vendor relationships, risks of an economic slowdown, regulatory risks, and the costs and availability of financing. Because the severity, magnitude and duration of the COVID-19 outbreak and its economic consequences are uncertain and rapidly changing, the impact on our business, financial condition and results of operations remains uncertain and difficult to predict. In addition, the ultimate impact of the COVID-19 outbreak on our business, financial condition and results of operations depends on many factors, including those discussed above, that are not within our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1008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182"/>
        </w:trPr>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80" w:type="dxa"/>
            <w:vAlign w:val="bottom"/>
            <w:tcBorders>
              <w:top w:val="single" w:sz="8" w:color="auto"/>
            </w:tcBorders>
            <w:gridSpan w:val="11"/>
          </w:tcPr>
          <w:p>
            <w:pPr>
              <w:spacing w:after="0" w:line="161" w:lineRule="exact"/>
              <w:rPr>
                <w:rFonts w:ascii="Arial" w:cs="Arial" w:eastAsia="Arial" w:hAnsi="Arial"/>
                <w:sz w:val="14"/>
                <w:szCs w:val="14"/>
                <w:color w:val="0000FF"/>
                <w:w w:val="96"/>
              </w:rPr>
            </w:pPr>
            <w:hyperlink r:id="rId64">
              <w:r>
                <w:rPr>
                  <w:rFonts w:ascii="Arial" w:cs="Arial" w:eastAsia="Arial" w:hAnsi="Arial"/>
                  <w:sz w:val="14"/>
                  <w:szCs w:val="14"/>
                  <w:u w:val="single" w:color="auto"/>
                  <w:color w:val="0000FF"/>
                  <w:w w:val="96"/>
                </w:rPr>
                <w:t>Restated Certificate of Incorporation of the Registrant, incorporated by reference to Registrant’s Registration Statement on Form S</w:t>
              </w:r>
              <w:r>
                <w:rPr>
                  <w:rFonts w:ascii="MS PGothic" w:cs="MS PGothic" w:eastAsia="MS PGothic" w:hAnsi="MS PGothic"/>
                  <w:sz w:val="14"/>
                  <w:szCs w:val="14"/>
                  <w:u w:val="single" w:color="auto"/>
                  <w:color w:val="0000FF"/>
                  <w:w w:val="96"/>
                </w:rPr>
                <w:t>‑</w:t>
              </w:r>
              <w:r>
                <w:rPr>
                  <w:rFonts w:ascii="Arial" w:cs="Arial" w:eastAsia="Arial" w:hAnsi="Arial"/>
                  <w:sz w:val="14"/>
                  <w:szCs w:val="14"/>
                  <w:u w:val="single" w:color="auto"/>
                  <w:color w:val="0000FF"/>
                  <w:w w:val="96"/>
                </w:rPr>
                <w:t>1 (Commission File No. 333</w:t>
              </w:r>
              <w:r>
                <w:rPr>
                  <w:rFonts w:ascii="MS PGothic" w:cs="MS PGothic" w:eastAsia="MS PGothic" w:hAnsi="MS PGothic"/>
                  <w:sz w:val="14"/>
                  <w:szCs w:val="14"/>
                  <w:u w:val="single" w:color="auto"/>
                  <w:color w:val="0000FF"/>
                  <w:w w:val="96"/>
                </w:rPr>
                <w:t>‑</w:t>
              </w:r>
              <w:r>
                <w:rPr>
                  <w:rFonts w:ascii="Arial" w:cs="Arial" w:eastAsia="Arial" w:hAnsi="Arial"/>
                  <w:sz w:val="14"/>
                  <w:szCs w:val="14"/>
                  <w:u w:val="single" w:color="auto"/>
                  <w:color w:val="0000FF"/>
                  <w:w w:val="96"/>
                </w:rPr>
                <w:t>132080)</w:t>
              </w:r>
              <w:r>
                <w:rPr>
                  <w:rFonts w:ascii="Arial" w:cs="Arial" w:eastAsia="Arial" w:hAnsi="Arial"/>
                  <w:sz w:val="14"/>
                  <w:szCs w:val="14"/>
                  <w:color w:val="0000FF"/>
                  <w:w w:val="96"/>
                </w:rPr>
                <w:t>.</w:t>
              </w:r>
            </w:hyperlink>
          </w:p>
        </w:tc>
      </w:tr>
      <w:tr>
        <w:trPr>
          <w:trHeight w:val="184"/>
        </w:trPr>
        <w:tc>
          <w:tcPr>
            <w:tcW w:w="11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11"/>
          </w:tcPr>
          <w:p>
            <w:pPr>
              <w:spacing w:after="0" w:line="161" w:lineRule="exact"/>
              <w:rPr>
                <w:rFonts w:ascii="Arial" w:cs="Arial" w:eastAsia="Arial" w:hAnsi="Arial"/>
                <w:sz w:val="14"/>
                <w:szCs w:val="14"/>
                <w:color w:val="0000FF"/>
                <w:w w:val="99"/>
              </w:rPr>
            </w:pPr>
            <w:hyperlink r:id="rId65">
              <w:r>
                <w:rPr>
                  <w:rFonts w:ascii="Arial" w:cs="Arial" w:eastAsia="Arial" w:hAnsi="Arial"/>
                  <w:sz w:val="14"/>
                  <w:szCs w:val="14"/>
                  <w:u w:val="single" w:color="auto"/>
                  <w:color w:val="0000FF"/>
                  <w:w w:val="99"/>
                </w:rPr>
                <w:t>Amended and Restated Bylaws of the Registrant, incorporated by reference to Registrant’s Registration Statement on Form S</w:t>
              </w:r>
              <w:r>
                <w:rPr>
                  <w:rFonts w:ascii="MS PGothic" w:cs="MS PGothic" w:eastAsia="MS PGothic" w:hAnsi="MS PGothic"/>
                  <w:sz w:val="14"/>
                  <w:szCs w:val="14"/>
                  <w:u w:val="single" w:color="auto"/>
                  <w:color w:val="0000FF"/>
                  <w:w w:val="99"/>
                </w:rPr>
                <w:t>‑</w:t>
              </w:r>
              <w:r>
                <w:rPr>
                  <w:rFonts w:ascii="Arial" w:cs="Arial" w:eastAsia="Arial" w:hAnsi="Arial"/>
                  <w:sz w:val="14"/>
                  <w:szCs w:val="14"/>
                  <w:u w:val="single" w:color="auto"/>
                  <w:color w:val="0000FF"/>
                  <w:w w:val="99"/>
                </w:rPr>
                <w:t>1 (Commission File No. 333</w:t>
              </w:r>
              <w:r>
                <w:rPr>
                  <w:rFonts w:ascii="MS PGothic" w:cs="MS PGothic" w:eastAsia="MS PGothic" w:hAnsi="MS PGothic"/>
                  <w:sz w:val="14"/>
                  <w:szCs w:val="14"/>
                  <w:u w:val="single" w:color="auto"/>
                  <w:color w:val="0000FF"/>
                  <w:w w:val="99"/>
                </w:rPr>
                <w:t>‑</w:t>
              </w:r>
              <w:r>
                <w:rPr>
                  <w:rFonts w:ascii="Arial" w:cs="Arial" w:eastAsia="Arial" w:hAnsi="Arial"/>
                  <w:sz w:val="14"/>
                  <w:szCs w:val="14"/>
                  <w:u w:val="single" w:color="auto"/>
                  <w:color w:val="0000FF"/>
                  <w:w w:val="99"/>
                </w:rPr>
                <w:t>132080)</w:t>
              </w:r>
              <w:r>
                <w:rPr>
                  <w:rFonts w:ascii="Arial" w:cs="Arial" w:eastAsia="Arial" w:hAnsi="Arial"/>
                  <w:sz w:val="14"/>
                  <w:szCs w:val="14"/>
                  <w:color w:val="0000FF"/>
                  <w:w w:val="99"/>
                </w:rPr>
                <w:t>.</w:t>
              </w:r>
            </w:hyperlink>
          </w:p>
        </w:tc>
      </w:tr>
      <w:tr>
        <w:trPr>
          <w:trHeight w:val="160"/>
        </w:trPr>
        <w:tc>
          <w:tcPr>
            <w:tcW w:w="11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11"/>
          </w:tcPr>
          <w:p>
            <w:pPr>
              <w:spacing w:after="0"/>
              <w:rPr>
                <w:rFonts w:ascii="Arial" w:cs="Arial" w:eastAsia="Arial" w:hAnsi="Arial"/>
                <w:sz w:val="14"/>
                <w:szCs w:val="14"/>
                <w:color w:val="0000FF"/>
                <w:w w:val="98"/>
              </w:rPr>
            </w:pPr>
            <w:hyperlink r:id="rId66">
              <w:r>
                <w:rPr>
                  <w:rFonts w:ascii="Arial" w:cs="Arial" w:eastAsia="Arial" w:hAnsi="Arial"/>
                  <w:sz w:val="14"/>
                  <w:szCs w:val="14"/>
                  <w:color w:val="0000FF"/>
                  <w:w w:val="98"/>
                </w:rPr>
                <w:t>Amendment No. 1 to Amended and Restated Bylaws of Registration, incorporated by reference to Exhibit 3.2 to the Registrant’s Current Report on Form 8-K filed on</w:t>
              </w:r>
            </w:hyperlink>
          </w:p>
        </w:tc>
      </w:tr>
      <w:tr>
        <w:trPr>
          <w:trHeight w:val="115"/>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60" w:type="dxa"/>
            <w:vAlign w:val="bottom"/>
            <w:tcBorders>
              <w:top w:val="single" w:sz="8" w:color="0000FF"/>
            </w:tcBorders>
            <w:gridSpan w:val="10"/>
          </w:tcPr>
          <w:p>
            <w:pPr>
              <w:spacing w:after="0" w:line="115" w:lineRule="exact"/>
              <w:rPr>
                <w:rFonts w:ascii="Arial" w:cs="Arial" w:eastAsia="Arial" w:hAnsi="Arial"/>
                <w:sz w:val="13"/>
                <w:szCs w:val="13"/>
                <w:color w:val="0000FF"/>
              </w:rPr>
            </w:pPr>
            <w:hyperlink r:id="rId66">
              <w:r>
                <w:rPr>
                  <w:rFonts w:ascii="Arial" w:cs="Arial" w:eastAsia="Arial" w:hAnsi="Arial"/>
                  <w:sz w:val="13"/>
                  <w:szCs w:val="13"/>
                  <w:color w:val="0000FF"/>
                </w:rPr>
                <w:t>February 20, 2018.</w:t>
              </w:r>
            </w:hyperlink>
          </w:p>
        </w:tc>
        <w:tc>
          <w:tcPr>
            <w:tcW w:w="2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8"/>
        </w:trPr>
        <w:tc>
          <w:tcPr>
            <w:tcW w:w="110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11"/>
          </w:tcPr>
          <w:p>
            <w:pPr>
              <w:spacing w:after="0"/>
              <w:rPr>
                <w:rFonts w:ascii="Arial" w:cs="Arial" w:eastAsia="Arial" w:hAnsi="Arial"/>
                <w:sz w:val="14"/>
                <w:szCs w:val="14"/>
                <w:u w:val="single" w:color="auto"/>
                <w:color w:val="0000FF"/>
              </w:rPr>
            </w:pPr>
            <w:hyperlink w:anchor="page48">
              <w:r>
                <w:rPr>
                  <w:rFonts w:ascii="Arial" w:cs="Arial" w:eastAsia="Arial" w:hAnsi="Arial"/>
                  <w:sz w:val="14"/>
                  <w:szCs w:val="14"/>
                  <w:u w:val="single" w:color="auto"/>
                  <w:color w:val="0000FF"/>
                </w:rPr>
                <w:t>Release Agreement dated as of April 22, 2020 between the Registrant and Mary Clark.</w:t>
              </w:r>
            </w:hyperlink>
          </w:p>
        </w:tc>
      </w:tr>
      <w:tr>
        <w:trPr>
          <w:trHeight w:val="161"/>
        </w:trPr>
        <w:tc>
          <w:tcPr>
            <w:tcW w:w="110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11"/>
          </w:tcPr>
          <w:p>
            <w:pPr>
              <w:spacing w:after="0"/>
              <w:rPr>
                <w:rFonts w:ascii="Arial" w:cs="Arial" w:eastAsia="Arial" w:hAnsi="Arial"/>
                <w:sz w:val="14"/>
                <w:szCs w:val="14"/>
                <w:color w:val="0000FF"/>
                <w:w w:val="97"/>
              </w:rPr>
            </w:pPr>
            <w:hyperlink w:anchor="page53">
              <w:r>
                <w:rPr>
                  <w:rFonts w:ascii="Arial" w:cs="Arial" w:eastAsia="Arial" w:hAnsi="Arial"/>
                  <w:sz w:val="14"/>
                  <w:szCs w:val="14"/>
                  <w:color w:val="0000FF"/>
                  <w:w w:val="97"/>
                </w:rPr>
                <w:t>Change Request No 12 effective August 7, 2020 to SOW No.1 Application Service Provider Agreement effective as of April 1, 2013 by and between the Registrant and</w:t>
              </w:r>
            </w:hyperlink>
          </w:p>
        </w:tc>
      </w:tr>
      <w:tr>
        <w:trPr>
          <w:trHeight w:val="115"/>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rPr>
            </w:pPr>
            <w:hyperlink w:anchor="page53">
              <w:r>
                <w:rPr>
                  <w:rFonts w:ascii="Arial" w:cs="Arial" w:eastAsia="Arial" w:hAnsi="Arial"/>
                  <w:sz w:val="13"/>
                  <w:szCs w:val="13"/>
                  <w:color w:val="0000FF"/>
                </w:rPr>
                <w:t>Verizon Sourcing LLC.</w:t>
              </w:r>
            </w:hyperlink>
          </w:p>
        </w:tc>
        <w:tc>
          <w:tcPr>
            <w:tcW w:w="8620" w:type="dxa"/>
            <w:vAlign w:val="bottom"/>
            <w:tcBorders>
              <w:top w:val="single" w:sz="8" w:color="0000FF"/>
            </w:tcBorders>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69"/>
        </w:trPr>
        <w:tc>
          <w:tcPr>
            <w:tcW w:w="1100" w:type="dxa"/>
            <w:vAlign w:val="bottom"/>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gridSpan w:val="11"/>
          </w:tcPr>
          <w:p>
            <w:pPr>
              <w:spacing w:after="0" w:line="161" w:lineRule="exact"/>
              <w:rPr>
                <w:rFonts w:ascii="Arial" w:cs="Arial" w:eastAsia="Arial" w:hAnsi="Arial"/>
                <w:sz w:val="14"/>
                <w:szCs w:val="14"/>
                <w:color w:val="0000FF"/>
                <w:w w:val="97"/>
              </w:rPr>
            </w:pPr>
            <w:hyperlink w:anchor="page68">
              <w:r>
                <w:rPr>
                  <w:rFonts w:ascii="Arial" w:cs="Arial" w:eastAsia="Arial" w:hAnsi="Arial"/>
                  <w:sz w:val="14"/>
                  <w:szCs w:val="14"/>
                  <w:color w:val="0000FF"/>
                  <w:w w:val="97"/>
                </w:rPr>
                <w:t>Certification of Principal Executive Officer pursuant to Rule 13a</w:t>
              </w:r>
              <w:r>
                <w:rPr>
                  <w:rFonts w:ascii="MS PGothic" w:cs="MS PGothic" w:eastAsia="MS PGothic" w:hAnsi="MS PGothic"/>
                  <w:sz w:val="14"/>
                  <w:szCs w:val="14"/>
                  <w:color w:val="0000FF"/>
                  <w:w w:val="97"/>
                </w:rPr>
                <w:t>‑</w:t>
              </w:r>
              <w:r>
                <w:rPr>
                  <w:rFonts w:ascii="Arial" w:cs="Arial" w:eastAsia="Arial" w:hAnsi="Arial"/>
                  <w:sz w:val="14"/>
                  <w:szCs w:val="14"/>
                  <w:color w:val="0000FF"/>
                  <w:w w:val="97"/>
                </w:rPr>
                <w:t>14(a) of the Exchange Act, as adopted pursuant to section 302 of the Sarbanes</w:t>
              </w:r>
              <w:r>
                <w:rPr>
                  <w:rFonts w:ascii="MS PGothic" w:cs="MS PGothic" w:eastAsia="MS PGothic" w:hAnsi="MS PGothic"/>
                  <w:sz w:val="14"/>
                  <w:szCs w:val="14"/>
                  <w:color w:val="0000FF"/>
                  <w:w w:val="97"/>
                </w:rPr>
                <w:t>‑</w:t>
              </w:r>
              <w:r>
                <w:rPr>
                  <w:rFonts w:ascii="Arial" w:cs="Arial" w:eastAsia="Arial" w:hAnsi="Arial"/>
                  <w:sz w:val="14"/>
                  <w:szCs w:val="14"/>
                  <w:color w:val="0000FF"/>
                  <w:w w:val="97"/>
                </w:rPr>
                <w:t>Oxley Act of 2002 (filed</w:t>
              </w:r>
            </w:hyperlink>
          </w:p>
        </w:tc>
      </w:tr>
      <w:tr>
        <w:trPr>
          <w:trHeight w:val="115"/>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w:anchor="page68">
              <w:r>
                <w:rPr>
                  <w:rFonts w:ascii="Arial" w:cs="Arial" w:eastAsia="Arial" w:hAnsi="Arial"/>
                  <w:sz w:val="13"/>
                  <w:szCs w:val="13"/>
                  <w:color w:val="0000FF"/>
                </w:rPr>
                <w:t>herewith)</w:t>
              </w:r>
            </w:hyperlink>
          </w:p>
        </w:tc>
        <w:tc>
          <w:tcPr>
            <w:tcW w:w="946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69"/>
        </w:trPr>
        <w:tc>
          <w:tcPr>
            <w:tcW w:w="110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gridSpan w:val="11"/>
          </w:tcPr>
          <w:p>
            <w:pPr>
              <w:spacing w:after="0" w:line="161" w:lineRule="exact"/>
              <w:rPr>
                <w:rFonts w:ascii="Arial" w:cs="Arial" w:eastAsia="Arial" w:hAnsi="Arial"/>
                <w:sz w:val="14"/>
                <w:szCs w:val="14"/>
                <w:color w:val="0000FF"/>
                <w:w w:val="97"/>
              </w:rPr>
            </w:pPr>
            <w:hyperlink w:anchor="page69">
              <w:r>
                <w:rPr>
                  <w:rFonts w:ascii="Arial" w:cs="Arial" w:eastAsia="Arial" w:hAnsi="Arial"/>
                  <w:sz w:val="14"/>
                  <w:szCs w:val="14"/>
                  <w:color w:val="0000FF"/>
                  <w:w w:val="97"/>
                </w:rPr>
                <w:t>Certification of Principal Financial Officer pursuant to Rule 13a</w:t>
              </w:r>
              <w:r>
                <w:rPr>
                  <w:rFonts w:ascii="MS PGothic" w:cs="MS PGothic" w:eastAsia="MS PGothic" w:hAnsi="MS PGothic"/>
                  <w:sz w:val="14"/>
                  <w:szCs w:val="14"/>
                  <w:color w:val="0000FF"/>
                  <w:w w:val="97"/>
                </w:rPr>
                <w:t>‑</w:t>
              </w:r>
              <w:r>
                <w:rPr>
                  <w:rFonts w:ascii="Arial" w:cs="Arial" w:eastAsia="Arial" w:hAnsi="Arial"/>
                  <w:sz w:val="14"/>
                  <w:szCs w:val="14"/>
                  <w:color w:val="0000FF"/>
                  <w:w w:val="97"/>
                </w:rPr>
                <w:t>14(a) of the Exchange Act, as adopted pursuant to section 302 of the Sarbanes</w:t>
              </w:r>
              <w:r>
                <w:rPr>
                  <w:rFonts w:ascii="MS PGothic" w:cs="MS PGothic" w:eastAsia="MS PGothic" w:hAnsi="MS PGothic"/>
                  <w:sz w:val="14"/>
                  <w:szCs w:val="14"/>
                  <w:color w:val="0000FF"/>
                  <w:w w:val="97"/>
                </w:rPr>
                <w:t>‑</w:t>
              </w:r>
              <w:r>
                <w:rPr>
                  <w:rFonts w:ascii="Arial" w:cs="Arial" w:eastAsia="Arial" w:hAnsi="Arial"/>
                  <w:sz w:val="14"/>
                  <w:szCs w:val="14"/>
                  <w:color w:val="0000FF"/>
                  <w:w w:val="97"/>
                </w:rPr>
                <w:t>Oxley Act of 2002 (filed</w:t>
              </w:r>
            </w:hyperlink>
          </w:p>
        </w:tc>
      </w:tr>
      <w:tr>
        <w:trPr>
          <w:trHeight w:val="115"/>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w:anchor="page69">
              <w:r>
                <w:rPr>
                  <w:rFonts w:ascii="Arial" w:cs="Arial" w:eastAsia="Arial" w:hAnsi="Arial"/>
                  <w:sz w:val="13"/>
                  <w:szCs w:val="13"/>
                  <w:color w:val="0000FF"/>
                </w:rPr>
                <w:t>herewith)</w:t>
              </w:r>
            </w:hyperlink>
          </w:p>
        </w:tc>
        <w:tc>
          <w:tcPr>
            <w:tcW w:w="9480" w:type="dxa"/>
            <w:vAlign w:val="bottom"/>
            <w:tcBorders>
              <w:top w:val="single" w:sz="8" w:color="0000FF"/>
            </w:tcBorders>
            <w:gridSpan w:val="8"/>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69"/>
        </w:trPr>
        <w:tc>
          <w:tcPr>
            <w:tcW w:w="110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gridSpan w:val="11"/>
          </w:tcPr>
          <w:p>
            <w:pPr>
              <w:spacing w:after="0" w:line="161" w:lineRule="exact"/>
              <w:rPr>
                <w:rFonts w:ascii="Arial" w:cs="Arial" w:eastAsia="Arial" w:hAnsi="Arial"/>
                <w:sz w:val="14"/>
                <w:szCs w:val="14"/>
                <w:color w:val="0000FF"/>
                <w:w w:val="96"/>
              </w:rPr>
            </w:pPr>
            <w:hyperlink w:anchor="page70">
              <w:r>
                <w:rPr>
                  <w:rFonts w:ascii="Arial" w:cs="Arial" w:eastAsia="Arial" w:hAnsi="Arial"/>
                  <w:sz w:val="14"/>
                  <w:szCs w:val="14"/>
                  <w:color w:val="0000FF"/>
                  <w:w w:val="96"/>
                </w:rPr>
                <w:t>Certification of Principal Executive Officer pursuant to Rule 13a</w:t>
              </w:r>
              <w:r>
                <w:rPr>
                  <w:rFonts w:ascii="MS PGothic" w:cs="MS PGothic" w:eastAsia="MS PGothic" w:hAnsi="MS PGothic"/>
                  <w:sz w:val="14"/>
                  <w:szCs w:val="14"/>
                  <w:color w:val="0000FF"/>
                  <w:w w:val="96"/>
                </w:rPr>
                <w:t>‑</w:t>
              </w:r>
              <w:r>
                <w:rPr>
                  <w:rFonts w:ascii="Arial" w:cs="Arial" w:eastAsia="Arial" w:hAnsi="Arial"/>
                  <w:sz w:val="14"/>
                  <w:szCs w:val="14"/>
                  <w:color w:val="0000FF"/>
                  <w:w w:val="96"/>
                </w:rPr>
                <w:t>14(b) of the Exchange Act and section 18 U.S.C. Section 1350, as adopted pursuant to section 906 of the</w:t>
              </w:r>
            </w:hyperlink>
          </w:p>
        </w:tc>
      </w:tr>
      <w:tr>
        <w:trPr>
          <w:trHeight w:val="115"/>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60" w:type="dxa"/>
            <w:vAlign w:val="bottom"/>
            <w:tcBorders>
              <w:top w:val="single" w:sz="8" w:color="0000FF"/>
            </w:tcBorders>
            <w:gridSpan w:val="5"/>
          </w:tcPr>
          <w:p>
            <w:pPr>
              <w:spacing w:after="0" w:line="115" w:lineRule="exact"/>
              <w:rPr>
                <w:rFonts w:ascii="Arial" w:cs="Arial" w:eastAsia="Arial" w:hAnsi="Arial"/>
                <w:sz w:val="13"/>
                <w:szCs w:val="13"/>
                <w:color w:val="0000FF"/>
              </w:rPr>
            </w:pPr>
            <w:hyperlink w:anchor="page70">
              <w:r>
                <w:rPr>
                  <w:rFonts w:ascii="Arial" w:cs="Arial" w:eastAsia="Arial" w:hAnsi="Arial"/>
                  <w:sz w:val="13"/>
                  <w:szCs w:val="13"/>
                  <w:color w:val="0000FF"/>
                </w:rPr>
                <w:t>Sarbanes</w:t>
              </w:r>
              <w:r>
                <w:rPr>
                  <w:rFonts w:ascii="MS PGothic" w:cs="MS PGothic" w:eastAsia="MS PGothic" w:hAnsi="MS PGothic"/>
                  <w:sz w:val="13"/>
                  <w:szCs w:val="13"/>
                  <w:color w:val="0000FF"/>
                </w:rPr>
                <w:t>‑</w:t>
              </w:r>
              <w:r>
                <w:rPr>
                  <w:rFonts w:ascii="Arial" w:cs="Arial" w:eastAsia="Arial" w:hAnsi="Arial"/>
                  <w:sz w:val="13"/>
                  <w:szCs w:val="13"/>
                  <w:color w:val="0000FF"/>
                </w:rPr>
                <w:t>Oxley Act of 2002 (filed herewith)</w:t>
              </w:r>
            </w:hyperlink>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69"/>
        </w:trPr>
        <w:tc>
          <w:tcPr>
            <w:tcW w:w="110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gridSpan w:val="11"/>
          </w:tcPr>
          <w:p>
            <w:pPr>
              <w:spacing w:after="0" w:line="161" w:lineRule="exact"/>
              <w:rPr>
                <w:rFonts w:ascii="Arial" w:cs="Arial" w:eastAsia="Arial" w:hAnsi="Arial"/>
                <w:sz w:val="14"/>
                <w:szCs w:val="14"/>
                <w:color w:val="0000FF"/>
                <w:w w:val="96"/>
              </w:rPr>
            </w:pPr>
            <w:hyperlink w:anchor="page71">
              <w:r>
                <w:rPr>
                  <w:rFonts w:ascii="Arial" w:cs="Arial" w:eastAsia="Arial" w:hAnsi="Arial"/>
                  <w:sz w:val="14"/>
                  <w:szCs w:val="14"/>
                  <w:color w:val="0000FF"/>
                  <w:w w:val="96"/>
                </w:rPr>
                <w:t>Certification of Principal Financial Officer pursuant to Rule 13a</w:t>
              </w:r>
              <w:r>
                <w:rPr>
                  <w:rFonts w:ascii="MS PGothic" w:cs="MS PGothic" w:eastAsia="MS PGothic" w:hAnsi="MS PGothic"/>
                  <w:sz w:val="14"/>
                  <w:szCs w:val="14"/>
                  <w:color w:val="0000FF"/>
                  <w:w w:val="96"/>
                </w:rPr>
                <w:t>‑</w:t>
              </w:r>
              <w:r>
                <w:rPr>
                  <w:rFonts w:ascii="Arial" w:cs="Arial" w:eastAsia="Arial" w:hAnsi="Arial"/>
                  <w:sz w:val="14"/>
                  <w:szCs w:val="14"/>
                  <w:color w:val="0000FF"/>
                  <w:w w:val="96"/>
                </w:rPr>
                <w:t>14(b) of the Exchange Act and section 18 U.S.C. Section 1350, as adopted pursuant to section 906 of the</w:t>
              </w:r>
            </w:hyperlink>
          </w:p>
        </w:tc>
      </w:tr>
      <w:tr>
        <w:trPr>
          <w:trHeight w:val="115"/>
        </w:trPr>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0" w:type="dxa"/>
            <w:vAlign w:val="bottom"/>
            <w:tcBorders>
              <w:top w:val="single" w:sz="8" w:color="0000FF"/>
            </w:tcBorders>
            <w:gridSpan w:val="7"/>
          </w:tcPr>
          <w:p>
            <w:pPr>
              <w:spacing w:after="0" w:line="115" w:lineRule="exact"/>
              <w:rPr>
                <w:rFonts w:ascii="Arial" w:cs="Arial" w:eastAsia="Arial" w:hAnsi="Arial"/>
                <w:sz w:val="13"/>
                <w:szCs w:val="13"/>
                <w:color w:val="0000FF"/>
              </w:rPr>
            </w:pPr>
            <w:hyperlink w:anchor="page71">
              <w:r>
                <w:rPr>
                  <w:rFonts w:ascii="Arial" w:cs="Arial" w:eastAsia="Arial" w:hAnsi="Arial"/>
                  <w:sz w:val="13"/>
                  <w:szCs w:val="13"/>
                  <w:color w:val="0000FF"/>
                </w:rPr>
                <w:t>Sarbanes</w:t>
              </w:r>
              <w:r>
                <w:rPr>
                  <w:rFonts w:ascii="MS PGothic" w:cs="MS PGothic" w:eastAsia="MS PGothic" w:hAnsi="MS PGothic"/>
                  <w:sz w:val="13"/>
                  <w:szCs w:val="13"/>
                  <w:color w:val="0000FF"/>
                </w:rPr>
                <w:t>‑</w:t>
              </w:r>
              <w:r>
                <w:rPr>
                  <w:rFonts w:ascii="Arial" w:cs="Arial" w:eastAsia="Arial" w:hAnsi="Arial"/>
                  <w:sz w:val="13"/>
                  <w:szCs w:val="13"/>
                  <w:color w:val="0000FF"/>
                </w:rPr>
                <w:t>Oxley Act of 2002 (filed herewith)</w:t>
              </w:r>
            </w:hyperlink>
          </w:p>
        </w:tc>
        <w:tc>
          <w:tcPr>
            <w:tcW w:w="80" w:type="dxa"/>
            <w:vAlign w:val="bottom"/>
            <w:gridSpan w:val="4"/>
          </w:tcPr>
          <w:p>
            <w:pPr>
              <w:spacing w:after="0"/>
              <w:rPr>
                <w:sz w:val="10"/>
                <w:szCs w:val="10"/>
                <w:color w:val="auto"/>
              </w:rPr>
            </w:pPr>
          </w:p>
        </w:tc>
      </w:tr>
      <w:tr>
        <w:trPr>
          <w:trHeight w:val="198"/>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7"/>
                <w:szCs w:val="17"/>
                <w:color w:val="auto"/>
              </w:rPr>
            </w:pPr>
          </w:p>
        </w:tc>
        <w:tc>
          <w:tcPr>
            <w:tcW w:w="2580" w:type="dxa"/>
            <w:vAlign w:val="bottom"/>
            <w:tcBorders>
              <w:top w:val="single" w:sz="8" w:color="0000FF"/>
            </w:tcBorders>
            <w:gridSpan w:val="4"/>
          </w:tcPr>
          <w:p>
            <w:pPr>
              <w:spacing w:after="0"/>
              <w:rPr>
                <w:sz w:val="20"/>
                <w:szCs w:val="20"/>
                <w:color w:val="auto"/>
              </w:rPr>
            </w:pPr>
            <w:r>
              <w:rPr>
                <w:rFonts w:ascii="Arial" w:cs="Arial" w:eastAsia="Arial" w:hAnsi="Arial"/>
                <w:sz w:val="14"/>
                <w:szCs w:val="14"/>
                <w:color w:val="auto"/>
              </w:rPr>
              <w:t>XBRL Instance Document</w:t>
            </w:r>
          </w:p>
        </w:tc>
        <w:tc>
          <w:tcPr>
            <w:tcW w:w="7500" w:type="dxa"/>
            <w:vAlign w:val="bottom"/>
            <w:gridSpan w:val="7"/>
          </w:tcPr>
          <w:p>
            <w:pPr>
              <w:spacing w:after="0"/>
              <w:rPr>
                <w:sz w:val="17"/>
                <w:szCs w:val="17"/>
                <w:color w:val="auto"/>
              </w:rPr>
            </w:pPr>
          </w:p>
        </w:tc>
      </w:tr>
      <w:tr>
        <w:trPr>
          <w:trHeight w:val="189"/>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16"/>
                <w:szCs w:val="16"/>
                <w:color w:val="auto"/>
              </w:rPr>
            </w:pPr>
          </w:p>
        </w:tc>
        <w:tc>
          <w:tcPr>
            <w:tcW w:w="10080" w:type="dxa"/>
            <w:vAlign w:val="bottom"/>
            <w:gridSpan w:val="11"/>
          </w:tcPr>
          <w:p>
            <w:pPr>
              <w:spacing w:after="0"/>
              <w:rPr>
                <w:sz w:val="20"/>
                <w:szCs w:val="20"/>
                <w:color w:val="auto"/>
              </w:rPr>
            </w:pPr>
            <w:r>
              <w:rPr>
                <w:rFonts w:ascii="Arial" w:cs="Arial" w:eastAsia="Arial" w:hAnsi="Arial"/>
                <w:sz w:val="14"/>
                <w:szCs w:val="14"/>
                <w:color w:val="auto"/>
              </w:rPr>
              <w:t>XBRL Schema Document</w:t>
            </w:r>
          </w:p>
        </w:tc>
      </w:tr>
      <w:tr>
        <w:trPr>
          <w:trHeight w:val="189"/>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16"/>
                <w:szCs w:val="16"/>
                <w:color w:val="auto"/>
              </w:rPr>
            </w:pPr>
          </w:p>
        </w:tc>
        <w:tc>
          <w:tcPr>
            <w:tcW w:w="10080" w:type="dxa"/>
            <w:vAlign w:val="bottom"/>
            <w:gridSpan w:val="11"/>
          </w:tcPr>
          <w:p>
            <w:pPr>
              <w:spacing w:after="0"/>
              <w:rPr>
                <w:sz w:val="20"/>
                <w:szCs w:val="20"/>
                <w:color w:val="auto"/>
              </w:rPr>
            </w:pPr>
            <w:r>
              <w:rPr>
                <w:rFonts w:ascii="Arial" w:cs="Arial" w:eastAsia="Arial" w:hAnsi="Arial"/>
                <w:sz w:val="14"/>
                <w:szCs w:val="14"/>
                <w:color w:val="auto"/>
              </w:rPr>
              <w:t>XBRL Calculation Linkbase Document</w:t>
            </w:r>
          </w:p>
        </w:tc>
      </w:tr>
      <w:tr>
        <w:trPr>
          <w:trHeight w:val="189"/>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16"/>
                <w:szCs w:val="16"/>
                <w:color w:val="auto"/>
              </w:rPr>
            </w:pPr>
          </w:p>
        </w:tc>
        <w:tc>
          <w:tcPr>
            <w:tcW w:w="10080" w:type="dxa"/>
            <w:vAlign w:val="bottom"/>
            <w:gridSpan w:val="11"/>
          </w:tcPr>
          <w:p>
            <w:pPr>
              <w:spacing w:after="0"/>
              <w:rPr>
                <w:sz w:val="20"/>
                <w:szCs w:val="20"/>
                <w:color w:val="auto"/>
              </w:rPr>
            </w:pPr>
            <w:r>
              <w:rPr>
                <w:rFonts w:ascii="Arial" w:cs="Arial" w:eastAsia="Arial" w:hAnsi="Arial"/>
                <w:sz w:val="14"/>
                <w:szCs w:val="14"/>
                <w:color w:val="auto"/>
              </w:rPr>
              <w:t>XBRL Taxonomy Extension Definition Linkbase</w:t>
            </w:r>
          </w:p>
        </w:tc>
      </w:tr>
      <w:tr>
        <w:trPr>
          <w:trHeight w:val="189"/>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6"/>
                <w:szCs w:val="16"/>
                <w:color w:val="auto"/>
              </w:rPr>
            </w:pPr>
          </w:p>
        </w:tc>
        <w:tc>
          <w:tcPr>
            <w:tcW w:w="10080" w:type="dxa"/>
            <w:vAlign w:val="bottom"/>
            <w:gridSpan w:val="11"/>
          </w:tcPr>
          <w:p>
            <w:pPr>
              <w:spacing w:after="0"/>
              <w:rPr>
                <w:sz w:val="20"/>
                <w:szCs w:val="20"/>
                <w:color w:val="auto"/>
              </w:rPr>
            </w:pPr>
            <w:r>
              <w:rPr>
                <w:rFonts w:ascii="Arial" w:cs="Arial" w:eastAsia="Arial" w:hAnsi="Arial"/>
                <w:sz w:val="14"/>
                <w:szCs w:val="14"/>
                <w:color w:val="auto"/>
              </w:rPr>
              <w:t>XBRL Labels Linkbase Document</w:t>
            </w:r>
          </w:p>
        </w:tc>
      </w:tr>
      <w:tr>
        <w:trPr>
          <w:trHeight w:val="189"/>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16"/>
                <w:szCs w:val="16"/>
                <w:color w:val="auto"/>
              </w:rPr>
            </w:pPr>
          </w:p>
        </w:tc>
        <w:tc>
          <w:tcPr>
            <w:tcW w:w="10080" w:type="dxa"/>
            <w:vAlign w:val="bottom"/>
            <w:gridSpan w:val="11"/>
          </w:tcPr>
          <w:p>
            <w:pPr>
              <w:spacing w:after="0"/>
              <w:rPr>
                <w:sz w:val="20"/>
                <w:szCs w:val="20"/>
                <w:color w:val="auto"/>
              </w:rPr>
            </w:pPr>
            <w:r>
              <w:rPr>
                <w:rFonts w:ascii="Arial" w:cs="Arial" w:eastAsia="Arial" w:hAnsi="Arial"/>
                <w:sz w:val="14"/>
                <w:szCs w:val="14"/>
                <w:color w:val="auto"/>
              </w:rPr>
              <w:t>XBRL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caused this Report to be signed on its behalf by the undersigned, thereunto duly authorized.</w:t>
      </w:r>
    </w:p>
    <w:p>
      <w:pPr>
        <w:spacing w:after="0" w:line="23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14605</wp:posOffset>
            </wp:positionV>
            <wp:extent cx="23660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2"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Jeff Miller</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6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14605</wp:posOffset>
            </wp:positionV>
            <wp:extent cx="23660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David Clark</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Chief Financial Officer</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November 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 AGREEMENT</w:t>
      </w:r>
    </w:p>
    <w:p>
      <w:pPr>
        <w:spacing w:after="0" w:line="25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This Release Agreement (the “Agreement”) is dated as of April 22, 2020 by and between Synchronoss Technologies, Inc. (the “Company”) and Mary Clark.</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you are a Tier 1 Executive of the Company and subject to the Tier 1 Executive Plan (the “Executive Plan”),</w:t>
      </w:r>
      <w:r>
        <w:rPr>
          <w:rFonts w:ascii="Arial" w:cs="Arial" w:eastAsia="Arial" w:hAnsi="Arial"/>
          <w:sz w:val="22"/>
          <w:szCs w:val="22"/>
          <w:b w:val="1"/>
          <w:bCs w:val="1"/>
          <w:color w:val="auto"/>
        </w:rPr>
        <w:t xml:space="preserve"> </w:t>
      </w:r>
      <w:r>
        <w:rPr>
          <w:rFonts w:ascii="Arial" w:cs="Arial" w:eastAsia="Arial" w:hAnsi="Arial"/>
          <w:sz w:val="22"/>
          <w:szCs w:val="22"/>
          <w:color w:val="auto"/>
        </w:rPr>
        <w:t>which was communicated to you in writing on or about April 6, 2018; and</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you and the Company have agreed that your employment will be terminated without “Cause” (as defined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 Plan) from your position as Chief Product Officer and CMO, effective as of the Separation Date (as defined below).</w:t>
      </w:r>
    </w:p>
    <w:p>
      <w:pPr>
        <w:spacing w:after="0" w:line="203"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promises and mutual covenants contained herein, the Parties hereby agree</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189" w:lineRule="exact"/>
        <w:rPr>
          <w:sz w:val="20"/>
          <w:szCs w:val="20"/>
          <w:color w:val="auto"/>
        </w:rPr>
      </w:pPr>
    </w:p>
    <w:p>
      <w:pPr>
        <w:jc w:val="both"/>
        <w:ind w:firstLine="8"/>
        <w:spacing w:after="0" w:line="248" w:lineRule="auto"/>
        <w:tabs>
          <w:tab w:leader="none" w:pos="648"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You agree to continue to serve as Chief Product Officer and CMO of the Company until May 1, 2020 (the</w:t>
      </w:r>
      <w:r>
        <w:rPr>
          <w:rFonts w:ascii="Arial" w:cs="Arial" w:eastAsia="Arial" w:hAnsi="Arial"/>
          <w:sz w:val="22"/>
          <w:szCs w:val="22"/>
          <w:b w:val="1"/>
          <w:bCs w:val="1"/>
          <w:color w:val="auto"/>
        </w:rPr>
        <w:t xml:space="preserve"> </w:t>
      </w:r>
      <w:r>
        <w:rPr>
          <w:rFonts w:ascii="Arial" w:cs="Arial" w:eastAsia="Arial" w:hAnsi="Arial"/>
          <w:sz w:val="22"/>
          <w:szCs w:val="22"/>
          <w:color w:val="auto"/>
        </w:rPr>
        <w:t>“Separation Date”). As of the Separation Date, you hereby resign as an officer of the Company and from any position you hold at any of its subsidiaries, affiliates and joint ventures (collectively, the “Affiliates”), to the extent applicable. You confirm and agree that your employment with the Company will be terminated effective as of the Separation Date. To the extent that the Company has not already done so, the Company shall pay to you within seven (7) business days of the Separation Date a lump-sum amount equal to any accrued and unpaid salary.</w:t>
      </w:r>
    </w:p>
    <w:p>
      <w:pPr>
        <w:spacing w:after="0" w:line="186" w:lineRule="exact"/>
        <w:rPr>
          <w:rFonts w:ascii="Arial" w:cs="Arial" w:eastAsia="Arial" w:hAnsi="Arial"/>
          <w:sz w:val="22"/>
          <w:szCs w:val="22"/>
          <w:b w:val="1"/>
          <w:bCs w:val="1"/>
          <w:color w:val="auto"/>
        </w:rPr>
      </w:pPr>
    </w:p>
    <w:p>
      <w:pPr>
        <w:jc w:val="both"/>
        <w:ind w:firstLine="8"/>
        <w:spacing w:after="0" w:line="256" w:lineRule="auto"/>
        <w:tabs>
          <w:tab w:leader="none" w:pos="648"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In consideration of the execution of this Agreement, the Company agrees to pay you severance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amount of </w:t>
      </w:r>
      <w:r>
        <w:rPr>
          <w:rFonts w:ascii="Arial" w:cs="Arial" w:eastAsia="Arial" w:hAnsi="Arial"/>
          <w:sz w:val="22"/>
          <w:szCs w:val="22"/>
          <w:b w:val="1"/>
          <w:bCs w:val="1"/>
          <w:color w:val="auto"/>
        </w:rPr>
        <w:t>$849,188.00</w:t>
      </w:r>
      <w:r>
        <w:rPr>
          <w:rFonts w:ascii="Arial" w:cs="Arial" w:eastAsia="Arial" w:hAnsi="Arial"/>
          <w:sz w:val="22"/>
          <w:szCs w:val="22"/>
          <w:color w:val="auto"/>
        </w:rPr>
        <w:t>, less all applicable federal and state tax withholdings. Provided you sign and do not revoke this Agreement as set forth in Section 12 below, this severance will be paid to you as follows:</w:t>
      </w:r>
    </w:p>
    <w:p>
      <w:pPr>
        <w:spacing w:after="0" w:line="176" w:lineRule="exact"/>
        <w:rPr>
          <w:rFonts w:ascii="Arial" w:cs="Arial" w:eastAsia="Arial" w:hAnsi="Arial"/>
          <w:sz w:val="22"/>
          <w:szCs w:val="22"/>
          <w:b w:val="1"/>
          <w:bCs w:val="1"/>
          <w:color w:val="auto"/>
        </w:rPr>
      </w:pPr>
    </w:p>
    <w:p>
      <w:pPr>
        <w:jc w:val="both"/>
        <w:ind w:firstLine="1304"/>
        <w:spacing w:after="0" w:line="252" w:lineRule="auto"/>
        <w:tabs>
          <w:tab w:leader="none" w:pos="1941" w:val="left"/>
        </w:tabs>
        <w:numPr>
          <w:ilvl w:val="1"/>
          <w:numId w:val="16"/>
        </w:numPr>
        <w:rPr>
          <w:rFonts w:ascii="Arial" w:cs="Arial" w:eastAsia="Arial" w:hAnsi="Arial"/>
          <w:sz w:val="22"/>
          <w:szCs w:val="22"/>
          <w:color w:val="auto"/>
        </w:rPr>
      </w:pPr>
      <w:r>
        <w:rPr>
          <w:rFonts w:ascii="Arial" w:cs="Arial" w:eastAsia="Arial" w:hAnsi="Arial"/>
          <w:sz w:val="22"/>
          <w:szCs w:val="22"/>
          <w:b w:val="1"/>
          <w:bCs w:val="1"/>
          <w:color w:val="auto"/>
        </w:rPr>
        <w:t>Semi-Monthly Payments</w:t>
      </w:r>
      <w:r>
        <w:rPr>
          <w:rFonts w:ascii="Arial" w:cs="Arial" w:eastAsia="Arial" w:hAnsi="Arial"/>
          <w:sz w:val="22"/>
          <w:szCs w:val="22"/>
          <w:color w:val="auto"/>
        </w:rPr>
        <w:t>. The Company agrees to pay you</w:t>
      </w:r>
      <w:r>
        <w:rPr>
          <w:rFonts w:ascii="Arial" w:cs="Arial" w:eastAsia="Arial" w:hAnsi="Arial"/>
          <w:sz w:val="22"/>
          <w:szCs w:val="22"/>
          <w:b w:val="1"/>
          <w:bCs w:val="1"/>
          <w:color w:val="auto"/>
        </w:rPr>
        <w:t xml:space="preserve"> $540,750.00</w:t>
      </w:r>
      <w:r>
        <w:rPr>
          <w:rFonts w:ascii="Arial" w:cs="Arial" w:eastAsia="Arial" w:hAnsi="Arial"/>
          <w:sz w:val="22"/>
          <w:szCs w:val="22"/>
          <w:color w:val="auto"/>
        </w:rPr>
        <w:t>, less all applicable federal and</w:t>
      </w:r>
      <w:r>
        <w:rPr>
          <w:rFonts w:ascii="Arial" w:cs="Arial" w:eastAsia="Arial" w:hAnsi="Arial"/>
          <w:sz w:val="22"/>
          <w:szCs w:val="22"/>
          <w:b w:val="1"/>
          <w:bCs w:val="1"/>
          <w:color w:val="auto"/>
        </w:rPr>
        <w:t xml:space="preserve"> </w:t>
      </w:r>
      <w:r>
        <w:rPr>
          <w:rFonts w:ascii="Arial" w:cs="Arial" w:eastAsia="Arial" w:hAnsi="Arial"/>
          <w:sz w:val="22"/>
          <w:szCs w:val="22"/>
          <w:color w:val="auto"/>
        </w:rPr>
        <w:t>state withholdings, in equal semi-monthly payments, commencing on the May 15, 2020 pay date or the first pay date immediately following the Effective Date of this Agreement, whichever occurs later in time, and continuing for thirty-five (35) successive pay dates thereafter.</w:t>
      </w:r>
    </w:p>
    <w:p>
      <w:pPr>
        <w:spacing w:after="0" w:line="179" w:lineRule="exact"/>
        <w:rPr>
          <w:rFonts w:ascii="Arial" w:cs="Arial" w:eastAsia="Arial" w:hAnsi="Arial"/>
          <w:sz w:val="22"/>
          <w:szCs w:val="22"/>
          <w:color w:val="auto"/>
        </w:rPr>
      </w:pPr>
    </w:p>
    <w:p>
      <w:pPr>
        <w:ind w:right="20" w:firstLine="1304"/>
        <w:spacing w:after="0" w:line="269" w:lineRule="auto"/>
        <w:tabs>
          <w:tab w:leader="none" w:pos="1939" w:val="left"/>
        </w:tabs>
        <w:numPr>
          <w:ilvl w:val="1"/>
          <w:numId w:val="16"/>
        </w:numPr>
        <w:rPr>
          <w:rFonts w:ascii="Arial" w:cs="Arial" w:eastAsia="Arial" w:hAnsi="Arial"/>
          <w:sz w:val="22"/>
          <w:szCs w:val="22"/>
          <w:color w:val="auto"/>
        </w:rPr>
      </w:pPr>
      <w:r>
        <w:rPr>
          <w:rFonts w:ascii="Arial" w:cs="Arial" w:eastAsia="Arial" w:hAnsi="Arial"/>
          <w:sz w:val="22"/>
          <w:szCs w:val="22"/>
          <w:b w:val="1"/>
          <w:bCs w:val="1"/>
          <w:color w:val="auto"/>
        </w:rPr>
        <w:t>Lump Sum Payment</w:t>
      </w:r>
      <w:r>
        <w:rPr>
          <w:rFonts w:ascii="Arial" w:cs="Arial" w:eastAsia="Arial" w:hAnsi="Arial"/>
          <w:sz w:val="22"/>
          <w:szCs w:val="22"/>
          <w:color w:val="auto"/>
        </w:rPr>
        <w:t>. In addition to the foregoing, the Company agrees to pay you</w:t>
      </w:r>
      <w:r>
        <w:rPr>
          <w:rFonts w:ascii="Arial" w:cs="Arial" w:eastAsia="Arial" w:hAnsi="Arial"/>
          <w:sz w:val="22"/>
          <w:szCs w:val="22"/>
          <w:b w:val="1"/>
          <w:bCs w:val="1"/>
          <w:color w:val="auto"/>
        </w:rPr>
        <w:t xml:space="preserve"> $308,438.00</w:t>
      </w:r>
      <w:r>
        <w:rPr>
          <w:rFonts w:ascii="Arial" w:cs="Arial" w:eastAsia="Arial" w:hAnsi="Arial"/>
          <w:sz w:val="22"/>
          <w:szCs w:val="22"/>
          <w:color w:val="auto"/>
        </w:rPr>
        <w:t>, less all</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federal and state withholdings, in a lump sum payment on March 15, 2021.</w:t>
      </w:r>
    </w:p>
    <w:p>
      <w:pPr>
        <w:spacing w:after="0" w:line="160" w:lineRule="exact"/>
        <w:rPr>
          <w:rFonts w:ascii="Arial" w:cs="Arial" w:eastAsia="Arial" w:hAnsi="Arial"/>
          <w:sz w:val="22"/>
          <w:szCs w:val="22"/>
          <w:color w:val="auto"/>
        </w:rPr>
      </w:pPr>
    </w:p>
    <w:p>
      <w:pPr>
        <w:jc w:val="both"/>
        <w:ind w:firstLine="8"/>
        <w:spacing w:after="0" w:line="233" w:lineRule="auto"/>
        <w:tabs>
          <w:tab w:leader="none" w:pos="648"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Your current group health insurance coverage will continue through May 31, 2020. No later than the 7</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day following the Effective Date of this Agreement, the Company will pay you a lump sum payment equal to </w:t>
      </w:r>
      <w:r>
        <w:rPr>
          <w:rFonts w:ascii="Arial" w:cs="Arial" w:eastAsia="Arial" w:hAnsi="Arial"/>
          <w:sz w:val="22"/>
          <w:szCs w:val="22"/>
          <w:b w:val="1"/>
          <w:bCs w:val="1"/>
          <w:color w:val="auto"/>
        </w:rPr>
        <w:t>$11,937.00</w:t>
      </w:r>
      <w:r>
        <w:rPr>
          <w:rFonts w:ascii="Arial" w:cs="Arial" w:eastAsia="Arial" w:hAnsi="Arial"/>
          <w:sz w:val="22"/>
          <w:szCs w:val="22"/>
          <w:color w:val="auto"/>
        </w:rPr>
        <w:t>, representing the employer portion of your health insurance premiums for a period of 12 months, which shall be reported as wages for purposes of Federal income tax.</w:t>
      </w:r>
    </w:p>
    <w:p>
      <w:pPr>
        <w:sectPr>
          <w:pgSz w:w="11900" w:h="16838" w:orient="portrait"/>
          <w:cols w:equalWidth="0" w:num="1">
            <w:col w:w="11240"/>
          </w:cols>
          <w:pgMar w:left="320" w:top="126" w:right="339" w:bottom="1440" w:gutter="0" w:footer="0" w:header="0"/>
        </w:sectPr>
      </w:pPr>
    </w:p>
    <w:bookmarkStart w:id="48" w:name="page49"/>
    <w:bookmarkEnd w:id="48"/>
    <w:p>
      <w:pPr>
        <w:ind w:left="660" w:hanging="652"/>
        <w:spacing w:after="0"/>
        <w:tabs>
          <w:tab w:leader="none" w:pos="6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Release of Claims.</w:t>
      </w:r>
    </w:p>
    <w:p>
      <w:pPr>
        <w:spacing w:after="0" w:line="225" w:lineRule="exact"/>
        <w:rPr>
          <w:rFonts w:ascii="Arial" w:cs="Arial" w:eastAsia="Arial" w:hAnsi="Arial"/>
          <w:sz w:val="22"/>
          <w:szCs w:val="22"/>
          <w:b w:val="1"/>
          <w:bCs w:val="1"/>
          <w:color w:val="auto"/>
        </w:rPr>
      </w:pPr>
    </w:p>
    <w:p>
      <w:pPr>
        <w:jc w:val="both"/>
        <w:ind w:firstLine="1304"/>
        <w:spacing w:after="0" w:line="286" w:lineRule="auto"/>
        <w:tabs>
          <w:tab w:leader="none" w:pos="1941" w:val="left"/>
        </w:tabs>
        <w:numPr>
          <w:ilvl w:val="1"/>
          <w:numId w:val="17"/>
        </w:numPr>
        <w:rPr>
          <w:rFonts w:ascii="Arial" w:cs="Arial" w:eastAsia="Arial" w:hAnsi="Arial"/>
          <w:sz w:val="19"/>
          <w:szCs w:val="19"/>
          <w:color w:val="auto"/>
        </w:rPr>
      </w:pPr>
      <w:r>
        <w:rPr>
          <w:rFonts w:ascii="Arial" w:cs="Arial" w:eastAsia="Arial" w:hAnsi="Arial"/>
          <w:sz w:val="19"/>
          <w:szCs w:val="19"/>
          <w:color w:val="auto"/>
        </w:rPr>
        <w:t>You voluntarily and irrevocably release and discharge the Company, each related or affiliated entity, employee benefit plans, and the predecessors, successors, and assigns of each of them, and each of their respective current and former officers, directors, shareholders, employees, and agents (any and all of which are referred to as “Releasees”) generally from all charges, complaints, claims, promises, agreements, causes of action, damages, and debts that relate in any manner to your employment with or services for the Company, known or unknown (“Claims”), which you have, claim to have, ever had, or ever claimed to have had against any of the Releasees through the date on which you execute this Agreement. This general release of Claims includes, without implication of limitation, all Claims related to the compensation provided to you by the Company, your decision to resign from your employment, your termination of employment with the Company, your resignation from directorships, offices and other positions with the Company, or your activities on behalf of the Company, including, without implication of limitation, any Claims of wrongful discharge, breach of contract, breach of an implied covenant of good faith and fair dealing, tortious interference with advantageous relations, any intentional or negligent misrepresentation, and unlawful discrimination or deprivation of rights under the common law or any statute or constitutional provision (including, without implication of limitation, the Employee Retirement Income Security Act, Title VII of the Civil Rights Act of 1964, the Age Discrimination in Employment Act and the Americans with Disabilities Act. You also waive any Claim for reinstatement, damages of any nature, severance pay, attorney’s fees, or costs.</w:t>
      </w:r>
    </w:p>
    <w:p>
      <w:pPr>
        <w:spacing w:after="0" w:line="158" w:lineRule="exact"/>
        <w:rPr>
          <w:rFonts w:ascii="Arial" w:cs="Arial" w:eastAsia="Arial" w:hAnsi="Arial"/>
          <w:sz w:val="19"/>
          <w:szCs w:val="19"/>
          <w:color w:val="auto"/>
        </w:rPr>
      </w:pPr>
    </w:p>
    <w:p>
      <w:pPr>
        <w:jc w:val="both"/>
        <w:ind w:firstLine="1304"/>
        <w:spacing w:after="0" w:line="288" w:lineRule="auto"/>
        <w:tabs>
          <w:tab w:leader="none" w:pos="1939" w:val="left"/>
        </w:tabs>
        <w:numPr>
          <w:ilvl w:val="1"/>
          <w:numId w:val="17"/>
        </w:numPr>
        <w:rPr>
          <w:rFonts w:ascii="Arial" w:cs="Arial" w:eastAsia="Arial" w:hAnsi="Arial"/>
          <w:sz w:val="19"/>
          <w:szCs w:val="19"/>
          <w:color w:val="auto"/>
        </w:rPr>
      </w:pPr>
      <w:r>
        <w:rPr>
          <w:rFonts w:ascii="Arial" w:cs="Arial" w:eastAsia="Arial" w:hAnsi="Arial"/>
          <w:sz w:val="19"/>
          <w:szCs w:val="19"/>
          <w:color w:val="auto"/>
        </w:rPr>
        <w:t>You agree that you will not hereafter pursue any Claim against any Releasee, by filing a lawsuit in any local, state or federal court for or on account of anything which has occurred up to the present time as a result of your previous employment and you shall not seek reinstatement, damages of any nature, severance pay, attorney’s fees, or costs, provided, however, that nothing in this general release shall be construed to include a release of Claims that (i) arise from the Company’s obligations under this Agreement, the Executive Plan, any equity award/grant agreements (of whatever name or kind), and any shareholder agreements between you and the Company, (ii) relate to your status as a shareholder in the Company, (iii) relate to Section 1(d) of the Executive Plan, (iv) relate to the Company’s obligation to defend and indemnify you under the Company’s certificate of incorporation and by-laws, Delaware law and any applicable directors and officers liability insurance policy, and (v) cannot be released as a matter of law. You represent you have not assigned to any third party and you have not filed with any agency or court any Claim released by this Agreement.</w:t>
      </w:r>
    </w:p>
    <w:p>
      <w:pPr>
        <w:spacing w:after="0" w:line="153" w:lineRule="exact"/>
        <w:rPr>
          <w:rFonts w:ascii="Arial" w:cs="Arial" w:eastAsia="Arial" w:hAnsi="Arial"/>
          <w:sz w:val="19"/>
          <w:szCs w:val="19"/>
          <w:color w:val="auto"/>
        </w:rPr>
      </w:pPr>
    </w:p>
    <w:p>
      <w:pPr>
        <w:jc w:val="both"/>
        <w:ind w:firstLine="8"/>
        <w:spacing w:after="0" w:line="262" w:lineRule="auto"/>
        <w:tabs>
          <w:tab w:leader="none" w:pos="648"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Exceptions.</w:t>
      </w:r>
      <w:r>
        <w:rPr>
          <w:rFonts w:ascii="Arial" w:cs="Arial" w:eastAsia="Arial" w:hAnsi="Arial"/>
          <w:sz w:val="21"/>
          <w:szCs w:val="21"/>
          <w:b w:val="1"/>
          <w:bCs w:val="1"/>
          <w:color w:val="auto"/>
        </w:rPr>
        <w:t xml:space="preserve"> </w:t>
      </w:r>
      <w:r>
        <w:rPr>
          <w:rFonts w:ascii="Arial" w:cs="Arial" w:eastAsia="Arial" w:hAnsi="Arial"/>
          <w:sz w:val="21"/>
          <w:szCs w:val="21"/>
          <w:color w:val="auto"/>
        </w:rPr>
        <w:t>You are not releasing any claim that cannot be waived under applicable state or federal law, and you are not</w:t>
      </w:r>
      <w:r>
        <w:rPr>
          <w:rFonts w:ascii="Arial" w:cs="Arial" w:eastAsia="Arial" w:hAnsi="Arial"/>
          <w:sz w:val="21"/>
          <w:szCs w:val="21"/>
          <w:b w:val="1"/>
          <w:bCs w:val="1"/>
          <w:color w:val="auto"/>
        </w:rPr>
        <w:t xml:space="preserve"> </w:t>
      </w:r>
      <w:r>
        <w:rPr>
          <w:rFonts w:ascii="Arial" w:cs="Arial" w:eastAsia="Arial" w:hAnsi="Arial"/>
          <w:sz w:val="21"/>
          <w:szCs w:val="21"/>
          <w:color w:val="auto"/>
        </w:rPr>
        <w:t>releasing any rights that you have to be indemnified (including any right to reimbursement of expenses) arising under applicable law, the certificate of incorporation or by-laws (or similar constituent documents of the Company), any indemnification agreement between you and the Company, or any directors’ and officers’ liability insurance policy of the Company. You understand that nothing contained in this Agreement limits your ability to file a charge or complaint with the Equal Employment Opportunity Commission, the Department of Labor, the National Labor Relations Board,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2" w:right="3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21"/>
          <w:szCs w:val="21"/>
          <w:color w:val="auto"/>
        </w:rPr>
        <w:t>Occupational Safety and Health Administration, the Securities and Exchange Commission or any other federal, state or local governmental agency or commission (“Government Agencies”). Notwithstanding any provision in this Agreement or any other agreement between you and the Company, you may communicate with any Government Agencies or otherwise participate in any investigation or proceeding that may be conducted by any Government Agency, including providing documents or other information, without notice to the Company. This Agreement does not limit your right to receive an award for information provided to any Government Agencies. However, you understand and agree that you shall not be entitled to, and shall not seek nor permit anyone to seek on your behalf, any personal, equitable or monetary relief for any claims or causes of action released by you in this Agreement, to the fullest extent permitted by law.</w:t>
      </w:r>
    </w:p>
    <w:p>
      <w:pPr>
        <w:spacing w:after="0" w:line="177" w:lineRule="exact"/>
        <w:rPr>
          <w:sz w:val="20"/>
          <w:szCs w:val="20"/>
          <w:color w:val="auto"/>
        </w:rPr>
      </w:pPr>
    </w:p>
    <w:p>
      <w:pPr>
        <w:jc w:val="both"/>
        <w:ind w:firstLine="8"/>
        <w:spacing w:after="0" w:line="287" w:lineRule="auto"/>
        <w:tabs>
          <w:tab w:leader="none" w:pos="648"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Proprietary Information/Confidentiality.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and acknowledge your ongoing covenants under the Proprietary</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and Inventions Agreement you executed in connection with your employment. You agree that you will not discuss your employment by the Company or circumstances of your departure with any non-governmental entity or person (other than information that is publicly available in connection with the Company’s filings with the Securities and Exchange Commission) unless (i) required to do so by a court of law, by any governmental agency having supervisory authority over the business of the Company or by any administrative or legislative body (including a committee thereof) with jurisdiction to order you to divulge, disclose or make accessible such Confidential Information; provided that you shall give prompt written notice to the Company of such requirement, disclose no more information than is so required, and reasonably cooperate with any attempts by the Company to obtain a protective order or similar treatment and (ii) to your spouse, attorney and/or personal tax and financial advisors as reasonably necessary or appropriate to assist in your tax, financial and other personal planning (each an “Exempt Person”), provided, however, that any disclosure or use of Confidential Information by an Exempt Person shall be deemed to be a breach of this Section 6 by you. In the event this Section 6 is breached by you at any time, then the Company shall have the right to terminate this Agreement and the parties agree that in such event no payments shall be paid to you under this Agreement including but not limited to Section 2 or 3.</w:t>
      </w:r>
    </w:p>
    <w:p>
      <w:pPr>
        <w:spacing w:after="0" w:line="200" w:lineRule="exact"/>
        <w:rPr>
          <w:rFonts w:ascii="Arial" w:cs="Arial" w:eastAsia="Arial" w:hAnsi="Arial"/>
          <w:sz w:val="19"/>
          <w:szCs w:val="19"/>
          <w:b w:val="1"/>
          <w:bCs w:val="1"/>
          <w:color w:val="auto"/>
        </w:rPr>
      </w:pPr>
    </w:p>
    <w:p>
      <w:pPr>
        <w:spacing w:after="0" w:line="210" w:lineRule="exact"/>
        <w:rPr>
          <w:rFonts w:ascii="Arial" w:cs="Arial" w:eastAsia="Arial" w:hAnsi="Arial"/>
          <w:sz w:val="19"/>
          <w:szCs w:val="19"/>
          <w:b w:val="1"/>
          <w:bCs w:val="1"/>
          <w:color w:val="auto"/>
        </w:rPr>
      </w:pPr>
    </w:p>
    <w:p>
      <w:pPr>
        <w:jc w:val="both"/>
        <w:ind w:firstLine="8"/>
        <w:spacing w:after="0" w:line="295" w:lineRule="auto"/>
        <w:tabs>
          <w:tab w:leader="none" w:pos="648"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Return of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All documents, records, material and all copies of any of the foregoing pertaining to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information, and all software, equipment, and other supplies, whether or not pertaining to confidential information, that have come into your possession or been produced by you in connection with your employment or performance of the (“Property”) have been and remain the sole property of the Company and you confirm that you have returned to the Company all Property. In no event should this provision be construed to require you to return to the Company any document or other materials concerning your remuneration and benefits during your employment with the Company.</w:t>
      </w:r>
    </w:p>
    <w:p>
      <w:pPr>
        <w:spacing w:after="0" w:line="143" w:lineRule="exact"/>
        <w:rPr>
          <w:rFonts w:ascii="Arial" w:cs="Arial" w:eastAsia="Arial" w:hAnsi="Arial"/>
          <w:sz w:val="19"/>
          <w:szCs w:val="19"/>
          <w:b w:val="1"/>
          <w:bCs w:val="1"/>
          <w:color w:val="auto"/>
        </w:rPr>
      </w:pPr>
    </w:p>
    <w:p>
      <w:pPr>
        <w:jc w:val="both"/>
        <w:ind w:firstLine="8"/>
        <w:spacing w:after="0" w:line="249" w:lineRule="auto"/>
        <w:tabs>
          <w:tab w:leader="none" w:pos="648"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Litigation Cooperation.</w:t>
      </w:r>
      <w:r>
        <w:rPr>
          <w:rFonts w:ascii="Arial" w:cs="Arial" w:eastAsia="Arial" w:hAnsi="Arial"/>
          <w:sz w:val="22"/>
          <w:szCs w:val="22"/>
          <w:b w:val="1"/>
          <w:bCs w:val="1"/>
          <w:color w:val="auto"/>
        </w:rPr>
        <w:t xml:space="preserve"> </w:t>
      </w:r>
      <w:r>
        <w:rPr>
          <w:rFonts w:ascii="Arial" w:cs="Arial" w:eastAsia="Arial" w:hAnsi="Arial"/>
          <w:sz w:val="22"/>
          <w:szCs w:val="22"/>
          <w:color w:val="auto"/>
        </w:rPr>
        <w:t>You agree to fully cooperate with the Company in the defense or prosecution of any claims or</w:t>
      </w:r>
      <w:r>
        <w:rPr>
          <w:rFonts w:ascii="Arial" w:cs="Arial" w:eastAsia="Arial" w:hAnsi="Arial"/>
          <w:sz w:val="22"/>
          <w:szCs w:val="22"/>
          <w:b w:val="1"/>
          <w:bCs w:val="1"/>
          <w:color w:val="auto"/>
        </w:rPr>
        <w:t xml:space="preserve"> </w:t>
      </w:r>
      <w:r>
        <w:rPr>
          <w:rFonts w:ascii="Arial" w:cs="Arial" w:eastAsia="Arial" w:hAnsi="Arial"/>
          <w:sz w:val="22"/>
          <w:szCs w:val="22"/>
          <w:color w:val="auto"/>
        </w:rPr>
        <w:t>actions which already have been brought or which may be brought in the future against or on behalf of the Company which relate to events or occurrences that you were involved in or which you gained knowledge of during your employment with the Company. Your cooperation in connection with such claims or actions shall include, without implication of limitation, being available to meet with counsel to prepare for discovery or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50" w:name="page51"/>
    <w:bookmarkEnd w:id="50"/>
    <w:p>
      <w:pPr>
        <w:jc w:val="both"/>
        <w:spacing w:after="0" w:line="253" w:lineRule="auto"/>
        <w:rPr>
          <w:sz w:val="20"/>
          <w:szCs w:val="20"/>
          <w:color w:val="auto"/>
        </w:rPr>
      </w:pPr>
      <w:r>
        <w:rPr>
          <w:rFonts w:ascii="Arial" w:cs="Arial" w:eastAsia="Arial" w:hAnsi="Arial"/>
          <w:sz w:val="22"/>
          <w:szCs w:val="22"/>
          <w:color w:val="auto"/>
        </w:rPr>
        <w:t>and to testify truthfully as a witness when reasonably requested by the Company, at reasonable times. You agree that you will not voluntarily disclose any information to any non-governmental person or party that is adverse to the Company and that you will maintain the confidences and privileges of the Company.</w:t>
      </w:r>
    </w:p>
    <w:p>
      <w:pPr>
        <w:spacing w:after="0" w:line="179" w:lineRule="exact"/>
        <w:rPr>
          <w:sz w:val="20"/>
          <w:szCs w:val="20"/>
          <w:color w:val="auto"/>
        </w:rPr>
      </w:pPr>
    </w:p>
    <w:p>
      <w:pPr>
        <w:jc w:val="both"/>
        <w:ind w:firstLine="8"/>
        <w:spacing w:after="0" w:line="252" w:lineRule="auto"/>
        <w:tabs>
          <w:tab w:leader="none" w:pos="648"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Protective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You acknowledge and affirm the ongoing validity of the protective covenants set forth in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6 of the Executive Plan which covenants are incorporated herein by this reference. You acknowledge and affirm the Company’s right to seek injunctive relief as provided in Section 6 of the Executive Plan to restrain any violations under Section 6 of the Executive Plan.</w:t>
      </w:r>
    </w:p>
    <w:p>
      <w:pPr>
        <w:spacing w:after="0" w:line="179" w:lineRule="exact"/>
        <w:rPr>
          <w:rFonts w:ascii="Arial" w:cs="Arial" w:eastAsia="Arial" w:hAnsi="Arial"/>
          <w:sz w:val="22"/>
          <w:szCs w:val="22"/>
          <w:b w:val="1"/>
          <w:bCs w:val="1"/>
          <w:color w:val="auto"/>
        </w:rPr>
      </w:pPr>
    </w:p>
    <w:p>
      <w:pPr>
        <w:jc w:val="both"/>
        <w:ind w:firstLine="8"/>
        <w:spacing w:after="0" w:line="249" w:lineRule="auto"/>
        <w:tabs>
          <w:tab w:leader="none" w:pos="648"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Nondisparagement</w:t>
      </w:r>
      <w:r>
        <w:rPr>
          <w:rFonts w:ascii="Arial" w:cs="Arial" w:eastAsia="Arial" w:hAnsi="Arial"/>
          <w:sz w:val="22"/>
          <w:szCs w:val="22"/>
          <w:b w:val="1"/>
          <w:bCs w:val="1"/>
          <w:color w:val="auto"/>
        </w:rPr>
        <w:t xml:space="preserve">. </w:t>
      </w:r>
      <w:r>
        <w:rPr>
          <w:rFonts w:ascii="Arial" w:cs="Arial" w:eastAsia="Arial" w:hAnsi="Arial"/>
          <w:sz w:val="22"/>
          <w:szCs w:val="22"/>
          <w:color w:val="auto"/>
        </w:rPr>
        <w:t>You agree not to make any disparaging statements concerning the Company or any of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or current or former officers, directors, shareholders, employees or agents. The Company shall not, and shall cause its officers, directors, and Investor Relations personnel not to, (a) make any disparaging statements concerning you or your performance as an executive officer of the Company, and/or (b) take any action or make any statement, orally or in writing, which disparages or criticizes you or that would harm your reputation.</w:t>
      </w:r>
    </w:p>
    <w:p>
      <w:pPr>
        <w:spacing w:after="0" w:line="186" w:lineRule="exact"/>
        <w:rPr>
          <w:rFonts w:ascii="Arial" w:cs="Arial" w:eastAsia="Arial" w:hAnsi="Arial"/>
          <w:sz w:val="22"/>
          <w:szCs w:val="22"/>
          <w:b w:val="1"/>
          <w:bCs w:val="1"/>
          <w:color w:val="auto"/>
        </w:rPr>
      </w:pPr>
    </w:p>
    <w:p>
      <w:pPr>
        <w:jc w:val="both"/>
        <w:ind w:firstLine="8"/>
        <w:spacing w:after="0" w:line="293" w:lineRule="auto"/>
        <w:tabs>
          <w:tab w:leader="none" w:pos="636"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Notices, Acknowledgments and Other Terms</w:t>
      </w:r>
      <w:r>
        <w:rPr>
          <w:rFonts w:ascii="Arial" w:cs="Arial" w:eastAsia="Arial" w:hAnsi="Arial"/>
          <w:sz w:val="19"/>
          <w:szCs w:val="19"/>
          <w:b w:val="1"/>
          <w:bCs w:val="1"/>
          <w:color w:val="auto"/>
        </w:rPr>
        <w:t xml:space="preserve">. </w:t>
      </w:r>
      <w:r>
        <w:rPr>
          <w:rFonts w:ascii="Arial" w:cs="Arial" w:eastAsia="Arial" w:hAnsi="Arial"/>
          <w:sz w:val="19"/>
          <w:szCs w:val="19"/>
          <w:color w:val="auto"/>
        </w:rPr>
        <w:t>You are advised to consult with an attorney before signing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This Agreement and the Executive Plan set forth the entire agreement between you and the Company, and all previous agreements, or promises between you and the Company relating to the subject matter of this Agreement and the Executive Plan are superseded, null, and void, with the exception of any equity grant/award agreements (of whatever name or kind), shareholder agreements, and indemnification agreements between you and the Company, the terms of which remain in full force and effect; provided that nothing in this Agreement shall supersede Section 5(c) of the Executive Plan in the event that a Change in Control (as defined in the Executive Plan) of the Company occurs within 120 days following the Separation Date.</w:t>
      </w:r>
    </w:p>
    <w:p>
      <w:pPr>
        <w:spacing w:after="0" w:line="144" w:lineRule="exact"/>
        <w:rPr>
          <w:rFonts w:ascii="Arial" w:cs="Arial" w:eastAsia="Arial" w:hAnsi="Arial"/>
          <w:sz w:val="19"/>
          <w:szCs w:val="19"/>
          <w:b w:val="1"/>
          <w:bCs w:val="1"/>
          <w:color w:val="auto"/>
        </w:rPr>
      </w:pPr>
    </w:p>
    <w:p>
      <w:pPr>
        <w:jc w:val="both"/>
        <w:ind w:firstLine="8"/>
        <w:spacing w:after="0" w:line="289" w:lineRule="auto"/>
        <w:tabs>
          <w:tab w:leader="none" w:pos="648"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Consideration/Revocation</w:t>
      </w:r>
      <w:r>
        <w:rPr>
          <w:rFonts w:ascii="Arial" w:cs="Arial" w:eastAsia="Arial" w:hAnsi="Arial"/>
          <w:sz w:val="19"/>
          <w:szCs w:val="19"/>
          <w:b w:val="1"/>
          <w:bCs w:val="1"/>
          <w:color w:val="auto"/>
        </w:rPr>
        <w:t xml:space="preserve">. </w:t>
      </w:r>
      <w:r>
        <w:rPr>
          <w:rFonts w:ascii="Arial" w:cs="Arial" w:eastAsia="Arial" w:hAnsi="Arial"/>
          <w:sz w:val="19"/>
          <w:szCs w:val="19"/>
          <w:color w:val="auto"/>
        </w:rPr>
        <w:t>You acknowledge that you have been given the opportunity, if you so desired, to consider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for 21 days before executing it. If not signed by you and returned to me so that the Company’s general counsel receives it by close of business on the day next following the foregoing period, this Agreement will be invalid. In addition, if you breach any of the conditions of the Agreement within the 21-day period, the offer of this Agreement will be withdrawn and your execution of the Agreement will not be valid. In the event that you execute and return this Agreement in less than the 21-day period you have been provided, you acknowledge that such decision was entirely voluntary and that you had the opportunity to consider this letter agreement for the entire period. The Company acknowledges that for a period of seven days from the date of the execution of this Agreement, you shall retain the right to revoke this Agreement by written notice that the Company’s General Counsel actually receive before the end of such period, and that this Agreement shall not become effective or enforceable until the later of the expiration of such revocation period or the Separation Date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51" w:name="page52"/>
    <w:bookmarkEnd w:id="51"/>
    <w:p>
      <w:pPr>
        <w:ind w:firstLine="8"/>
        <w:spacing w:after="0" w:line="293" w:lineRule="auto"/>
        <w:tabs>
          <w:tab w:leader="none" w:pos="648" w:val="left"/>
        </w:tabs>
        <w:numPr>
          <w:ilvl w:val="0"/>
          <w:numId w:val="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executed in counterparts, and each counterpart will have the same force and effect</w:t>
      </w:r>
      <w:r>
        <w:rPr>
          <w:rFonts w:ascii="Arial" w:cs="Arial" w:eastAsia="Arial" w:hAnsi="Arial"/>
          <w:sz w:val="21"/>
          <w:szCs w:val="21"/>
          <w:b w:val="1"/>
          <w:bCs w:val="1"/>
          <w:color w:val="auto"/>
        </w:rPr>
        <w:t xml:space="preserve"> </w:t>
      </w:r>
      <w:r>
        <w:rPr>
          <w:rFonts w:ascii="Arial" w:cs="Arial" w:eastAsia="Arial" w:hAnsi="Arial"/>
          <w:sz w:val="21"/>
          <w:szCs w:val="21"/>
          <w:color w:val="auto"/>
        </w:rPr>
        <w:t>as an original and will constitute an effective, binding agreement on the part of each of the undersigned.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each of the parties has executed this Agreement, in the case of the Company by their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officers, as of the day and year first above written.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SYNCHRONOSS TECHNOLOGIES, INC.</w:t>
      </w:r>
    </w:p>
    <w:p>
      <w:pPr>
        <w:spacing w:after="0" w:line="200" w:lineRule="exact"/>
        <w:rPr>
          <w:sz w:val="20"/>
          <w:szCs w:val="20"/>
          <w:color w:val="auto"/>
        </w:rPr>
      </w:pPr>
    </w:p>
    <w:p>
      <w:pPr>
        <w:spacing w:after="0" w:line="29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/s/ Glenn Lurie</w:t>
      </w:r>
    </w:p>
    <w:p>
      <w:pPr>
        <w:spacing w:after="0" w:line="112"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President and CEO</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Mary Clark</w:t>
            </w:r>
          </w:p>
        </w:tc>
        <w:tc>
          <w:tcPr>
            <w:tcW w:w="1460" w:type="dxa"/>
            <w:vAlign w:val="bottom"/>
          </w:tcPr>
          <w:p>
            <w:pPr>
              <w:ind w:left="200"/>
              <w:spacing w:after="0"/>
              <w:rPr>
                <w:sz w:val="20"/>
                <w:szCs w:val="20"/>
                <w:color w:val="auto"/>
              </w:rPr>
            </w:pPr>
            <w:r>
              <w:rPr>
                <w:rFonts w:ascii="Arial" w:cs="Arial" w:eastAsia="Arial" w:hAnsi="Arial"/>
                <w:sz w:val="22"/>
                <w:szCs w:val="22"/>
                <w:color w:val="auto"/>
                <w:w w:val="91"/>
              </w:rPr>
              <w:t>April 22, 2020</w:t>
            </w:r>
          </w:p>
        </w:tc>
      </w:tr>
      <w:tr>
        <w:trPr>
          <w:trHeight w:val="287"/>
        </w:trPr>
        <w:tc>
          <w:tcPr>
            <w:tcW w:w="1700" w:type="dxa"/>
            <w:vAlign w:val="bottom"/>
          </w:tcPr>
          <w:p>
            <w:pPr>
              <w:spacing w:after="0"/>
              <w:rPr>
                <w:sz w:val="20"/>
                <w:szCs w:val="20"/>
                <w:color w:val="auto"/>
              </w:rPr>
            </w:pPr>
            <w:r>
              <w:rPr>
                <w:rFonts w:ascii="Arial" w:cs="Arial" w:eastAsia="Arial" w:hAnsi="Arial"/>
                <w:sz w:val="22"/>
                <w:szCs w:val="22"/>
                <w:b w:val="1"/>
                <w:bCs w:val="1"/>
                <w:color w:val="auto"/>
              </w:rPr>
              <w:t>Mary Clark</w:t>
            </w:r>
          </w:p>
        </w:tc>
        <w:tc>
          <w:tcPr>
            <w:tcW w:w="1460" w:type="dxa"/>
            <w:vAlign w:val="bottom"/>
          </w:tcPr>
          <w:p>
            <w:pPr>
              <w:ind w:left="60"/>
              <w:spacing w:after="0"/>
              <w:rPr>
                <w:sz w:val="20"/>
                <w:szCs w:val="20"/>
                <w:color w:val="auto"/>
              </w:rPr>
            </w:pPr>
            <w:r>
              <w:rPr>
                <w:rFonts w:ascii="Arial" w:cs="Arial" w:eastAsia="Arial" w:hAnsi="Arial"/>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2" w:right="339" w:bottom="1440" w:gutter="0" w:footer="0" w:header="0"/>
        </w:sectPr>
      </w:pPr>
    </w:p>
    <w:bookmarkStart w:id="52" w:name="page53"/>
    <w:bookmarkEnd w:id="52"/>
    <w:p>
      <w:pPr>
        <w:ind w:left="10320"/>
        <w:spacing w:after="0"/>
        <w:rPr>
          <w:sz w:val="20"/>
          <w:szCs w:val="20"/>
          <w:color w:val="auto"/>
        </w:rPr>
      </w:pPr>
      <w:r>
        <w:rPr>
          <w:rFonts w:ascii="Arial" w:cs="Arial" w:eastAsia="Arial" w:hAnsi="Arial"/>
          <w:sz w:val="16"/>
          <w:szCs w:val="16"/>
          <w:b w:val="1"/>
          <w:bCs w:val="1"/>
          <w:color w:val="auto"/>
        </w:rPr>
        <w:t>Exhibit 10.2</w:t>
      </w:r>
    </w:p>
    <w:p>
      <w:pPr>
        <w:spacing w:after="0" w:line="27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LIKELY CAUSE COMPETITIVE HARM IF PUBLICLY DISCLOSED.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CHANGE REQUEST No. 12 (“CR #12”) to SOW No. 1</w:t>
      </w:r>
    </w:p>
    <w:p>
      <w:pPr>
        <w:spacing w:after="0" w:line="3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WHEREAS, Verizon Sourcing LLC, on behalf of itself and for the benefit of their Affiliates (individually and collectively, </w:t>
      </w:r>
      <w:r>
        <w:rPr>
          <w:rFonts w:ascii="Arial" w:cs="Arial" w:eastAsia="Arial" w:hAnsi="Arial"/>
          <w:sz w:val="20"/>
          <w:szCs w:val="20"/>
          <w:b w:val="1"/>
          <w:bCs w:val="1"/>
          <w:color w:val="auto"/>
        </w:rPr>
        <w:t>“Verizon”</w:t>
      </w:r>
      <w:r>
        <w:rPr>
          <w:rFonts w:ascii="Arial" w:cs="Arial" w:eastAsia="Arial" w:hAnsi="Arial"/>
          <w:sz w:val="20"/>
          <w:szCs w:val="20"/>
          <w:color w:val="auto"/>
        </w:rPr>
        <w:t>) and Synchronoss Technologies, Inc. (“</w:t>
      </w:r>
      <w:r>
        <w:rPr>
          <w:rFonts w:ascii="Arial" w:cs="Arial" w:eastAsia="Arial" w:hAnsi="Arial"/>
          <w:sz w:val="20"/>
          <w:szCs w:val="20"/>
          <w:b w:val="1"/>
          <w:bCs w:val="1"/>
          <w:color w:val="auto"/>
        </w:rPr>
        <w:t>Supplier</w:t>
      </w:r>
      <w:r>
        <w:rPr>
          <w:rFonts w:ascii="Arial" w:cs="Arial" w:eastAsia="Arial" w:hAnsi="Arial"/>
          <w:sz w:val="20"/>
          <w:szCs w:val="20"/>
          <w:color w:val="auto"/>
        </w:rPr>
        <w:t>” or “</w:t>
      </w:r>
      <w:r>
        <w:rPr>
          <w:rFonts w:ascii="Arial" w:cs="Arial" w:eastAsia="Arial" w:hAnsi="Arial"/>
          <w:sz w:val="20"/>
          <w:szCs w:val="20"/>
          <w:b w:val="1"/>
          <w:bCs w:val="1"/>
          <w:color w:val="auto"/>
        </w:rPr>
        <w:t>Synchronoss</w:t>
      </w:r>
      <w:r>
        <w:rPr>
          <w:rFonts w:ascii="Arial" w:cs="Arial" w:eastAsia="Arial" w:hAnsi="Arial"/>
          <w:sz w:val="20"/>
          <w:szCs w:val="20"/>
          <w:color w:val="auto"/>
        </w:rPr>
        <w:t>”) are Parties to an Application Service Provider</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dated April 1, 2013, as amended, with the contract number [****] (the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20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WHEREAS, the Parties have entered into Authorization Letters and Statements of Work under the Agreement (collectively, the “</w:t>
      </w:r>
      <w:r>
        <w:rPr>
          <w:rFonts w:ascii="Arial" w:cs="Arial" w:eastAsia="Arial" w:hAnsi="Arial"/>
          <w:sz w:val="20"/>
          <w:szCs w:val="20"/>
          <w:b w:val="1"/>
          <w:bCs w:val="1"/>
          <w:color w:val="auto"/>
        </w:rPr>
        <w:t>SOWs</w:t>
      </w:r>
      <w:r>
        <w:rPr>
          <w:rFonts w:ascii="Arial" w:cs="Arial" w:eastAsia="Arial" w:hAnsi="Arial"/>
          <w:sz w:val="20"/>
          <w:szCs w:val="20"/>
          <w:color w:val="auto"/>
        </w:rPr>
        <w:t>”) as follows:</w:t>
      </w:r>
    </w:p>
    <w:p>
      <w:pPr>
        <w:spacing w:after="0" w:line="204" w:lineRule="exact"/>
        <w:rPr>
          <w:sz w:val="20"/>
          <w:szCs w:val="20"/>
          <w:color w:val="auto"/>
        </w:rPr>
      </w:pPr>
    </w:p>
    <w:p>
      <w:pPr>
        <w:ind w:left="660" w:hanging="328"/>
        <w:spacing w:after="0" w:line="246" w:lineRule="auto"/>
        <w:tabs>
          <w:tab w:leader="none" w:pos="659" w:val="left"/>
        </w:tabs>
        <w:numPr>
          <w:ilvl w:val="0"/>
          <w:numId w:val="21"/>
        </w:numPr>
        <w:rPr>
          <w:rFonts w:ascii="Arial" w:cs="Arial" w:eastAsia="Arial" w:hAnsi="Arial"/>
          <w:sz w:val="20"/>
          <w:szCs w:val="20"/>
          <w:color w:val="auto"/>
        </w:rPr>
      </w:pPr>
      <w:r>
        <w:rPr>
          <w:rFonts w:ascii="Arial" w:cs="Arial" w:eastAsia="Arial" w:hAnsi="Arial"/>
          <w:sz w:val="20"/>
          <w:szCs w:val="20"/>
          <w:color w:val="auto"/>
        </w:rPr>
        <w:t>Statement of Work No. 1 (Schedule No. 1 to Authorization Letter # No. 1 attached to the Agreement), as amended (the “</w:t>
      </w:r>
      <w:r>
        <w:rPr>
          <w:rFonts w:ascii="Arial" w:cs="Arial" w:eastAsia="Arial" w:hAnsi="Arial"/>
          <w:sz w:val="20"/>
          <w:szCs w:val="20"/>
          <w:b w:val="1"/>
          <w:bCs w:val="1"/>
          <w:color w:val="auto"/>
        </w:rPr>
        <w:t>SOW No. 1</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ind w:left="660" w:right="20" w:hanging="328"/>
        <w:spacing w:after="0" w:line="246" w:lineRule="auto"/>
        <w:tabs>
          <w:tab w:leader="none" w:pos="659" w:val="left"/>
        </w:tabs>
        <w:numPr>
          <w:ilvl w:val="0"/>
          <w:numId w:val="21"/>
        </w:numPr>
        <w:rPr>
          <w:rFonts w:ascii="Arial" w:cs="Arial" w:eastAsia="Arial" w:hAnsi="Arial"/>
          <w:sz w:val="20"/>
          <w:szCs w:val="20"/>
          <w:color w:val="auto"/>
        </w:rPr>
      </w:pPr>
      <w:r>
        <w:rPr>
          <w:rFonts w:ascii="Arial" w:cs="Arial" w:eastAsia="Arial" w:hAnsi="Arial"/>
          <w:sz w:val="20"/>
          <w:szCs w:val="20"/>
          <w:color w:val="auto"/>
        </w:rPr>
        <w:t>Statement of Work No. 2 (Schedule No. 1 to Authorization Letter # No. 2 providing mobile content transfer functionality) (number [****]) as amended (the “</w:t>
      </w:r>
      <w:r>
        <w:rPr>
          <w:rFonts w:ascii="Arial" w:cs="Arial" w:eastAsia="Arial" w:hAnsi="Arial"/>
          <w:sz w:val="20"/>
          <w:szCs w:val="20"/>
          <w:b w:val="1"/>
          <w:bCs w:val="1"/>
          <w:color w:val="auto"/>
        </w:rPr>
        <w:t>SOW No. 2</w:t>
      </w:r>
      <w:r>
        <w:rPr>
          <w:rFonts w:ascii="Arial" w:cs="Arial" w:eastAsia="Arial" w:hAnsi="Arial"/>
          <w:sz w:val="20"/>
          <w:szCs w:val="20"/>
          <w:color w:val="auto"/>
        </w:rPr>
        <w:t>”) (which is terminated and no longer in effect),</w:t>
      </w:r>
    </w:p>
    <w:p>
      <w:pPr>
        <w:spacing w:after="0" w:line="203"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Statement of Work No. 3 (Schedule No. 1 to Authorization Letter # No. 3, providing interfaces to the services of [****]) (number [****]) (the “</w:t>
      </w:r>
      <w:r>
        <w:rPr>
          <w:rFonts w:ascii="Arial" w:cs="Arial" w:eastAsia="Arial" w:hAnsi="Arial"/>
          <w:sz w:val="20"/>
          <w:szCs w:val="20"/>
          <w:b w:val="1"/>
          <w:bCs w:val="1"/>
          <w:color w:val="auto"/>
        </w:rPr>
        <w:t>SOW No. 3</w:t>
      </w:r>
      <w:r>
        <w:rPr>
          <w:rFonts w:ascii="Arial" w:cs="Arial" w:eastAsia="Arial" w:hAnsi="Arial"/>
          <w:sz w:val="20"/>
          <w:szCs w:val="20"/>
          <w:color w:val="auto"/>
        </w:rPr>
        <w:t>”),</w:t>
      </w:r>
    </w:p>
    <w:p>
      <w:pPr>
        <w:spacing w:after="0" w:line="179" w:lineRule="exact"/>
        <w:rPr>
          <w:rFonts w:ascii="Arial" w:cs="Arial" w:eastAsia="Arial" w:hAnsi="Arial"/>
          <w:sz w:val="20"/>
          <w:szCs w:val="20"/>
          <w:color w:val="auto"/>
        </w:rPr>
      </w:pPr>
    </w:p>
    <w:p>
      <w:pPr>
        <w:ind w:left="660" w:hanging="328"/>
        <w:spacing w:after="0" w:line="271" w:lineRule="auto"/>
        <w:tabs>
          <w:tab w:leader="none" w:pos="659" w:val="left"/>
        </w:tabs>
        <w:numPr>
          <w:ilvl w:val="0"/>
          <w:numId w:val="21"/>
        </w:numPr>
        <w:rPr>
          <w:rFonts w:ascii="Arial" w:cs="Arial" w:eastAsia="Arial" w:hAnsi="Arial"/>
          <w:sz w:val="20"/>
          <w:szCs w:val="20"/>
          <w:color w:val="auto"/>
        </w:rPr>
      </w:pPr>
      <w:r>
        <w:rPr>
          <w:rFonts w:ascii="Arial" w:cs="Arial" w:eastAsia="Arial" w:hAnsi="Arial"/>
          <w:sz w:val="20"/>
          <w:szCs w:val="20"/>
          <w:color w:val="auto"/>
        </w:rPr>
        <w:t>Statement of Work No. 4 (Schedule No. 1 to Authorization Letter # No. 4, “</w:t>
      </w:r>
      <w:r>
        <w:rPr>
          <w:rFonts w:ascii="Arial" w:cs="Arial" w:eastAsia="Arial" w:hAnsi="Arial"/>
          <w:sz w:val="20"/>
          <w:szCs w:val="20"/>
          <w:b w:val="1"/>
          <w:bCs w:val="1"/>
          <w:color w:val="auto"/>
        </w:rPr>
        <w:t>Montana Platform</w:t>
      </w:r>
      <w:r>
        <w:rPr>
          <w:rFonts w:ascii="Arial" w:cs="Arial" w:eastAsia="Arial" w:hAnsi="Arial"/>
          <w:sz w:val="20"/>
          <w:szCs w:val="20"/>
          <w:color w:val="auto"/>
        </w:rPr>
        <w:t>”) (number [****]), as amended (the “</w:t>
      </w:r>
      <w:r>
        <w:rPr>
          <w:rFonts w:ascii="Arial" w:cs="Arial" w:eastAsia="Arial" w:hAnsi="Arial"/>
          <w:sz w:val="20"/>
          <w:szCs w:val="20"/>
          <w:b w:val="1"/>
          <w:bCs w:val="1"/>
          <w:color w:val="auto"/>
        </w:rPr>
        <w:t>SOW No. 4</w:t>
      </w:r>
      <w:r>
        <w:rPr>
          <w:rFonts w:ascii="Arial" w:cs="Arial" w:eastAsia="Arial" w:hAnsi="Arial"/>
          <w:sz w:val="20"/>
          <w:szCs w:val="20"/>
          <w:color w:val="auto"/>
        </w:rPr>
        <w:t>”),</w:t>
      </w:r>
    </w:p>
    <w:p>
      <w:pPr>
        <w:spacing w:after="0" w:line="179" w:lineRule="exact"/>
        <w:rPr>
          <w:rFonts w:ascii="Arial" w:cs="Arial" w:eastAsia="Arial" w:hAnsi="Arial"/>
          <w:sz w:val="20"/>
          <w:szCs w:val="20"/>
          <w:color w:val="auto"/>
        </w:rPr>
      </w:pPr>
    </w:p>
    <w:p>
      <w:pPr>
        <w:ind w:left="660" w:right="20" w:hanging="328"/>
        <w:spacing w:after="0" w:line="246" w:lineRule="auto"/>
        <w:tabs>
          <w:tab w:leader="none" w:pos="659" w:val="left"/>
        </w:tabs>
        <w:numPr>
          <w:ilvl w:val="0"/>
          <w:numId w:val="21"/>
        </w:numPr>
        <w:rPr>
          <w:rFonts w:ascii="Arial" w:cs="Arial" w:eastAsia="Arial" w:hAnsi="Arial"/>
          <w:sz w:val="20"/>
          <w:szCs w:val="20"/>
          <w:color w:val="auto"/>
        </w:rPr>
      </w:pPr>
      <w:r>
        <w:rPr>
          <w:rFonts w:ascii="Arial" w:cs="Arial" w:eastAsia="Arial" w:hAnsi="Arial"/>
          <w:sz w:val="20"/>
          <w:szCs w:val="20"/>
          <w:color w:val="auto"/>
        </w:rPr>
        <w:t>Statement of Work No. 5 (Schedule No. 1 to Authorization Letter # No. 5, providing an API Program License) (number [****]), as amended (the “</w:t>
      </w:r>
      <w:r>
        <w:rPr>
          <w:rFonts w:ascii="Arial" w:cs="Arial" w:eastAsia="Arial" w:hAnsi="Arial"/>
          <w:sz w:val="20"/>
          <w:szCs w:val="20"/>
          <w:b w:val="1"/>
          <w:bCs w:val="1"/>
          <w:color w:val="auto"/>
        </w:rPr>
        <w:t>SOW No. 5</w:t>
      </w:r>
      <w:r>
        <w:rPr>
          <w:rFonts w:ascii="Arial" w:cs="Arial" w:eastAsia="Arial" w:hAnsi="Arial"/>
          <w:sz w:val="20"/>
          <w:szCs w:val="20"/>
          <w:color w:val="auto"/>
        </w:rPr>
        <w:t>”),</w:t>
      </w:r>
    </w:p>
    <w:p>
      <w:pPr>
        <w:spacing w:after="0" w:line="179" w:lineRule="exact"/>
        <w:rPr>
          <w:rFonts w:ascii="Arial" w:cs="Arial" w:eastAsia="Arial" w:hAnsi="Arial"/>
          <w:sz w:val="20"/>
          <w:szCs w:val="20"/>
          <w:color w:val="auto"/>
        </w:rPr>
      </w:pPr>
    </w:p>
    <w:p>
      <w:pPr>
        <w:ind w:left="660" w:hanging="328"/>
        <w:spacing w:after="0" w:line="271" w:lineRule="auto"/>
        <w:tabs>
          <w:tab w:leader="none" w:pos="658" w:val="left"/>
        </w:tabs>
        <w:numPr>
          <w:ilvl w:val="0"/>
          <w:numId w:val="21"/>
        </w:numPr>
        <w:rPr>
          <w:rFonts w:ascii="Arial" w:cs="Arial" w:eastAsia="Arial" w:hAnsi="Arial"/>
          <w:sz w:val="20"/>
          <w:szCs w:val="20"/>
          <w:color w:val="auto"/>
        </w:rPr>
      </w:pPr>
      <w:r>
        <w:rPr>
          <w:rFonts w:ascii="Arial" w:cs="Arial" w:eastAsia="Arial" w:hAnsi="Arial"/>
          <w:sz w:val="20"/>
          <w:szCs w:val="20"/>
          <w:color w:val="auto"/>
        </w:rPr>
        <w:t>Statement of Work No. 6 (Schedule No. 1 to Authorization Letter # No. 6, “</w:t>
      </w:r>
      <w:r>
        <w:rPr>
          <w:rFonts w:ascii="Arial" w:cs="Arial" w:eastAsia="Arial" w:hAnsi="Arial"/>
          <w:sz w:val="20"/>
          <w:szCs w:val="20"/>
          <w:b w:val="1"/>
          <w:bCs w:val="1"/>
          <w:color w:val="auto"/>
        </w:rPr>
        <w:t>Cloud API Professional Service</w:t>
      </w:r>
      <w:r>
        <w:rPr>
          <w:rFonts w:ascii="Arial" w:cs="Arial" w:eastAsia="Arial" w:hAnsi="Arial"/>
          <w:sz w:val="20"/>
          <w:szCs w:val="20"/>
          <w:color w:val="auto"/>
        </w:rPr>
        <w:t>”) (number [****]), as amended (the “</w:t>
      </w:r>
      <w:r>
        <w:rPr>
          <w:rFonts w:ascii="Arial" w:cs="Arial" w:eastAsia="Arial" w:hAnsi="Arial"/>
          <w:sz w:val="20"/>
          <w:szCs w:val="20"/>
          <w:b w:val="1"/>
          <w:bCs w:val="1"/>
          <w:color w:val="auto"/>
        </w:rPr>
        <w:t>SOW No. 6</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660" w:hanging="328"/>
        <w:spacing w:after="0" w:line="271" w:lineRule="auto"/>
        <w:tabs>
          <w:tab w:leader="none" w:pos="659" w:val="left"/>
        </w:tabs>
        <w:numPr>
          <w:ilvl w:val="0"/>
          <w:numId w:val="21"/>
        </w:numPr>
        <w:rPr>
          <w:rFonts w:ascii="Arial" w:cs="Arial" w:eastAsia="Arial" w:hAnsi="Arial"/>
          <w:sz w:val="20"/>
          <w:szCs w:val="20"/>
          <w:color w:val="auto"/>
        </w:rPr>
      </w:pPr>
      <w:r>
        <w:rPr>
          <w:rFonts w:ascii="Arial" w:cs="Arial" w:eastAsia="Arial" w:hAnsi="Arial"/>
          <w:sz w:val="20"/>
          <w:szCs w:val="20"/>
          <w:color w:val="auto"/>
        </w:rPr>
        <w:t>Statement of Work No. 7 (Schedule No. 1 to Authorization Letter #7, “</w:t>
      </w:r>
      <w:r>
        <w:rPr>
          <w:rFonts w:ascii="Arial" w:cs="Arial" w:eastAsia="Arial" w:hAnsi="Arial"/>
          <w:sz w:val="20"/>
          <w:szCs w:val="20"/>
          <w:b w:val="1"/>
          <w:bCs w:val="1"/>
          <w:color w:val="auto"/>
        </w:rPr>
        <w:t>Network Contact Software and Support</w:t>
      </w:r>
      <w:r>
        <w:rPr>
          <w:rFonts w:ascii="Arial" w:cs="Arial" w:eastAsia="Arial" w:hAnsi="Arial"/>
          <w:sz w:val="20"/>
          <w:szCs w:val="20"/>
          <w:color w:val="auto"/>
        </w:rPr>
        <w:t xml:space="preserve"> </w:t>
      </w:r>
      <w:r>
        <w:rPr>
          <w:rFonts w:ascii="Arial" w:cs="Arial" w:eastAsia="Arial" w:hAnsi="Arial"/>
          <w:sz w:val="20"/>
          <w:szCs w:val="20"/>
          <w:b w:val="1"/>
          <w:bCs w:val="1"/>
          <w:color w:val="auto"/>
        </w:rPr>
        <w:t>Service</w:t>
      </w:r>
      <w:r>
        <w:rPr>
          <w:rFonts w:ascii="Arial" w:cs="Arial" w:eastAsia="Arial" w:hAnsi="Arial"/>
          <w:sz w:val="20"/>
          <w:szCs w:val="20"/>
          <w:color w:val="auto"/>
        </w:rPr>
        <w:t>”) (number [****]) (the “</w:t>
      </w:r>
      <w:r>
        <w:rPr>
          <w:rFonts w:ascii="Arial" w:cs="Arial" w:eastAsia="Arial" w:hAnsi="Arial"/>
          <w:sz w:val="20"/>
          <w:szCs w:val="20"/>
          <w:b w:val="1"/>
          <w:bCs w:val="1"/>
          <w:color w:val="auto"/>
        </w:rPr>
        <w:t>SOW No. 7</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660" w:hanging="328"/>
        <w:spacing w:after="0" w:line="271" w:lineRule="auto"/>
        <w:tabs>
          <w:tab w:leader="none" w:pos="659" w:val="left"/>
        </w:tabs>
        <w:numPr>
          <w:ilvl w:val="0"/>
          <w:numId w:val="21"/>
        </w:numPr>
        <w:rPr>
          <w:rFonts w:ascii="Arial" w:cs="Arial" w:eastAsia="Arial" w:hAnsi="Arial"/>
          <w:sz w:val="20"/>
          <w:szCs w:val="20"/>
          <w:color w:val="auto"/>
        </w:rPr>
      </w:pPr>
      <w:r>
        <w:rPr>
          <w:rFonts w:ascii="Arial" w:cs="Arial" w:eastAsia="Arial" w:hAnsi="Arial"/>
          <w:sz w:val="20"/>
          <w:szCs w:val="20"/>
          <w:color w:val="auto"/>
        </w:rPr>
        <w:t>Statement of Work No. 8 (Schedule No. 1 to Authorization Letter #8, “</w:t>
      </w:r>
      <w:r>
        <w:rPr>
          <w:rFonts w:ascii="Arial" w:cs="Arial" w:eastAsia="Arial" w:hAnsi="Arial"/>
          <w:sz w:val="20"/>
          <w:szCs w:val="20"/>
          <w:b w:val="1"/>
          <w:bCs w:val="1"/>
          <w:color w:val="auto"/>
        </w:rPr>
        <w:t>Software Release</w:t>
      </w:r>
      <w:r>
        <w:rPr>
          <w:rFonts w:ascii="Arial" w:cs="Arial" w:eastAsia="Arial" w:hAnsi="Arial"/>
          <w:sz w:val="20"/>
          <w:szCs w:val="20"/>
          <w:color w:val="auto"/>
        </w:rPr>
        <w:t>”) (number [****]) (the “</w:t>
      </w:r>
      <w:r>
        <w:rPr>
          <w:rFonts w:ascii="Arial" w:cs="Arial" w:eastAsia="Arial" w:hAnsi="Arial"/>
          <w:sz w:val="20"/>
          <w:szCs w:val="20"/>
          <w:b w:val="1"/>
          <w:bCs w:val="1"/>
          <w:color w:val="auto"/>
        </w:rPr>
        <w:t>SOW No.</w:t>
      </w:r>
      <w:r>
        <w:rPr>
          <w:rFonts w:ascii="Arial" w:cs="Arial" w:eastAsia="Arial" w:hAnsi="Arial"/>
          <w:sz w:val="20"/>
          <w:szCs w:val="20"/>
          <w:color w:val="auto"/>
        </w:rPr>
        <w:t xml:space="preserve"> </w:t>
      </w:r>
      <w:r>
        <w:rPr>
          <w:rFonts w:ascii="Arial" w:cs="Arial" w:eastAsia="Arial" w:hAnsi="Arial"/>
          <w:sz w:val="20"/>
          <w:szCs w:val="20"/>
          <w:b w:val="1"/>
          <w:bCs w:val="1"/>
          <w:color w:val="auto"/>
        </w:rPr>
        <w:t>8</w:t>
      </w:r>
      <w:r>
        <w:rPr>
          <w:rFonts w:ascii="Arial" w:cs="Arial" w:eastAsia="Arial" w:hAnsi="Arial"/>
          <w:sz w:val="20"/>
          <w:szCs w:val="20"/>
          <w:color w:val="auto"/>
        </w:rPr>
        <w:t>”), and</w:t>
      </w:r>
    </w:p>
    <w:p>
      <w:pPr>
        <w:spacing w:after="0" w:line="179" w:lineRule="exact"/>
        <w:rPr>
          <w:rFonts w:ascii="Arial" w:cs="Arial" w:eastAsia="Arial" w:hAnsi="Arial"/>
          <w:sz w:val="20"/>
          <w:szCs w:val="20"/>
          <w:color w:val="auto"/>
        </w:rPr>
      </w:pPr>
    </w:p>
    <w:p>
      <w:pPr>
        <w:ind w:left="660" w:hanging="328"/>
        <w:spacing w:after="0" w:line="246" w:lineRule="auto"/>
        <w:tabs>
          <w:tab w:leader="none" w:pos="647" w:val="left"/>
        </w:tabs>
        <w:numPr>
          <w:ilvl w:val="0"/>
          <w:numId w:val="21"/>
        </w:numPr>
        <w:rPr>
          <w:rFonts w:ascii="Arial" w:cs="Arial" w:eastAsia="Arial" w:hAnsi="Arial"/>
          <w:sz w:val="20"/>
          <w:szCs w:val="20"/>
          <w:color w:val="auto"/>
        </w:rPr>
      </w:pPr>
      <w:r>
        <w:rPr>
          <w:rFonts w:ascii="Arial" w:cs="Arial" w:eastAsia="Arial" w:hAnsi="Arial"/>
          <w:sz w:val="20"/>
          <w:szCs w:val="20"/>
          <w:color w:val="auto"/>
        </w:rPr>
        <w:t>Statement of Work No. 9 (Schedule No. 1 to Authorization Letter #9, Statement of Work No. 9 to the Agreement – “[****]”) (number [****]) (the “</w:t>
      </w:r>
      <w:r>
        <w:rPr>
          <w:rFonts w:ascii="Arial" w:cs="Arial" w:eastAsia="Arial" w:hAnsi="Arial"/>
          <w:sz w:val="20"/>
          <w:szCs w:val="20"/>
          <w:b w:val="1"/>
          <w:bCs w:val="1"/>
          <w:color w:val="auto"/>
        </w:rPr>
        <w:t>SOW No. 9</w:t>
      </w:r>
      <w:r>
        <w:rPr>
          <w:rFonts w:ascii="Arial" w:cs="Arial" w:eastAsia="Arial" w:hAnsi="Arial"/>
          <w:sz w:val="20"/>
          <w:szCs w:val="20"/>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WHEREAS, the Parties wish to further amend SOW No. 1 to:</w:t>
      </w:r>
    </w:p>
    <w:p>
      <w:pPr>
        <w:spacing w:after="0" w:line="216" w:lineRule="exact"/>
        <w:rPr>
          <w:sz w:val="20"/>
          <w:szCs w:val="20"/>
          <w:color w:val="auto"/>
        </w:rPr>
      </w:pPr>
    </w:p>
    <w:p>
      <w:pPr>
        <w:ind w:left="700" w:hanging="319"/>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extend the term of SOW No. 1;</w:t>
      </w:r>
    </w:p>
    <w:p>
      <w:pPr>
        <w:spacing w:after="0" w:line="215" w:lineRule="exact"/>
        <w:rPr>
          <w:rFonts w:ascii="Arial" w:cs="Arial" w:eastAsia="Arial" w:hAnsi="Arial"/>
          <w:sz w:val="20"/>
          <w:szCs w:val="20"/>
          <w:color w:val="auto"/>
        </w:rPr>
      </w:pPr>
    </w:p>
    <w:p>
      <w:pPr>
        <w:ind w:left="700" w:hanging="319"/>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modify the pricing and fee structure for the Solution and related Professional Services under SOW No. 1; and</w:t>
      </w:r>
    </w:p>
    <w:p>
      <w:pPr>
        <w:spacing w:after="0" w:line="215" w:lineRule="exact"/>
        <w:rPr>
          <w:rFonts w:ascii="Arial" w:cs="Arial" w:eastAsia="Arial" w:hAnsi="Arial"/>
          <w:sz w:val="20"/>
          <w:szCs w:val="20"/>
          <w:color w:val="auto"/>
        </w:rPr>
      </w:pPr>
    </w:p>
    <w:p>
      <w:pPr>
        <w:ind w:left="700" w:hanging="319"/>
        <w:spacing w:after="0"/>
        <w:tabs>
          <w:tab w:leader="none" w:pos="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include provisions for defining and funding Verizon Cloud marketing initiatives.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THERFORE, the Parties hereby agree to amend SOW No. 1 as follows:</w:t>
      </w:r>
    </w:p>
    <w:p>
      <w:pPr>
        <w:sectPr>
          <w:pgSz w:w="11900" w:h="16838" w:orient="portrait"/>
          <w:cols w:equalWidth="0" w:num="1">
            <w:col w:w="11240"/>
          </w:cols>
          <w:pgMar w:left="320" w:top="121" w:right="339" w:bottom="1440" w:gutter="0" w:footer="0" w:header="0"/>
        </w:sectPr>
      </w:pPr>
    </w:p>
    <w:bookmarkStart w:id="53" w:name="page54"/>
    <w:bookmarkEnd w:id="53"/>
    <w:p>
      <w:pPr>
        <w:spacing w:after="0" w:line="215"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Replace, entirely, the definitions of “Free Subscriber”, Paid Subscriber” and “[****]” in Section 1.2.1 (</w:t>
      </w:r>
      <w:r>
        <w:rPr>
          <w:rFonts w:ascii="Arial" w:cs="Arial" w:eastAsia="Arial" w:hAnsi="Arial"/>
          <w:sz w:val="19"/>
          <w:szCs w:val="19"/>
          <w:i w:val="1"/>
          <w:iCs w:val="1"/>
          <w:color w:val="auto"/>
        </w:rPr>
        <w:t>Definitions</w:t>
      </w:r>
      <w:r>
        <w:rPr>
          <w:rFonts w:ascii="Arial" w:cs="Arial" w:eastAsia="Arial" w:hAnsi="Arial"/>
          <w:sz w:val="19"/>
          <w:szCs w:val="19"/>
          <w:color w:val="auto"/>
        </w:rPr>
        <w:t>), of SOW No.</w:t>
      </w:r>
    </w:p>
    <w:p>
      <w:pPr>
        <w:spacing w:after="0" w:line="31" w:lineRule="exact"/>
        <w:rPr>
          <w:rFonts w:ascii="Arial" w:cs="Arial" w:eastAsia="Arial" w:hAnsi="Arial"/>
          <w:sz w:val="19"/>
          <w:szCs w:val="19"/>
          <w:b w:val="1"/>
          <w:bCs w:val="1"/>
          <w:color w:val="auto"/>
        </w:rPr>
      </w:pPr>
    </w:p>
    <w:p>
      <w:pPr>
        <w:ind w:left="340"/>
        <w:spacing w:after="0"/>
        <w:rPr>
          <w:rFonts w:ascii="Arial" w:cs="Arial" w:eastAsia="Arial" w:hAnsi="Arial"/>
          <w:sz w:val="19"/>
          <w:szCs w:val="19"/>
          <w:b w:val="1"/>
          <w:bCs w:val="1"/>
          <w:color w:val="auto"/>
        </w:rPr>
      </w:pPr>
      <w:r>
        <w:rPr>
          <w:rFonts w:ascii="Arial" w:cs="Arial" w:eastAsia="Arial" w:hAnsi="Arial"/>
          <w:sz w:val="20"/>
          <w:szCs w:val="20"/>
          <w:color w:val="auto"/>
        </w:rPr>
        <w:t>1 with the following:</w:t>
      </w:r>
    </w:p>
    <w:p>
      <w:pPr>
        <w:spacing w:after="0" w:line="218" w:lineRule="exact"/>
        <w:rPr>
          <w:rFonts w:ascii="Arial" w:cs="Arial" w:eastAsia="Arial" w:hAnsi="Arial"/>
          <w:sz w:val="19"/>
          <w:szCs w:val="19"/>
          <w:b w:val="1"/>
          <w:bCs w:val="1"/>
          <w:color w:val="auto"/>
        </w:rPr>
      </w:pPr>
    </w:p>
    <w:p>
      <w:pPr>
        <w:ind w:left="340"/>
        <w:spacing w:after="0" w:line="252" w:lineRule="auto"/>
        <w:rPr>
          <w:rFonts w:ascii="Arial" w:cs="Arial" w:eastAsia="Arial" w:hAnsi="Arial"/>
          <w:sz w:val="19"/>
          <w:szCs w:val="19"/>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Free Subscriber(s)</w:t>
      </w:r>
      <w:r>
        <w:rPr>
          <w:rFonts w:ascii="Arial" w:cs="Arial" w:eastAsia="Arial" w:hAnsi="Arial"/>
          <w:sz w:val="20"/>
          <w:szCs w:val="20"/>
          <w:color w:val="auto"/>
        </w:rPr>
        <w:t>” means a Subscriber to a Verizon Cloud offering that does [****] service fee and who is otherwise not [****.] Such Free Subscriber(s) includes but is not limited to:</w:t>
      </w:r>
    </w:p>
    <w:p>
      <w:pPr>
        <w:ind w:left="960" w:hanging="304"/>
        <w:spacing w:after="0"/>
        <w:tabs>
          <w:tab w:leader="none" w:pos="9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 Subscriber that [****] available to such Subscriber);</w:t>
      </w:r>
    </w:p>
    <w:p>
      <w:pPr>
        <w:ind w:left="960" w:hanging="304"/>
        <w:spacing w:after="0"/>
        <w:tabs>
          <w:tab w:leader="none" w:pos="9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 Subscriber that is a [****]. For clarity, [</w:t>
      </w:r>
      <w:r>
        <w:rPr>
          <w:rFonts w:ascii="Arial" w:cs="Arial" w:eastAsia="Arial" w:hAnsi="Arial"/>
          <w:sz w:val="20"/>
          <w:szCs w:val="20"/>
          <w:b w:val="1"/>
          <w:bCs w:val="1"/>
          <w:color w:val="auto"/>
        </w:rPr>
        <w:t>****]</w:t>
      </w:r>
      <w:r>
        <w:rPr>
          <w:rFonts w:ascii="Arial" w:cs="Arial" w:eastAsia="Arial" w:hAnsi="Arial"/>
          <w:sz w:val="20"/>
          <w:szCs w:val="20"/>
          <w:color w:val="auto"/>
        </w:rPr>
        <w:t xml:space="preserve"> includes a Subscriber [****];</w:t>
      </w:r>
    </w:p>
    <w:p>
      <w:pPr>
        <w:ind w:left="960" w:hanging="304"/>
        <w:spacing w:after="0"/>
        <w:tabs>
          <w:tab w:leader="none" w:pos="9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 [****] Subscriber who is eligible to [****];</w:t>
      </w:r>
    </w:p>
    <w:p>
      <w:pPr>
        <w:ind w:left="960" w:hanging="304"/>
        <w:spacing w:after="0"/>
        <w:tabs>
          <w:tab w:leader="none" w:pos="9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 Subscriber that is currently [****]; and</w:t>
      </w:r>
    </w:p>
    <w:p>
      <w:pPr>
        <w:ind w:left="980" w:right="8020" w:hanging="324"/>
        <w:spacing w:after="0" w:line="366" w:lineRule="auto"/>
        <w:tabs>
          <w:tab w:leader="none" w:pos="969" w:val="left"/>
        </w:tabs>
        <w:numPr>
          <w:ilvl w:val="1"/>
          <w:numId w:val="23"/>
        </w:numPr>
        <w:rPr>
          <w:rFonts w:ascii="Arial" w:cs="Arial" w:eastAsia="Arial" w:hAnsi="Arial"/>
          <w:sz w:val="20"/>
          <w:szCs w:val="20"/>
          <w:color w:val="auto"/>
        </w:rPr>
      </w:pPr>
      <w:r>
        <w:rPr>
          <w:rFonts w:ascii="Arial" w:cs="Arial" w:eastAsia="Arial" w:hAnsi="Arial"/>
          <w:sz w:val="20"/>
          <w:szCs w:val="20"/>
          <w:color w:val="auto"/>
        </w:rPr>
        <w:t>A Subscriber that is [****]. For clarity:</w:t>
      </w:r>
    </w:p>
    <w:p>
      <w:pPr>
        <w:ind w:left="1300" w:hanging="239"/>
        <w:spacing w:after="0" w:line="246" w:lineRule="auto"/>
        <w:tabs>
          <w:tab w:leader="none" w:pos="1288" w:val="left"/>
        </w:tabs>
        <w:numPr>
          <w:ilvl w:val="2"/>
          <w:numId w:val="23"/>
        </w:numPr>
        <w:rPr>
          <w:rFonts w:ascii="Arial" w:cs="Arial" w:eastAsia="Arial" w:hAnsi="Arial"/>
          <w:sz w:val="20"/>
          <w:szCs w:val="20"/>
          <w:color w:val="auto"/>
        </w:rPr>
      </w:pPr>
      <w:r>
        <w:rPr>
          <w:rFonts w:ascii="Arial" w:cs="Arial" w:eastAsia="Arial" w:hAnsi="Arial"/>
          <w:sz w:val="20"/>
          <w:szCs w:val="20"/>
          <w:color w:val="auto"/>
        </w:rPr>
        <w:t>an account profile of “</w:t>
      </w:r>
      <w:r>
        <w:rPr>
          <w:rFonts w:ascii="Arial" w:cs="Arial" w:eastAsia="Arial" w:hAnsi="Arial"/>
          <w:sz w:val="20"/>
          <w:szCs w:val="20"/>
          <w:b w:val="1"/>
          <w:bCs w:val="1"/>
          <w:color w:val="auto"/>
        </w:rPr>
        <w:t>Contacts</w:t>
      </w:r>
      <w:r>
        <w:rPr>
          <w:rFonts w:ascii="Arial" w:cs="Arial" w:eastAsia="Arial" w:hAnsi="Arial"/>
          <w:sz w:val="20"/>
          <w:szCs w:val="20"/>
          <w:color w:val="auto"/>
        </w:rPr>
        <w:t>” (a Data Class provided under the [****] Agreement) user only (with no [****] associated with the account) that does not pay a [****] fee shall not contribute to the Free Subscriber count.</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Paid Subscriber</w:t>
      </w:r>
      <w:r>
        <w:rPr>
          <w:rFonts w:ascii="Arial" w:cs="Arial" w:eastAsia="Arial" w:hAnsi="Arial"/>
          <w:sz w:val="20"/>
          <w:szCs w:val="20"/>
          <w:color w:val="auto"/>
        </w:rPr>
        <w:t>” means a Subscriber to Verizon Cloud where such Subscriber:</w:t>
      </w:r>
    </w:p>
    <w:p>
      <w:pPr>
        <w:spacing w:after="0" w:line="267" w:lineRule="exact"/>
        <w:rPr>
          <w:sz w:val="20"/>
          <w:szCs w:val="20"/>
          <w:color w:val="auto"/>
        </w:rPr>
      </w:pPr>
    </w:p>
    <w:p>
      <w:pPr>
        <w:ind w:left="960" w:hanging="304"/>
        <w:spacing w:after="0"/>
        <w:tabs>
          <w:tab w:leader="none" w:pos="9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is being billed by Verizon [****];</w:t>
      </w:r>
    </w:p>
    <w:p>
      <w:pPr>
        <w:spacing w:after="0" w:line="242" w:lineRule="exact"/>
        <w:rPr>
          <w:rFonts w:ascii="Arial" w:cs="Arial" w:eastAsia="Arial" w:hAnsi="Arial"/>
          <w:sz w:val="20"/>
          <w:szCs w:val="20"/>
          <w:color w:val="auto"/>
        </w:rPr>
      </w:pPr>
    </w:p>
    <w:p>
      <w:pPr>
        <w:ind w:left="980" w:right="20" w:hanging="324"/>
        <w:spacing w:after="0" w:line="246" w:lineRule="auto"/>
        <w:tabs>
          <w:tab w:leader="none" w:pos="969" w:val="left"/>
        </w:tabs>
        <w:numPr>
          <w:ilvl w:val="0"/>
          <w:numId w:val="24"/>
        </w:numPr>
        <w:rPr>
          <w:rFonts w:ascii="Arial" w:cs="Arial" w:eastAsia="Arial" w:hAnsi="Arial"/>
          <w:sz w:val="20"/>
          <w:szCs w:val="20"/>
          <w:color w:val="auto"/>
        </w:rPr>
      </w:pPr>
      <w:r>
        <w:rPr>
          <w:rFonts w:ascii="Arial" w:cs="Arial" w:eastAsia="Arial" w:hAnsi="Arial"/>
          <w:sz w:val="20"/>
          <w:szCs w:val="20"/>
          <w:color w:val="auto"/>
        </w:rPr>
        <w:t>is being billed by Verizon a service fee for [****] services [****] for the duration of the period for which the Subscriber is [****];</w:t>
      </w:r>
    </w:p>
    <w:p>
      <w:pPr>
        <w:spacing w:after="0" w:line="230" w:lineRule="exact"/>
        <w:rPr>
          <w:rFonts w:ascii="Arial" w:cs="Arial" w:eastAsia="Arial" w:hAnsi="Arial"/>
          <w:sz w:val="20"/>
          <w:szCs w:val="20"/>
          <w:color w:val="auto"/>
        </w:rPr>
      </w:pPr>
    </w:p>
    <w:p>
      <w:pPr>
        <w:ind w:left="980" w:hanging="324"/>
        <w:spacing w:after="0" w:line="246" w:lineRule="auto"/>
        <w:tabs>
          <w:tab w:leader="none" w:pos="983" w:val="left"/>
        </w:tabs>
        <w:numPr>
          <w:ilvl w:val="0"/>
          <w:numId w:val="24"/>
        </w:numPr>
        <w:rPr>
          <w:rFonts w:ascii="Arial" w:cs="Arial" w:eastAsia="Arial" w:hAnsi="Arial"/>
          <w:sz w:val="20"/>
          <w:szCs w:val="20"/>
          <w:color w:val="auto"/>
        </w:rPr>
      </w:pPr>
      <w:r>
        <w:rPr>
          <w:rFonts w:ascii="Arial" w:cs="Arial" w:eastAsia="Arial" w:hAnsi="Arial"/>
          <w:sz w:val="20"/>
          <w:szCs w:val="20"/>
          <w:color w:val="auto"/>
        </w:rPr>
        <w:t>is being billed by Verizon a fee for a [****] with a [****] profile associated with the account as well as such account containing [****].</w:t>
      </w:r>
    </w:p>
    <w:p>
      <w:pPr>
        <w:spacing w:after="0" w:line="231" w:lineRule="exact"/>
        <w:rPr>
          <w:sz w:val="20"/>
          <w:szCs w:val="20"/>
          <w:color w:val="auto"/>
        </w:rPr>
      </w:pPr>
    </w:p>
    <w:p>
      <w:pPr>
        <w:jc w:val="both"/>
        <w:ind w:left="340"/>
        <w:spacing w:after="0" w:line="243" w:lineRule="auto"/>
        <w:rPr>
          <w:sz w:val="20"/>
          <w:szCs w:val="20"/>
          <w:color w:val="auto"/>
        </w:rPr>
      </w:pPr>
      <w:r>
        <w:rPr>
          <w:rFonts w:ascii="Arial" w:cs="Arial" w:eastAsia="Arial" w:hAnsi="Arial"/>
          <w:sz w:val="20"/>
          <w:szCs w:val="20"/>
          <w:color w:val="auto"/>
        </w:rPr>
        <w:t>Verizon shall, each [****], provide Supplier with a list of each Subscriber charged a fee by Verizon for Verizon Cloud. For the avoidance of doubt, where a Subscriber is charged a fee by Verizon for Verizon Cloud, such Subscriber shall be deemed a Paid Subscriber.</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means a service plan, service profile or promotion whereby a fee paid by a Subscriber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Verizon and Synchronoss Proprietary and Confidential</w:t>
      </w:r>
    </w:p>
    <w:p>
      <w:pPr>
        <w:jc w:val="center"/>
        <w:spacing w:after="0" w:line="225" w:lineRule="auto"/>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w:t>
      </w:r>
      <w:r>
        <w:rPr>
          <w:rFonts w:ascii="Arial" w:cs="Arial" w:eastAsia="Arial" w:hAnsi="Arial"/>
          <w:sz w:val="14"/>
          <w:szCs w:val="14"/>
          <w:color w:val="auto"/>
        </w:rPr>
        <w:t xml:space="preserve"> of </w:t>
      </w:r>
      <w:r>
        <w:rPr>
          <w:rFonts w:ascii="Arial" w:cs="Arial" w:eastAsia="Arial" w:hAnsi="Arial"/>
          <w:sz w:val="14"/>
          <w:szCs w:val="14"/>
          <w:b w:val="1"/>
          <w:bCs w:val="1"/>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GDSVF&amp;H\5399877.1</w:t>
      </w:r>
    </w:p>
    <w:p>
      <w:pPr>
        <w:sectPr>
          <w:pgSz w:w="11900" w:h="16838" w:orient="portrait"/>
          <w:cols w:equalWidth="0" w:num="1">
            <w:col w:w="11240"/>
          </w:cols>
          <w:pgMar w:left="320" w:top="1440" w:right="339" w:bottom="1440" w:gutter="0" w:footer="0" w:header="0"/>
        </w:sectPr>
      </w:pPr>
    </w:p>
    <w:bookmarkStart w:id="54" w:name="page55"/>
    <w:bookmarkEnd w:id="54"/>
    <w:p>
      <w:pPr>
        <w:ind w:left="320" w:hanging="312"/>
        <w:spacing w:after="0"/>
        <w:tabs>
          <w:tab w:leader="none" w:pos="320" w:val="left"/>
        </w:tabs>
        <w:numPr>
          <w:ilvl w:val="0"/>
          <w:numId w:val="25"/>
        </w:numPr>
        <w:rPr>
          <w:rFonts w:ascii="Arial" w:cs="Arial" w:eastAsia="Arial" w:hAnsi="Arial"/>
          <w:sz w:val="20"/>
          <w:szCs w:val="20"/>
          <w:b w:val="1"/>
          <w:bCs w:val="1"/>
          <w:color w:val="1A1A1A"/>
        </w:rPr>
      </w:pPr>
      <w:r>
        <w:rPr>
          <w:rFonts w:ascii="Arial" w:cs="Arial" w:eastAsia="Arial" w:hAnsi="Arial"/>
          <w:sz w:val="20"/>
          <w:szCs w:val="20"/>
          <w:color w:val="1A1A1A"/>
        </w:rPr>
        <w:t>Replace the first through fourth sentences of Section 1.3 (Term) of SOW No. 1 in their entirety with the following:</w:t>
      </w:r>
    </w:p>
    <w:p>
      <w:pPr>
        <w:spacing w:after="0" w:line="242" w:lineRule="exact"/>
        <w:rPr>
          <w:rFonts w:ascii="Arial" w:cs="Arial" w:eastAsia="Arial" w:hAnsi="Arial"/>
          <w:sz w:val="20"/>
          <w:szCs w:val="20"/>
          <w:b w:val="1"/>
          <w:bCs w:val="1"/>
          <w:color w:val="1A1A1A"/>
        </w:rPr>
      </w:pPr>
    </w:p>
    <w:p>
      <w:pPr>
        <w:jc w:val="both"/>
        <w:ind w:left="340" w:right="20"/>
        <w:spacing w:after="0"/>
        <w:rPr>
          <w:rFonts w:ascii="Arial" w:cs="Arial" w:eastAsia="Arial" w:hAnsi="Arial"/>
          <w:sz w:val="20"/>
          <w:szCs w:val="20"/>
          <w:b w:val="1"/>
          <w:bCs w:val="1"/>
          <w:color w:val="1A1A1A"/>
        </w:rPr>
      </w:pPr>
      <w:r>
        <w:rPr>
          <w:rFonts w:ascii="Arial" w:cs="Arial" w:eastAsia="Arial" w:hAnsi="Arial"/>
          <w:sz w:val="20"/>
          <w:szCs w:val="20"/>
          <w:color w:val="auto"/>
        </w:rPr>
        <w:t>“This SOW is made and entered into as of the date of execution by the last signing Party, however takes retroactive effect to and including [****], and shall continue until [****] (the “</w:t>
      </w:r>
      <w:r>
        <w:rPr>
          <w:rFonts w:ascii="Arial" w:cs="Arial" w:eastAsia="Arial" w:hAnsi="Arial"/>
          <w:sz w:val="20"/>
          <w:szCs w:val="20"/>
          <w:b w:val="1"/>
          <w:bCs w:val="1"/>
          <w:color w:val="auto"/>
        </w:rPr>
        <w:t>Extended Term</w:t>
      </w:r>
      <w:r>
        <w:rPr>
          <w:rFonts w:ascii="Arial" w:cs="Arial" w:eastAsia="Arial" w:hAnsi="Arial"/>
          <w:sz w:val="20"/>
          <w:szCs w:val="20"/>
          <w:color w:val="auto"/>
        </w:rPr>
        <w:t>”). Thereafter, this SOW shall automatically renew for up to [****] periods (each, “</w:t>
      </w:r>
      <w:r>
        <w:rPr>
          <w:rFonts w:ascii="Arial" w:cs="Arial" w:eastAsia="Arial" w:hAnsi="Arial"/>
          <w:sz w:val="20"/>
          <w:szCs w:val="20"/>
          <w:b w:val="1"/>
          <w:bCs w:val="1"/>
          <w:color w:val="auto"/>
        </w:rPr>
        <w:t>Renewal Term</w:t>
      </w:r>
      <w:r>
        <w:rPr>
          <w:rFonts w:ascii="Arial" w:cs="Arial" w:eastAsia="Arial" w:hAnsi="Arial"/>
          <w:sz w:val="20"/>
          <w:szCs w:val="20"/>
          <w:color w:val="auto"/>
        </w:rPr>
        <w:t>”), unless (i) Verizon provides Synchronoss with written notice of its intent not to renew at least [****] prior to the end of the then-current Extended Term or Renewal Term or (ii) Synchronoss provides Verizon with written notice of its intent not to renew at least [****] prior to the end of the then-current Extended Term or Renewal Term, as the case may be (each such date, the applicable “</w:t>
      </w:r>
      <w:r>
        <w:rPr>
          <w:rFonts w:ascii="Arial" w:cs="Arial" w:eastAsia="Arial" w:hAnsi="Arial"/>
          <w:sz w:val="20"/>
          <w:szCs w:val="20"/>
          <w:b w:val="1"/>
          <w:bCs w:val="1"/>
          <w:color w:val="auto"/>
        </w:rPr>
        <w:t>Renewal Decision Date</w:t>
      </w:r>
      <w:r>
        <w:rPr>
          <w:rFonts w:ascii="Arial" w:cs="Arial" w:eastAsia="Arial" w:hAnsi="Arial"/>
          <w:sz w:val="20"/>
          <w:szCs w:val="20"/>
          <w:color w:val="auto"/>
        </w:rPr>
        <w:t>”). The “</w:t>
      </w:r>
      <w:r>
        <w:rPr>
          <w:rFonts w:ascii="Arial" w:cs="Arial" w:eastAsia="Arial" w:hAnsi="Arial"/>
          <w:sz w:val="20"/>
          <w:szCs w:val="20"/>
          <w:b w:val="1"/>
          <w:bCs w:val="1"/>
          <w:color w:val="auto"/>
        </w:rPr>
        <w:t>Term of this SOW</w:t>
      </w:r>
      <w:r>
        <w:rPr>
          <w:rFonts w:ascii="Arial" w:cs="Arial" w:eastAsia="Arial" w:hAnsi="Arial"/>
          <w:sz w:val="20"/>
          <w:szCs w:val="20"/>
          <w:color w:val="auto"/>
        </w:rPr>
        <w:t xml:space="preserve">” shall be the Extended Term, together with Renewal Term(s), if any. For the avoidance of doubt, the license term of the Software under </w:t>
      </w:r>
      <w:r>
        <w:rPr>
          <w:rFonts w:ascii="Arial" w:cs="Arial" w:eastAsia="Arial" w:hAnsi="Arial"/>
          <w:sz w:val="20"/>
          <w:szCs w:val="20"/>
          <w:u w:val="single" w:color="auto"/>
          <w:color w:val="auto"/>
        </w:rPr>
        <w:t>Section 5.2</w:t>
      </w:r>
      <w:r>
        <w:rPr>
          <w:rFonts w:ascii="Arial" w:cs="Arial" w:eastAsia="Arial" w:hAnsi="Arial"/>
          <w:sz w:val="20"/>
          <w:szCs w:val="20"/>
          <w:color w:val="auto"/>
        </w:rPr>
        <w:t xml:space="preserve"> of the Agreement shall be the Term of this SOW.”</w:t>
      </w:r>
    </w:p>
    <w:p>
      <w:pPr>
        <w:spacing w:after="0" w:line="225" w:lineRule="exact"/>
        <w:rPr>
          <w:rFonts w:ascii="Arial" w:cs="Arial" w:eastAsia="Arial" w:hAnsi="Arial"/>
          <w:sz w:val="20"/>
          <w:szCs w:val="20"/>
          <w:b w:val="1"/>
          <w:bCs w:val="1"/>
          <w:color w:val="1A1A1A"/>
        </w:rPr>
      </w:pPr>
    </w:p>
    <w:p>
      <w:pPr>
        <w:ind w:left="320" w:hanging="312"/>
        <w:spacing w:after="0"/>
        <w:tabs>
          <w:tab w:leader="none" w:pos="320" w:val="left"/>
        </w:tabs>
        <w:numPr>
          <w:ilvl w:val="0"/>
          <w:numId w:val="25"/>
        </w:numPr>
        <w:rPr>
          <w:rFonts w:ascii="Arial" w:cs="Arial" w:eastAsia="Arial" w:hAnsi="Arial"/>
          <w:sz w:val="20"/>
          <w:szCs w:val="20"/>
          <w:b w:val="1"/>
          <w:bCs w:val="1"/>
          <w:color w:val="1A1A1A"/>
        </w:rPr>
      </w:pPr>
      <w:r>
        <w:rPr>
          <w:rFonts w:ascii="Arial" w:cs="Arial" w:eastAsia="Arial" w:hAnsi="Arial"/>
          <w:sz w:val="20"/>
          <w:szCs w:val="20"/>
          <w:color w:val="1A1A1A"/>
        </w:rPr>
        <w:t>Effective as of [****], Section 4 (Fees and Charges) of SOW No. 1, as amended, is modified as follows:</w:t>
      </w:r>
    </w:p>
    <w:p>
      <w:pPr>
        <w:spacing w:after="0" w:line="218" w:lineRule="exact"/>
        <w:rPr>
          <w:rFonts w:ascii="Arial" w:cs="Arial" w:eastAsia="Arial" w:hAnsi="Arial"/>
          <w:sz w:val="20"/>
          <w:szCs w:val="20"/>
          <w:b w:val="1"/>
          <w:bCs w:val="1"/>
          <w:color w:val="1A1A1A"/>
        </w:rPr>
      </w:pPr>
    </w:p>
    <w:p>
      <w:pPr>
        <w:ind w:left="340"/>
        <w:spacing w:after="0"/>
        <w:rPr>
          <w:rFonts w:ascii="Arial" w:cs="Arial" w:eastAsia="Arial" w:hAnsi="Arial"/>
          <w:sz w:val="20"/>
          <w:szCs w:val="20"/>
          <w:b w:val="1"/>
          <w:bCs w:val="1"/>
          <w:color w:val="1A1A1A"/>
        </w:rPr>
      </w:pPr>
      <w:r>
        <w:rPr>
          <w:rFonts w:ascii="Arial" w:cs="Arial" w:eastAsia="Arial" w:hAnsi="Arial"/>
          <w:sz w:val="20"/>
          <w:szCs w:val="20"/>
          <w:color w:val="auto"/>
        </w:rPr>
        <w:t>“</w:t>
      </w:r>
      <w:r>
        <w:rPr>
          <w:rFonts w:ascii="Arial" w:cs="Arial" w:eastAsia="Arial" w:hAnsi="Arial"/>
          <w:sz w:val="20"/>
          <w:szCs w:val="20"/>
          <w:b w:val="1"/>
          <w:bCs w:val="1"/>
          <w:color w:val="auto"/>
        </w:rPr>
        <w:t>4.   Fees and Charges</w:t>
      </w:r>
    </w:p>
    <w:p>
      <w:pPr>
        <w:spacing w:after="0" w:line="23" w:lineRule="exact"/>
        <w:rPr>
          <w:rFonts w:ascii="Arial" w:cs="Arial" w:eastAsia="Arial" w:hAnsi="Arial"/>
          <w:sz w:val="20"/>
          <w:szCs w:val="20"/>
          <w:b w:val="1"/>
          <w:bCs w:val="1"/>
          <w:color w:val="1A1A1A"/>
        </w:rPr>
      </w:pPr>
    </w:p>
    <w:p>
      <w:pPr>
        <w:ind w:left="340"/>
        <w:spacing w:after="0"/>
        <w:rPr>
          <w:rFonts w:ascii="Arial" w:cs="Arial" w:eastAsia="Arial" w:hAnsi="Arial"/>
          <w:sz w:val="20"/>
          <w:szCs w:val="20"/>
          <w:b w:val="1"/>
          <w:bCs w:val="1"/>
          <w:color w:val="1A1A1A"/>
        </w:rPr>
      </w:pPr>
      <w:r>
        <w:rPr>
          <w:rFonts w:ascii="Arial" w:cs="Arial" w:eastAsia="Arial" w:hAnsi="Arial"/>
          <w:sz w:val="20"/>
          <w:szCs w:val="20"/>
          <w:b w:val="1"/>
          <w:bCs w:val="1"/>
          <w:color w:val="auto"/>
        </w:rPr>
        <w:t>4.1   Fees and Charges</w:t>
      </w:r>
    </w:p>
    <w:p>
      <w:pPr>
        <w:spacing w:after="0" w:line="242" w:lineRule="exact"/>
        <w:rPr>
          <w:rFonts w:ascii="Arial" w:cs="Arial" w:eastAsia="Arial" w:hAnsi="Arial"/>
          <w:sz w:val="20"/>
          <w:szCs w:val="20"/>
          <w:b w:val="1"/>
          <w:bCs w:val="1"/>
          <w:color w:val="1A1A1A"/>
        </w:rPr>
      </w:pPr>
    </w:p>
    <w:p>
      <w:pPr>
        <w:jc w:val="both"/>
        <w:ind w:left="340"/>
        <w:spacing w:after="0" w:line="241" w:lineRule="auto"/>
        <w:rPr>
          <w:rFonts w:ascii="Arial" w:cs="Arial" w:eastAsia="Arial" w:hAnsi="Arial"/>
          <w:sz w:val="20"/>
          <w:szCs w:val="20"/>
          <w:b w:val="1"/>
          <w:bCs w:val="1"/>
          <w:color w:val="1A1A1A"/>
        </w:rPr>
      </w:pPr>
      <w:r>
        <w:rPr>
          <w:rFonts w:ascii="Arial" w:cs="Arial" w:eastAsia="Arial" w:hAnsi="Arial"/>
          <w:sz w:val="20"/>
          <w:szCs w:val="20"/>
          <w:color w:val="auto"/>
        </w:rPr>
        <w:t>The fees outlined herein cover the items listed in this SOW No.1. Any additional Deliverables not expressly stated shall require a separate Change Request or statement of work with terms and conditions agreed upon by the Parties. Fees shall be invoiced and paid in accordance with the Agreement and the fee schedule outlined below. Fees under this SOW No. 1 exclude applicable taxes.</w:t>
      </w:r>
    </w:p>
    <w:p>
      <w:pPr>
        <w:spacing w:after="0" w:line="237" w:lineRule="exact"/>
        <w:rPr>
          <w:rFonts w:ascii="Arial" w:cs="Arial" w:eastAsia="Arial" w:hAnsi="Arial"/>
          <w:sz w:val="20"/>
          <w:szCs w:val="20"/>
          <w:b w:val="1"/>
          <w:bCs w:val="1"/>
          <w:color w:val="1A1A1A"/>
        </w:rPr>
      </w:pPr>
    </w:p>
    <w:p>
      <w:pPr>
        <w:ind w:left="340"/>
        <w:spacing w:after="0" w:line="246" w:lineRule="auto"/>
        <w:rPr>
          <w:rFonts w:ascii="Arial" w:cs="Arial" w:eastAsia="Arial" w:hAnsi="Arial"/>
          <w:sz w:val="20"/>
          <w:szCs w:val="20"/>
          <w:b w:val="1"/>
          <w:bCs w:val="1"/>
          <w:color w:val="1A1A1A"/>
        </w:rPr>
      </w:pPr>
      <w:r>
        <w:rPr>
          <w:rFonts w:ascii="Arial" w:cs="Arial" w:eastAsia="Arial" w:hAnsi="Arial"/>
          <w:sz w:val="20"/>
          <w:szCs w:val="20"/>
          <w:color w:val="auto"/>
        </w:rPr>
        <w:t>Use of the [****] Solution [****] by a given Subscriber within the [****] shall be considered [****], regardless of how [****] are [****] to interact through the [****] Solution. [****] alone by the Subscriber shall not be sufficient to consider the [****].</w:t>
      </w:r>
    </w:p>
    <w:p>
      <w:pPr>
        <w:spacing w:after="0" w:line="206" w:lineRule="exact"/>
        <w:rPr>
          <w:rFonts w:ascii="Arial" w:cs="Arial" w:eastAsia="Arial" w:hAnsi="Arial"/>
          <w:sz w:val="20"/>
          <w:szCs w:val="20"/>
          <w:b w:val="1"/>
          <w:bCs w:val="1"/>
          <w:color w:val="1A1A1A"/>
        </w:rPr>
      </w:pPr>
    </w:p>
    <w:p>
      <w:pPr>
        <w:ind w:left="340"/>
        <w:spacing w:after="0"/>
        <w:rPr>
          <w:rFonts w:ascii="Arial" w:cs="Arial" w:eastAsia="Arial" w:hAnsi="Arial"/>
          <w:sz w:val="20"/>
          <w:szCs w:val="20"/>
          <w:b w:val="1"/>
          <w:bCs w:val="1"/>
          <w:color w:val="1A1A1A"/>
        </w:rPr>
      </w:pPr>
      <w:r>
        <w:rPr>
          <w:rFonts w:ascii="Arial" w:cs="Arial" w:eastAsia="Arial" w:hAnsi="Arial"/>
          <w:sz w:val="20"/>
          <w:szCs w:val="20"/>
          <w:b w:val="1"/>
          <w:bCs w:val="1"/>
          <w:color w:val="auto"/>
        </w:rPr>
        <w:t>4.2   **** Software Subscription License Fee</w:t>
      </w:r>
    </w:p>
    <w:p>
      <w:pPr>
        <w:spacing w:after="0" w:line="266" w:lineRule="exact"/>
        <w:rPr>
          <w:rFonts w:ascii="Arial" w:cs="Arial" w:eastAsia="Arial" w:hAnsi="Arial"/>
          <w:sz w:val="20"/>
          <w:szCs w:val="20"/>
          <w:b w:val="1"/>
          <w:bCs w:val="1"/>
          <w:color w:val="1A1A1A"/>
        </w:rPr>
      </w:pPr>
    </w:p>
    <w:p>
      <w:pPr>
        <w:jc w:val="both"/>
        <w:ind w:left="340" w:hanging="8"/>
        <w:spacing w:after="0" w:line="241" w:lineRule="auto"/>
        <w:tabs>
          <w:tab w:leader="none" w:pos="888" w:val="left"/>
        </w:tabs>
        <w:numPr>
          <w:ilvl w:val="1"/>
          <w:numId w:val="25"/>
        </w:numPr>
        <w:rPr>
          <w:rFonts w:ascii="Arial" w:cs="Arial" w:eastAsia="Arial" w:hAnsi="Arial"/>
          <w:sz w:val="20"/>
          <w:szCs w:val="20"/>
          <w:color w:val="auto"/>
        </w:rPr>
      </w:pPr>
      <w:r>
        <w:rPr>
          <w:rFonts w:ascii="Arial" w:cs="Arial" w:eastAsia="Arial" w:hAnsi="Arial"/>
          <w:sz w:val="20"/>
          <w:szCs w:val="20"/>
          <w:color w:val="auto"/>
        </w:rPr>
        <w:t xml:space="preserve">Beginning on [****], Verizon shall pay a [****] fee for Subscribers, by type of Subscriber (based on such Subscriber being a Paid Subscriber or Free Subscriber [****]) and the ‘year’ of the Term of this SOW as set forth in </w:t>
      </w:r>
      <w:r>
        <w:rPr>
          <w:rFonts w:ascii="Arial" w:cs="Arial" w:eastAsia="Arial" w:hAnsi="Arial"/>
          <w:sz w:val="20"/>
          <w:szCs w:val="20"/>
          <w:u w:val="single" w:color="auto"/>
          <w:color w:val="auto"/>
        </w:rPr>
        <w:t>Table 4.2a</w:t>
      </w:r>
      <w:r>
        <w:rPr>
          <w:rFonts w:ascii="Arial" w:cs="Arial" w:eastAsia="Arial" w:hAnsi="Arial"/>
          <w:sz w:val="20"/>
          <w:szCs w:val="20"/>
          <w:color w:val="auto"/>
        </w:rPr>
        <w:t xml:space="preserve"> below. At the sole discretion of Verizon, Verizon will install (or have a third party install) the Client Software for the [****] Solution on Devices made commercially available by Verizon.</w:t>
      </w:r>
    </w:p>
    <w:p>
      <w:pPr>
        <w:spacing w:after="0" w:line="213" w:lineRule="exact"/>
        <w:rPr>
          <w:rFonts w:ascii="Arial" w:cs="Arial" w:eastAsia="Arial" w:hAnsi="Arial"/>
          <w:sz w:val="20"/>
          <w:szCs w:val="20"/>
          <w:color w:val="auto"/>
        </w:rPr>
      </w:pPr>
    </w:p>
    <w:p>
      <w:pPr>
        <w:ind w:left="800" w:hanging="468"/>
        <w:spacing w:after="0"/>
        <w:tabs>
          <w:tab w:leader="none" w:pos="8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 Subscription License Fee</w:t>
      </w:r>
      <w:r>
        <w:rPr>
          <w:rFonts w:ascii="Arial" w:cs="Arial" w:eastAsia="Arial" w:hAnsi="Arial"/>
          <w:sz w:val="20"/>
          <w:szCs w:val="20"/>
          <w:color w:val="auto"/>
        </w:rPr>
        <w:t>” shall be paid by Verizon to Supplier [****]in arrears as follows: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Table 4.2a</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1280" w:type="dxa"/>
            <w:vAlign w:val="bottom"/>
            <w:tcBorders>
              <w:top w:val="single" w:sz="8" w:color="auto"/>
              <w:left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0"/>
                <w:szCs w:val="20"/>
                <w:color w:val="auto"/>
              </w:rPr>
              <w:t>[****]</w:t>
            </w:r>
          </w:p>
        </w:tc>
        <w:tc>
          <w:tcPr>
            <w:tcW w:w="2300" w:type="dxa"/>
            <w:vAlign w:val="bottom"/>
            <w:tcBorders>
              <w:top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20"/>
                <w:szCs w:val="20"/>
                <w:color w:val="auto"/>
                <w:w w:val="99"/>
              </w:rPr>
              <w:t>Price per month per Paid</w:t>
            </w:r>
          </w:p>
        </w:tc>
        <w:tc>
          <w:tcPr>
            <w:tcW w:w="2500" w:type="dxa"/>
            <w:vAlign w:val="bottom"/>
            <w:tcBorders>
              <w:top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0"/>
                <w:szCs w:val="20"/>
                <w:color w:val="auto"/>
              </w:rPr>
              <w:t>Minimum number of Billed</w:t>
            </w:r>
          </w:p>
        </w:tc>
        <w:tc>
          <w:tcPr>
            <w:tcW w:w="2540" w:type="dxa"/>
            <w:vAlign w:val="bottom"/>
            <w:tcBorders>
              <w:top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0"/>
                <w:szCs w:val="20"/>
                <w:color w:val="auto"/>
              </w:rPr>
              <w:t>Number of Free</w:t>
            </w:r>
          </w:p>
        </w:tc>
        <w:tc>
          <w:tcPr>
            <w:tcW w:w="2420" w:type="dxa"/>
            <w:vAlign w:val="bottom"/>
            <w:tcBorders>
              <w:top w:val="single" w:sz="8" w:color="auto"/>
              <w:right w:val="single" w:sz="8" w:color="auto"/>
            </w:tcBorders>
            <w:shd w:val="clear" w:color="auto" w:fill="D9D9D9"/>
          </w:tcPr>
          <w:p>
            <w:pPr>
              <w:spacing w:after="0"/>
              <w:rPr>
                <w:sz w:val="20"/>
                <w:szCs w:val="20"/>
                <w:color w:val="auto"/>
              </w:rPr>
            </w:pPr>
            <w:r>
              <w:rPr>
                <w:rFonts w:ascii="Arial" w:cs="Arial" w:eastAsia="Arial" w:hAnsi="Arial"/>
                <w:sz w:val="20"/>
                <w:szCs w:val="20"/>
                <w:color w:val="auto"/>
              </w:rPr>
              <w:t>Price per month per Free</w:t>
            </w:r>
          </w:p>
        </w:tc>
        <w:tc>
          <w:tcPr>
            <w:tcW w:w="0" w:type="dxa"/>
            <w:vAlign w:val="bottom"/>
          </w:tcPr>
          <w:p>
            <w:pPr>
              <w:spacing w:after="0"/>
              <w:rPr>
                <w:sz w:val="1"/>
                <w:szCs w:val="1"/>
                <w:color w:val="auto"/>
              </w:rPr>
            </w:pPr>
          </w:p>
        </w:tc>
      </w:tr>
      <w:tr>
        <w:trPr>
          <w:trHeight w:val="230"/>
        </w:trPr>
        <w:tc>
          <w:tcPr>
            <w:tcW w:w="1280" w:type="dxa"/>
            <w:vAlign w:val="bottom"/>
            <w:tcBorders>
              <w:left w:val="single" w:sz="8" w:color="auto"/>
              <w:right w:val="single" w:sz="8" w:color="auto"/>
            </w:tcBorders>
            <w:shd w:val="clear" w:color="auto" w:fill="D9D9D9"/>
          </w:tcPr>
          <w:p>
            <w:pPr>
              <w:spacing w:after="0"/>
              <w:rPr>
                <w:sz w:val="19"/>
                <w:szCs w:val="19"/>
                <w:color w:val="auto"/>
              </w:rPr>
            </w:pPr>
          </w:p>
        </w:tc>
        <w:tc>
          <w:tcPr>
            <w:tcW w:w="2300" w:type="dxa"/>
            <w:vAlign w:val="bottom"/>
            <w:tcBorders>
              <w:right w:val="single" w:sz="8" w:color="auto"/>
            </w:tcBorders>
            <w:shd w:val="clear" w:color="auto" w:fill="D9D9D9"/>
          </w:tcPr>
          <w:p>
            <w:pPr>
              <w:ind w:left="60"/>
              <w:spacing w:after="0"/>
              <w:rPr>
                <w:sz w:val="20"/>
                <w:szCs w:val="20"/>
                <w:color w:val="auto"/>
              </w:rPr>
            </w:pPr>
            <w:r>
              <w:rPr>
                <w:rFonts w:ascii="Arial" w:cs="Arial" w:eastAsia="Arial" w:hAnsi="Arial"/>
                <w:sz w:val="20"/>
                <w:szCs w:val="20"/>
                <w:color w:val="auto"/>
              </w:rPr>
              <w:t>Subscribers from 1 –</w:t>
            </w:r>
          </w:p>
        </w:tc>
        <w:tc>
          <w:tcPr>
            <w:tcW w:w="2500" w:type="dxa"/>
            <w:vAlign w:val="bottom"/>
            <w:tcBorders>
              <w:right w:val="single" w:sz="8" w:color="auto"/>
            </w:tcBorders>
            <w:shd w:val="clear" w:color="auto" w:fill="D9D9D9"/>
          </w:tcPr>
          <w:p>
            <w:pPr>
              <w:ind w:left="20"/>
              <w:spacing w:after="0"/>
              <w:rPr>
                <w:sz w:val="20"/>
                <w:szCs w:val="20"/>
                <w:color w:val="auto"/>
              </w:rPr>
            </w:pPr>
            <w:r>
              <w:rPr>
                <w:rFonts w:ascii="Arial" w:cs="Arial" w:eastAsia="Arial" w:hAnsi="Arial"/>
                <w:sz w:val="20"/>
                <w:szCs w:val="20"/>
                <w:color w:val="auto"/>
              </w:rPr>
              <w:t>Subscribers required in</w:t>
            </w:r>
          </w:p>
        </w:tc>
        <w:tc>
          <w:tcPr>
            <w:tcW w:w="2540" w:type="dxa"/>
            <w:vAlign w:val="bottom"/>
            <w:tcBorders>
              <w:right w:val="single" w:sz="8" w:color="auto"/>
            </w:tcBorders>
            <w:shd w:val="clear" w:color="auto" w:fill="D9D9D9"/>
          </w:tcPr>
          <w:p>
            <w:pPr>
              <w:ind w:left="40"/>
              <w:spacing w:after="0"/>
              <w:rPr>
                <w:sz w:val="20"/>
                <w:szCs w:val="20"/>
                <w:color w:val="auto"/>
              </w:rPr>
            </w:pPr>
            <w:r>
              <w:rPr>
                <w:rFonts w:ascii="Arial" w:cs="Arial" w:eastAsia="Arial" w:hAnsi="Arial"/>
                <w:sz w:val="20"/>
                <w:szCs w:val="20"/>
                <w:color w:val="auto"/>
              </w:rPr>
              <w:t>Subscribers included in</w:t>
            </w:r>
          </w:p>
        </w:tc>
        <w:tc>
          <w:tcPr>
            <w:tcW w:w="2420" w:type="dxa"/>
            <w:vAlign w:val="bottom"/>
            <w:tcBorders>
              <w:right w:val="single" w:sz="8" w:color="auto"/>
            </w:tcBorders>
            <w:shd w:val="clear" w:color="auto" w:fill="D9D9D9"/>
          </w:tcPr>
          <w:p>
            <w:pPr>
              <w:spacing w:after="0"/>
              <w:rPr>
                <w:sz w:val="20"/>
                <w:szCs w:val="20"/>
                <w:color w:val="auto"/>
              </w:rPr>
            </w:pPr>
            <w:r>
              <w:rPr>
                <w:rFonts w:ascii="Arial" w:cs="Arial" w:eastAsia="Arial" w:hAnsi="Arial"/>
                <w:sz w:val="20"/>
                <w:szCs w:val="20"/>
                <w:color w:val="auto"/>
              </w:rPr>
              <w:t>Subscriber for each Free</w:t>
            </w:r>
          </w:p>
        </w:tc>
        <w:tc>
          <w:tcPr>
            <w:tcW w:w="0" w:type="dxa"/>
            <w:vAlign w:val="bottom"/>
          </w:tcPr>
          <w:p>
            <w:pPr>
              <w:spacing w:after="0"/>
              <w:rPr>
                <w:sz w:val="1"/>
                <w:szCs w:val="1"/>
                <w:color w:val="auto"/>
              </w:rPr>
            </w:pPr>
          </w:p>
        </w:tc>
      </w:tr>
      <w:tr>
        <w:trPr>
          <w:trHeight w:val="205"/>
        </w:trPr>
        <w:tc>
          <w:tcPr>
            <w:tcW w:w="1280" w:type="dxa"/>
            <w:vAlign w:val="bottom"/>
            <w:tcBorders>
              <w:left w:val="single" w:sz="8" w:color="auto"/>
              <w:right w:val="single" w:sz="8" w:color="auto"/>
            </w:tcBorders>
            <w:shd w:val="clear" w:color="auto" w:fill="D9D9D9"/>
          </w:tcPr>
          <w:p>
            <w:pPr>
              <w:spacing w:after="0"/>
              <w:rPr>
                <w:sz w:val="17"/>
                <w:szCs w:val="17"/>
                <w:color w:val="auto"/>
              </w:rPr>
            </w:pPr>
          </w:p>
        </w:tc>
        <w:tc>
          <w:tcPr>
            <w:tcW w:w="2300" w:type="dxa"/>
            <w:vAlign w:val="bottom"/>
            <w:tcBorders>
              <w:right w:val="single" w:sz="8" w:color="auto"/>
            </w:tcBorders>
            <w:shd w:val="clear" w:color="auto" w:fill="D9D9D9"/>
          </w:tcPr>
          <w:p>
            <w:pPr>
              <w:ind w:left="60"/>
              <w:spacing w:after="0" w:line="206" w:lineRule="exact"/>
              <w:rPr>
                <w:sz w:val="20"/>
                <w:szCs w:val="20"/>
                <w:color w:val="auto"/>
              </w:rPr>
            </w:pPr>
            <w:r>
              <w:rPr>
                <w:rFonts w:ascii="Arial" w:cs="Arial" w:eastAsia="Arial" w:hAnsi="Arial"/>
                <w:sz w:val="20"/>
                <w:szCs w:val="20"/>
                <w:color w:val="auto"/>
              </w:rPr>
              <w:t>[****] for the Year (the</w:t>
            </w:r>
          </w:p>
        </w:tc>
        <w:tc>
          <w:tcPr>
            <w:tcW w:w="2500" w:type="dxa"/>
            <w:vAlign w:val="bottom"/>
            <w:tcBorders>
              <w:right w:val="single" w:sz="8" w:color="auto"/>
            </w:tcBorders>
            <w:shd w:val="clear" w:color="auto" w:fill="D9D9D9"/>
          </w:tcPr>
          <w:p>
            <w:pPr>
              <w:ind w:left="20"/>
              <w:spacing w:after="0" w:line="206" w:lineRule="exact"/>
              <w:rPr>
                <w:sz w:val="20"/>
                <w:szCs w:val="20"/>
                <w:color w:val="auto"/>
              </w:rPr>
            </w:pPr>
            <w:r>
              <w:rPr>
                <w:rFonts w:ascii="Arial" w:cs="Arial" w:eastAsia="Arial" w:hAnsi="Arial"/>
                <w:sz w:val="20"/>
                <w:szCs w:val="20"/>
                <w:color w:val="auto"/>
              </w:rPr>
              <w:t>each month of the Year</w:t>
            </w:r>
          </w:p>
        </w:tc>
        <w:tc>
          <w:tcPr>
            <w:tcW w:w="2540" w:type="dxa"/>
            <w:vAlign w:val="bottom"/>
            <w:tcBorders>
              <w:right w:val="single" w:sz="8" w:color="auto"/>
            </w:tcBorders>
            <w:shd w:val="clear" w:color="auto" w:fill="D9D9D9"/>
          </w:tcPr>
          <w:p>
            <w:pPr>
              <w:ind w:left="40"/>
              <w:spacing w:after="0" w:line="206" w:lineRule="exact"/>
              <w:rPr>
                <w:sz w:val="20"/>
                <w:szCs w:val="20"/>
                <w:color w:val="auto"/>
              </w:rPr>
            </w:pPr>
            <w:r>
              <w:rPr>
                <w:rFonts w:ascii="Arial" w:cs="Arial" w:eastAsia="Arial" w:hAnsi="Arial"/>
                <w:sz w:val="20"/>
                <w:szCs w:val="20"/>
                <w:color w:val="auto"/>
              </w:rPr>
              <w:t>Billed Sub Minimum each</w:t>
            </w:r>
          </w:p>
        </w:tc>
        <w:tc>
          <w:tcPr>
            <w:tcW w:w="2420" w:type="dxa"/>
            <w:vAlign w:val="bottom"/>
            <w:tcBorders>
              <w:right w:val="single" w:sz="8" w:color="auto"/>
            </w:tcBorders>
            <w:vMerge w:val="restart"/>
            <w:shd w:val="clear" w:color="auto" w:fill="D9D9D9"/>
          </w:tcPr>
          <w:p>
            <w:pPr>
              <w:spacing w:after="0"/>
              <w:rPr>
                <w:sz w:val="20"/>
                <w:szCs w:val="20"/>
                <w:color w:val="auto"/>
              </w:rPr>
            </w:pPr>
            <w:r>
              <w:rPr>
                <w:rFonts w:ascii="Arial" w:cs="Arial" w:eastAsia="Arial" w:hAnsi="Arial"/>
                <w:sz w:val="20"/>
                <w:szCs w:val="20"/>
                <w:color w:val="auto"/>
              </w:rPr>
              <w:t>Subscriber above the Free</w:t>
            </w:r>
          </w:p>
        </w:tc>
        <w:tc>
          <w:tcPr>
            <w:tcW w:w="0" w:type="dxa"/>
            <w:vAlign w:val="bottom"/>
          </w:tcPr>
          <w:p>
            <w:pPr>
              <w:spacing w:after="0"/>
              <w:rPr>
                <w:sz w:val="1"/>
                <w:szCs w:val="1"/>
                <w:color w:val="auto"/>
              </w:rPr>
            </w:pPr>
          </w:p>
        </w:tc>
      </w:tr>
      <w:tr>
        <w:trPr>
          <w:trHeight w:val="99"/>
        </w:trPr>
        <w:tc>
          <w:tcPr>
            <w:tcW w:w="1280" w:type="dxa"/>
            <w:vAlign w:val="bottom"/>
            <w:tcBorders>
              <w:left w:val="single" w:sz="8" w:color="auto"/>
              <w:right w:val="single" w:sz="8" w:color="auto"/>
            </w:tcBorders>
            <w:shd w:val="clear" w:color="auto" w:fill="D9D9D9"/>
          </w:tcPr>
          <w:p>
            <w:pPr>
              <w:spacing w:after="0"/>
              <w:rPr>
                <w:sz w:val="8"/>
                <w:szCs w:val="8"/>
                <w:color w:val="auto"/>
              </w:rPr>
            </w:pPr>
          </w:p>
        </w:tc>
        <w:tc>
          <w:tcPr>
            <w:tcW w:w="2300" w:type="dxa"/>
            <w:vAlign w:val="bottom"/>
            <w:tcBorders>
              <w:right w:val="single" w:sz="8" w:color="auto"/>
            </w:tcBorders>
            <w:vMerge w:val="restart"/>
            <w:shd w:val="clear" w:color="auto" w:fill="D9D9D9"/>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Paid Sub Fee</w:t>
            </w:r>
            <w:r>
              <w:rPr>
                <w:rFonts w:ascii="Arial" w:cs="Arial" w:eastAsia="Arial" w:hAnsi="Arial"/>
                <w:sz w:val="20"/>
                <w:szCs w:val="20"/>
                <w:color w:val="auto"/>
              </w:rPr>
              <w:t>”)</w:t>
            </w:r>
          </w:p>
        </w:tc>
        <w:tc>
          <w:tcPr>
            <w:tcW w:w="2500" w:type="dxa"/>
            <w:vAlign w:val="bottom"/>
            <w:tcBorders>
              <w:right w:val="single" w:sz="8" w:color="auto"/>
            </w:tcBorders>
            <w:vMerge w:val="restart"/>
            <w:shd w:val="clear" w:color="auto" w:fill="D9D9D9"/>
          </w:tcPr>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Billed Sub Minimum</w:t>
            </w:r>
            <w:r>
              <w:rPr>
                <w:rFonts w:ascii="Arial" w:cs="Arial" w:eastAsia="Arial" w:hAnsi="Arial"/>
                <w:sz w:val="20"/>
                <w:szCs w:val="20"/>
                <w:color w:val="auto"/>
              </w:rPr>
              <w:t>”)</w:t>
            </w:r>
          </w:p>
        </w:tc>
        <w:tc>
          <w:tcPr>
            <w:tcW w:w="2540" w:type="dxa"/>
            <w:vAlign w:val="bottom"/>
            <w:tcBorders>
              <w:right w:val="single" w:sz="8" w:color="auto"/>
            </w:tcBorders>
            <w:vMerge w:val="restart"/>
            <w:shd w:val="clear" w:color="auto" w:fill="D9D9D9"/>
          </w:tcPr>
          <w:p>
            <w:pPr>
              <w:ind w:left="40"/>
              <w:spacing w:after="0"/>
              <w:rPr>
                <w:sz w:val="20"/>
                <w:szCs w:val="20"/>
                <w:color w:val="auto"/>
              </w:rPr>
            </w:pPr>
            <w:r>
              <w:rPr>
                <w:rFonts w:ascii="Arial" w:cs="Arial" w:eastAsia="Arial" w:hAnsi="Arial"/>
                <w:sz w:val="20"/>
                <w:szCs w:val="20"/>
                <w:color w:val="auto"/>
              </w:rPr>
              <w:t>month (“</w:t>
            </w:r>
            <w:r>
              <w:rPr>
                <w:rFonts w:ascii="Arial" w:cs="Arial" w:eastAsia="Arial" w:hAnsi="Arial"/>
                <w:sz w:val="20"/>
                <w:szCs w:val="20"/>
                <w:b w:val="1"/>
                <w:bCs w:val="1"/>
                <w:color w:val="auto"/>
              </w:rPr>
              <w:t>Free Sub</w:t>
            </w:r>
          </w:p>
        </w:tc>
        <w:tc>
          <w:tcPr>
            <w:tcW w:w="242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shd w:val="clear" w:color="auto" w:fill="D9D9D9"/>
          </w:tcPr>
          <w:p>
            <w:pPr>
              <w:spacing w:after="0"/>
              <w:rPr>
                <w:sz w:val="11"/>
                <w:szCs w:val="11"/>
                <w:color w:val="auto"/>
              </w:rPr>
            </w:pPr>
          </w:p>
        </w:tc>
        <w:tc>
          <w:tcPr>
            <w:tcW w:w="2300" w:type="dxa"/>
            <w:vAlign w:val="bottom"/>
            <w:tcBorders>
              <w:right w:val="single" w:sz="8" w:color="auto"/>
            </w:tcBorders>
            <w:vMerge w:val="continue"/>
            <w:shd w:val="clear" w:color="auto" w:fill="D9D9D9"/>
          </w:tcPr>
          <w:p>
            <w:pPr>
              <w:spacing w:after="0"/>
              <w:rPr>
                <w:sz w:val="11"/>
                <w:szCs w:val="11"/>
                <w:color w:val="auto"/>
              </w:rPr>
            </w:pPr>
          </w:p>
        </w:tc>
        <w:tc>
          <w:tcPr>
            <w:tcW w:w="2500" w:type="dxa"/>
            <w:vAlign w:val="bottom"/>
            <w:tcBorders>
              <w:right w:val="single" w:sz="8" w:color="auto"/>
            </w:tcBorders>
            <w:vMerge w:val="continue"/>
            <w:shd w:val="clear" w:color="auto" w:fill="D9D9D9"/>
          </w:tcPr>
          <w:p>
            <w:pPr>
              <w:spacing w:after="0"/>
              <w:rPr>
                <w:sz w:val="11"/>
                <w:szCs w:val="11"/>
                <w:color w:val="auto"/>
              </w:rPr>
            </w:pPr>
          </w:p>
        </w:tc>
        <w:tc>
          <w:tcPr>
            <w:tcW w:w="2540" w:type="dxa"/>
            <w:vAlign w:val="bottom"/>
            <w:tcBorders>
              <w:right w:val="single" w:sz="8" w:color="auto"/>
            </w:tcBorders>
            <w:vMerge w:val="continue"/>
            <w:shd w:val="clear" w:color="auto" w:fill="D9D9D9"/>
          </w:tcPr>
          <w:p>
            <w:pPr>
              <w:spacing w:after="0"/>
              <w:rPr>
                <w:sz w:val="11"/>
                <w:szCs w:val="11"/>
                <w:color w:val="auto"/>
              </w:rPr>
            </w:pPr>
          </w:p>
        </w:tc>
        <w:tc>
          <w:tcPr>
            <w:tcW w:w="2420" w:type="dxa"/>
            <w:vAlign w:val="bottom"/>
            <w:tcBorders>
              <w:right w:val="single" w:sz="8" w:color="auto"/>
            </w:tcBorders>
            <w:vMerge w:val="restart"/>
            <w:shd w:val="clear" w:color="auto" w:fill="D9D9D9"/>
          </w:tcPr>
          <w:p>
            <w:pPr>
              <w:spacing w:after="0"/>
              <w:rPr>
                <w:sz w:val="20"/>
                <w:szCs w:val="20"/>
                <w:color w:val="auto"/>
              </w:rPr>
            </w:pPr>
            <w:r>
              <w:rPr>
                <w:rFonts w:ascii="Arial" w:cs="Arial" w:eastAsia="Arial" w:hAnsi="Arial"/>
                <w:sz w:val="20"/>
                <w:szCs w:val="20"/>
                <w:color w:val="auto"/>
              </w:rPr>
              <w:t>Sub Allotment</w:t>
            </w:r>
          </w:p>
        </w:tc>
        <w:tc>
          <w:tcPr>
            <w:tcW w:w="0" w:type="dxa"/>
            <w:vAlign w:val="bottom"/>
          </w:tcPr>
          <w:p>
            <w:pPr>
              <w:spacing w:after="0"/>
              <w:rPr>
                <w:sz w:val="1"/>
                <w:szCs w:val="1"/>
                <w:color w:val="auto"/>
              </w:rPr>
            </w:pPr>
          </w:p>
        </w:tc>
      </w:tr>
      <w:tr>
        <w:trPr>
          <w:trHeight w:val="126"/>
        </w:trPr>
        <w:tc>
          <w:tcPr>
            <w:tcW w:w="1280" w:type="dxa"/>
            <w:vAlign w:val="bottom"/>
            <w:tcBorders>
              <w:left w:val="single" w:sz="8" w:color="auto"/>
              <w:right w:val="single" w:sz="8" w:color="auto"/>
            </w:tcBorders>
            <w:shd w:val="clear" w:color="auto" w:fill="D9D9D9"/>
          </w:tcPr>
          <w:p>
            <w:pPr>
              <w:spacing w:after="0"/>
              <w:rPr>
                <w:sz w:val="10"/>
                <w:szCs w:val="10"/>
                <w:color w:val="auto"/>
              </w:rPr>
            </w:pPr>
          </w:p>
        </w:tc>
        <w:tc>
          <w:tcPr>
            <w:tcW w:w="2300" w:type="dxa"/>
            <w:vAlign w:val="bottom"/>
            <w:tcBorders>
              <w:right w:val="single" w:sz="8" w:color="auto"/>
            </w:tcBorders>
            <w:shd w:val="clear" w:color="auto" w:fill="D9D9D9"/>
          </w:tcPr>
          <w:p>
            <w:pPr>
              <w:spacing w:after="0"/>
              <w:rPr>
                <w:sz w:val="10"/>
                <w:szCs w:val="10"/>
                <w:color w:val="auto"/>
              </w:rPr>
            </w:pPr>
          </w:p>
        </w:tc>
        <w:tc>
          <w:tcPr>
            <w:tcW w:w="2500" w:type="dxa"/>
            <w:vAlign w:val="bottom"/>
            <w:tcBorders>
              <w:right w:val="single" w:sz="8" w:color="auto"/>
            </w:tcBorders>
            <w:shd w:val="clear" w:color="auto" w:fill="D9D9D9"/>
          </w:tcPr>
          <w:p>
            <w:pPr>
              <w:spacing w:after="0"/>
              <w:rPr>
                <w:sz w:val="10"/>
                <w:szCs w:val="10"/>
                <w:color w:val="auto"/>
              </w:rPr>
            </w:pPr>
          </w:p>
        </w:tc>
        <w:tc>
          <w:tcPr>
            <w:tcW w:w="2540" w:type="dxa"/>
            <w:vAlign w:val="bottom"/>
            <w:tcBorders>
              <w:right w:val="single" w:sz="8" w:color="auto"/>
            </w:tcBorders>
            <w:vMerge w:val="restart"/>
            <w:shd w:val="clear" w:color="auto" w:fill="D9D9D9"/>
          </w:tcPr>
          <w:p>
            <w:pPr>
              <w:ind w:left="40"/>
              <w:spacing w:after="0"/>
              <w:rPr>
                <w:sz w:val="20"/>
                <w:szCs w:val="20"/>
                <w:color w:val="auto"/>
              </w:rPr>
            </w:pPr>
            <w:r>
              <w:rPr>
                <w:rFonts w:ascii="Arial" w:cs="Arial" w:eastAsia="Arial" w:hAnsi="Arial"/>
                <w:sz w:val="20"/>
                <w:szCs w:val="20"/>
                <w:b w:val="1"/>
                <w:bCs w:val="1"/>
                <w:color w:val="auto"/>
              </w:rPr>
              <w:t>Allotment</w:t>
            </w:r>
            <w:r>
              <w:rPr>
                <w:rFonts w:ascii="Arial" w:cs="Arial" w:eastAsia="Arial" w:hAnsi="Arial"/>
                <w:sz w:val="20"/>
                <w:szCs w:val="20"/>
                <w:color w:val="auto"/>
              </w:rPr>
              <w:t>”)</w:t>
            </w:r>
          </w:p>
        </w:tc>
        <w:tc>
          <w:tcPr>
            <w:tcW w:w="242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280" w:type="dxa"/>
            <w:vAlign w:val="bottom"/>
            <w:tcBorders>
              <w:left w:val="single" w:sz="8" w:color="auto"/>
              <w:bottom w:val="single" w:sz="8" w:color="D9D9D9"/>
              <w:right w:val="single" w:sz="8" w:color="auto"/>
            </w:tcBorders>
            <w:shd w:val="clear" w:color="auto" w:fill="D9D9D9"/>
          </w:tcPr>
          <w:p>
            <w:pPr>
              <w:spacing w:after="0"/>
              <w:rPr>
                <w:sz w:val="13"/>
                <w:szCs w:val="13"/>
                <w:color w:val="auto"/>
              </w:rPr>
            </w:pPr>
          </w:p>
        </w:tc>
        <w:tc>
          <w:tcPr>
            <w:tcW w:w="2300" w:type="dxa"/>
            <w:vAlign w:val="bottom"/>
            <w:tcBorders>
              <w:bottom w:val="single" w:sz="8" w:color="D9D9D9"/>
              <w:right w:val="single" w:sz="8" w:color="auto"/>
            </w:tcBorders>
            <w:shd w:val="clear" w:color="auto" w:fill="D9D9D9"/>
          </w:tcPr>
          <w:p>
            <w:pPr>
              <w:spacing w:after="0"/>
              <w:rPr>
                <w:sz w:val="13"/>
                <w:szCs w:val="13"/>
                <w:color w:val="auto"/>
              </w:rPr>
            </w:pPr>
          </w:p>
        </w:tc>
        <w:tc>
          <w:tcPr>
            <w:tcW w:w="2500" w:type="dxa"/>
            <w:vAlign w:val="bottom"/>
            <w:tcBorders>
              <w:bottom w:val="single" w:sz="8" w:color="D9D9D9"/>
              <w:right w:val="single" w:sz="8" w:color="auto"/>
            </w:tcBorders>
            <w:shd w:val="clear" w:color="auto" w:fill="D9D9D9"/>
          </w:tcPr>
          <w:p>
            <w:pPr>
              <w:spacing w:after="0"/>
              <w:rPr>
                <w:sz w:val="13"/>
                <w:szCs w:val="13"/>
                <w:color w:val="auto"/>
              </w:rPr>
            </w:pPr>
          </w:p>
        </w:tc>
        <w:tc>
          <w:tcPr>
            <w:tcW w:w="2540" w:type="dxa"/>
            <w:vAlign w:val="bottom"/>
            <w:tcBorders>
              <w:bottom w:val="single" w:sz="8" w:color="D9D9D9"/>
              <w:right w:val="single" w:sz="8" w:color="auto"/>
            </w:tcBorders>
            <w:vMerge w:val="continue"/>
            <w:shd w:val="clear" w:color="auto" w:fill="D9D9D9"/>
          </w:tcPr>
          <w:p>
            <w:pPr>
              <w:spacing w:after="0"/>
              <w:rPr>
                <w:sz w:val="13"/>
                <w:szCs w:val="13"/>
                <w:color w:val="auto"/>
              </w:rPr>
            </w:pPr>
          </w:p>
        </w:tc>
        <w:tc>
          <w:tcPr>
            <w:tcW w:w="2420" w:type="dxa"/>
            <w:vAlign w:val="bottom"/>
            <w:tcBorders>
              <w:bottom w:val="single" w:sz="8" w:color="D9D9D9"/>
              <w:right w:val="single" w:sz="8" w:color="auto"/>
            </w:tcBorders>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Year 1</w:t>
            </w:r>
          </w:p>
        </w:tc>
        <w:tc>
          <w:tcPr>
            <w:tcW w:w="2300" w:type="dxa"/>
            <w:vAlign w:val="bottom"/>
            <w:tcBorders>
              <w:top w:val="single" w:sz="8" w:color="auto"/>
              <w:right w:val="single" w:sz="8" w:color="auto"/>
            </w:tcBorders>
          </w:tcPr>
          <w:p>
            <w:pPr>
              <w:spacing w:after="0"/>
              <w:rPr>
                <w:sz w:val="23"/>
                <w:szCs w:val="23"/>
                <w:color w:val="auto"/>
              </w:rPr>
            </w:pPr>
          </w:p>
        </w:tc>
        <w:tc>
          <w:tcPr>
            <w:tcW w:w="2500" w:type="dxa"/>
            <w:vAlign w:val="bottom"/>
            <w:tcBorders>
              <w:top w:val="single" w:sz="8" w:color="auto"/>
              <w:right w:val="single" w:sz="8" w:color="auto"/>
            </w:tcBorders>
          </w:tcPr>
          <w:p>
            <w:pPr>
              <w:spacing w:after="0"/>
              <w:rPr>
                <w:sz w:val="23"/>
                <w:szCs w:val="23"/>
                <w:color w:val="auto"/>
              </w:rPr>
            </w:pPr>
          </w:p>
        </w:tc>
        <w:tc>
          <w:tcPr>
            <w:tcW w:w="2540" w:type="dxa"/>
            <w:vAlign w:val="bottom"/>
            <w:tcBorders>
              <w:top w:val="single" w:sz="8" w:color="auto"/>
              <w:right w:val="single" w:sz="8" w:color="auto"/>
            </w:tcBorders>
          </w:tcPr>
          <w:p>
            <w:pPr>
              <w:spacing w:after="0"/>
              <w:rPr>
                <w:sz w:val="23"/>
                <w:szCs w:val="23"/>
                <w:color w:val="auto"/>
              </w:rPr>
            </w:pPr>
          </w:p>
        </w:tc>
        <w:tc>
          <w:tcPr>
            <w:tcW w:w="242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1280" w:type="dxa"/>
            <w:vAlign w:val="bottom"/>
            <w:tcBorders>
              <w:left w:val="single" w:sz="8" w:color="auto"/>
              <w:bottom w:val="single" w:sz="8" w:color="auto"/>
              <w:right w:val="single" w:sz="8" w:color="auto"/>
            </w:tcBorders>
          </w:tcPr>
          <w:p>
            <w:pPr>
              <w:spacing w:after="0"/>
              <w:rPr>
                <w:sz w:val="3"/>
                <w:szCs w:val="3"/>
                <w:color w:val="auto"/>
              </w:rPr>
            </w:pPr>
          </w:p>
        </w:tc>
        <w:tc>
          <w:tcPr>
            <w:tcW w:w="2300" w:type="dxa"/>
            <w:vAlign w:val="bottom"/>
            <w:tcBorders>
              <w:bottom w:val="single" w:sz="8" w:color="auto"/>
              <w:right w:val="single" w:sz="8" w:color="auto"/>
            </w:tcBorders>
          </w:tcPr>
          <w:p>
            <w:pPr>
              <w:spacing w:after="0"/>
              <w:rPr>
                <w:sz w:val="3"/>
                <w:szCs w:val="3"/>
                <w:color w:val="auto"/>
              </w:rPr>
            </w:pPr>
          </w:p>
        </w:tc>
        <w:tc>
          <w:tcPr>
            <w:tcW w:w="2500" w:type="dxa"/>
            <w:vAlign w:val="bottom"/>
            <w:tcBorders>
              <w:bottom w:val="single" w:sz="8" w:color="auto"/>
              <w:right w:val="single" w:sz="8" w:color="auto"/>
            </w:tcBorders>
          </w:tcPr>
          <w:p>
            <w:pPr>
              <w:spacing w:after="0"/>
              <w:rPr>
                <w:sz w:val="3"/>
                <w:szCs w:val="3"/>
                <w:color w:val="auto"/>
              </w:rPr>
            </w:pPr>
          </w:p>
        </w:tc>
        <w:tc>
          <w:tcPr>
            <w:tcW w:w="2540" w:type="dxa"/>
            <w:vAlign w:val="bottom"/>
            <w:tcBorders>
              <w:bottom w:val="single" w:sz="8" w:color="auto"/>
              <w:right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80" w:type="dxa"/>
            <w:vAlign w:val="bottom"/>
            <w:tcBorders>
              <w:left w:val="single" w:sz="8" w:color="auto"/>
              <w:bottom w:val="single" w:sz="8" w:color="auto"/>
              <w:right w:val="single" w:sz="8" w:color="auto"/>
            </w:tcBorders>
          </w:tcPr>
          <w:p>
            <w:pPr>
              <w:spacing w:after="0"/>
              <w:rPr>
                <w:sz w:val="21"/>
                <w:szCs w:val="21"/>
                <w:color w:val="auto"/>
              </w:rPr>
            </w:pPr>
          </w:p>
        </w:tc>
        <w:tc>
          <w:tcPr>
            <w:tcW w:w="2300" w:type="dxa"/>
            <w:vAlign w:val="bottom"/>
            <w:tcBorders>
              <w:bottom w:val="single" w:sz="8" w:color="auto"/>
              <w:right w:val="single" w:sz="8" w:color="auto"/>
            </w:tcBorders>
          </w:tcPr>
          <w:p>
            <w:pPr>
              <w:spacing w:after="0"/>
              <w:rPr>
                <w:sz w:val="21"/>
                <w:szCs w:val="21"/>
                <w:color w:val="auto"/>
              </w:rPr>
            </w:pPr>
          </w:p>
        </w:tc>
        <w:tc>
          <w:tcPr>
            <w:tcW w:w="2500" w:type="dxa"/>
            <w:vAlign w:val="bottom"/>
            <w:tcBorders>
              <w:bottom w:val="single" w:sz="8" w:color="auto"/>
              <w:right w:val="single" w:sz="8" w:color="auto"/>
            </w:tcBorders>
          </w:tcPr>
          <w:p>
            <w:pPr>
              <w:spacing w:after="0"/>
              <w:rPr>
                <w:sz w:val="21"/>
                <w:szCs w:val="21"/>
                <w:color w:val="auto"/>
              </w:rPr>
            </w:pPr>
          </w:p>
        </w:tc>
        <w:tc>
          <w:tcPr>
            <w:tcW w:w="2540" w:type="dxa"/>
            <w:vAlign w:val="bottom"/>
            <w:tcBorders>
              <w:bottom w:val="single" w:sz="8" w:color="auto"/>
              <w:right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Verizon and Synchronoss Proprietary and Confidential</w:t>
      </w:r>
    </w:p>
    <w:p>
      <w:pPr>
        <w:jc w:val="center"/>
        <w:ind w:right="-19"/>
        <w:spacing w:after="0" w:line="225" w:lineRule="auto"/>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GDSVF&amp;H\5399877.1</w:t>
      </w:r>
    </w:p>
    <w:p>
      <w:pPr>
        <w:sectPr>
          <w:pgSz w:w="11900" w:h="16838" w:orient="portrait"/>
          <w:cols w:equalWidth="0" w:num="1">
            <w:col w:w="11240"/>
          </w:cols>
          <w:pgMar w:left="320" w:top="1432" w:right="339" w:bottom="1440" w:gutter="0" w:footer="0" w:header="0"/>
        </w:sectPr>
      </w:pPr>
    </w:p>
    <w:bookmarkStart w:id="55" w:name="page56"/>
    <w:bookmarkEnd w:id="55"/>
    <w:p>
      <w:pPr>
        <w:spacing w:after="0" w:line="23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As used herein: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xml:space="preserve">Each Subscriber for which a license fee is paid under </w:t>
      </w:r>
      <w:r>
        <w:rPr>
          <w:rFonts w:ascii="Arial" w:cs="Arial" w:eastAsia="Arial" w:hAnsi="Arial"/>
          <w:sz w:val="20"/>
          <w:szCs w:val="20"/>
          <w:u w:val="single" w:color="auto"/>
          <w:color w:val="auto"/>
        </w:rPr>
        <w:t>Table 4.2a</w:t>
      </w:r>
      <w:r>
        <w:rPr>
          <w:rFonts w:ascii="Arial" w:cs="Arial" w:eastAsia="Arial" w:hAnsi="Arial"/>
          <w:sz w:val="20"/>
          <w:szCs w:val="20"/>
          <w:color w:val="auto"/>
        </w:rPr>
        <w:t xml:space="preserve"> above in a [****] shall be called a “[****] </w:t>
      </w:r>
      <w:r>
        <w:rPr>
          <w:rFonts w:ascii="Arial" w:cs="Arial" w:eastAsia="Arial" w:hAnsi="Arial"/>
          <w:sz w:val="20"/>
          <w:szCs w:val="20"/>
          <w:b w:val="1"/>
          <w:bCs w:val="1"/>
          <w:color w:val="auto"/>
        </w:rPr>
        <w:t>Subscriber</w:t>
      </w:r>
      <w:r>
        <w:rPr>
          <w:rFonts w:ascii="Arial" w:cs="Arial" w:eastAsia="Arial" w:hAnsi="Arial"/>
          <w:sz w:val="20"/>
          <w:szCs w:val="20"/>
          <w:color w:val="auto"/>
        </w:rPr>
        <w:t>”.</w:t>
      </w:r>
    </w:p>
    <w:p>
      <w:pPr>
        <w:spacing w:after="0" w:line="26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ind w:left="340"/>
        <w:spacing w:after="0" w:line="239" w:lineRule="auto"/>
        <w:rPr>
          <w:sz w:val="20"/>
          <w:szCs w:val="20"/>
          <w:color w:val="auto"/>
        </w:rPr>
      </w:pPr>
      <w:r>
        <w:rPr>
          <w:rFonts w:ascii="Arial" w:cs="Arial" w:eastAsia="Arial" w:hAnsi="Arial"/>
          <w:sz w:val="20"/>
          <w:szCs w:val="20"/>
          <w:color w:val="auto"/>
        </w:rPr>
        <w:t>Each of the foregoing may be referred to individually as a “[****]”. Note: defined for each [****]following SOW No. 1 extension effective [****].</w:t>
      </w:r>
    </w:p>
    <w:p>
      <w:pPr>
        <w:spacing w:after="0" w:line="1" w:lineRule="exact"/>
        <w:rPr>
          <w:sz w:val="20"/>
          <w:szCs w:val="20"/>
          <w:color w:val="auto"/>
        </w:rPr>
      </w:pPr>
    </w:p>
    <w:p>
      <w:pPr>
        <w:ind w:left="340"/>
        <w:spacing w:after="0" w:line="246" w:lineRule="auto"/>
        <w:rPr>
          <w:sz w:val="20"/>
          <w:szCs w:val="20"/>
          <w:color w:val="auto"/>
        </w:rPr>
      </w:pPr>
      <w:r>
        <w:rPr>
          <w:rFonts w:ascii="Arial" w:cs="Arial" w:eastAsia="Arial" w:hAnsi="Arial"/>
          <w:sz w:val="20"/>
          <w:szCs w:val="20"/>
          <w:color w:val="auto"/>
        </w:rPr>
        <w:t xml:space="preserve">*For the avoidance of doubt, there is [****], however storage consumed by [****] shall [****] in determining Total [****] Storage Allotment as defined in </w:t>
      </w:r>
      <w:r>
        <w:rPr>
          <w:rFonts w:ascii="Arial" w:cs="Arial" w:eastAsia="Arial" w:hAnsi="Arial"/>
          <w:sz w:val="20"/>
          <w:szCs w:val="20"/>
          <w:u w:val="single" w:color="auto"/>
          <w:color w:val="auto"/>
        </w:rPr>
        <w:t>Section 4.4.2</w:t>
      </w:r>
      <w:r>
        <w:rPr>
          <w:rFonts w:ascii="Arial" w:cs="Arial" w:eastAsia="Arial" w:hAnsi="Arial"/>
          <w:sz w:val="20"/>
          <w:szCs w:val="20"/>
          <w:color w:val="auto"/>
        </w:rPr>
        <w:t xml:space="preserve"> below.</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4.2.1 [****] Software [****] Fee</w:t>
      </w:r>
    </w:p>
    <w:p>
      <w:pPr>
        <w:spacing w:after="0" w:line="267" w:lineRule="exact"/>
        <w:rPr>
          <w:sz w:val="20"/>
          <w:szCs w:val="20"/>
          <w:color w:val="auto"/>
        </w:rPr>
      </w:pPr>
    </w:p>
    <w:p>
      <w:pPr>
        <w:ind w:left="1120" w:hanging="464"/>
        <w:spacing w:after="0"/>
        <w:tabs>
          <w:tab w:leader="none" w:pos="11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Beginning on [****], Verizon shall pay a [****] fee for [****] Accounts as set forth in </w:t>
      </w:r>
      <w:r>
        <w:rPr>
          <w:rFonts w:ascii="Arial" w:cs="Arial" w:eastAsia="Arial" w:hAnsi="Arial"/>
          <w:sz w:val="20"/>
          <w:szCs w:val="20"/>
          <w:u w:val="single" w:color="auto"/>
          <w:color w:val="auto"/>
        </w:rPr>
        <w:t>Table 4.2.1</w:t>
      </w:r>
      <w:r>
        <w:rPr>
          <w:rFonts w:ascii="Arial" w:cs="Arial" w:eastAsia="Arial" w:hAnsi="Arial"/>
          <w:sz w:val="20"/>
          <w:szCs w:val="20"/>
          <w:color w:val="auto"/>
        </w:rPr>
        <w:t xml:space="preserve"> below.</w:t>
      </w:r>
    </w:p>
    <w:p>
      <w:pPr>
        <w:spacing w:after="0" w:line="242" w:lineRule="exact"/>
        <w:rPr>
          <w:rFonts w:ascii="Arial" w:cs="Arial" w:eastAsia="Arial" w:hAnsi="Arial"/>
          <w:sz w:val="20"/>
          <w:szCs w:val="20"/>
          <w:color w:val="auto"/>
        </w:rPr>
      </w:pPr>
    </w:p>
    <w:p>
      <w:pPr>
        <w:ind w:left="1120" w:hanging="464"/>
        <w:spacing w:after="0"/>
        <w:tabs>
          <w:tab w:leader="none" w:pos="11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 Fee shall be paid by Verizon to Supplier [****] as follows:</w:t>
      </w:r>
    </w:p>
    <w:p>
      <w:pPr>
        <w:spacing w:after="0" w:line="219"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Table 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583680" cy="214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583680" cy="2146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9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Price per [****] per [*****] Account (the “[****]”)</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320" w:space="720"/>
            <w:col w:w="2200"/>
          </w:cols>
          <w:pgMar w:left="320" w:top="1440" w:right="339" w:bottom="1440" w:gutter="0" w:footer="0" w:header="0"/>
          <w:type w:val="continuous"/>
        </w:sect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(c) Each **** will **** toward the attainment of the monthly Billed Sub Minimum defined in </w:t>
      </w:r>
      <w:r>
        <w:rPr>
          <w:rFonts w:ascii="Arial" w:cs="Arial" w:eastAsia="Arial" w:hAnsi="Arial"/>
          <w:sz w:val="19"/>
          <w:szCs w:val="19"/>
          <w:u w:val="single" w:color="auto"/>
          <w:color w:val="auto"/>
        </w:rPr>
        <w:t>Table 4.2a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4.2(b)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Verizon and Synchronoss Proprietary and Confidential</w:t>
      </w:r>
    </w:p>
    <w:p>
      <w:pPr>
        <w:jc w:val="center"/>
        <w:spacing w:after="0" w:line="225" w:lineRule="auto"/>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GDSVF&amp;H\5399877.1</w:t>
      </w:r>
    </w:p>
    <w:p>
      <w:pPr>
        <w:sectPr>
          <w:pgSz w:w="11900" w:h="16838" w:orient="portrait"/>
          <w:cols w:equalWidth="0" w:num="1">
            <w:col w:w="11240"/>
          </w:cols>
          <w:pgMar w:left="320" w:top="1440" w:right="339" w:bottom="1440" w:gutter="0" w:footer="0" w:header="0"/>
          <w:type w:val="continuous"/>
        </w:sectPr>
      </w:pPr>
    </w:p>
    <w:bookmarkStart w:id="56" w:name="page57"/>
    <w:bookmarkEnd w:id="56"/>
    <w:p>
      <w:pPr>
        <w:spacing w:after="0" w:line="211" w:lineRule="exact"/>
        <w:rPr>
          <w:sz w:val="20"/>
          <w:szCs w:val="20"/>
          <w:color w:val="auto"/>
        </w:rPr>
      </w:pPr>
    </w:p>
    <w:p>
      <w:pPr>
        <w:ind w:left="660" w:hanging="4"/>
        <w:spacing w:after="0" w:line="271" w:lineRule="auto"/>
        <w:tabs>
          <w:tab w:leader="none" w:pos="974"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The [****] Fee includes a [****] Solution storage allotment (each month) as follows (the “[****] </w:t>
      </w:r>
      <w:r>
        <w:rPr>
          <w:rFonts w:ascii="Arial" w:cs="Arial" w:eastAsia="Arial" w:hAnsi="Arial"/>
          <w:sz w:val="20"/>
          <w:szCs w:val="20"/>
          <w:b w:val="1"/>
          <w:bCs w:val="1"/>
          <w:color w:val="auto"/>
        </w:rPr>
        <w:t>Storage Allotment</w:t>
      </w:r>
      <w:r>
        <w:rPr>
          <w:rFonts w:ascii="Arial" w:cs="Arial" w:eastAsia="Arial" w:hAnsi="Arial"/>
          <w:sz w:val="20"/>
          <w:szCs w:val="20"/>
          <w:color w:val="auto"/>
        </w:rPr>
        <w:t>”): [****] for each [****] billed in such month.</w:t>
      </w:r>
    </w:p>
    <w:p>
      <w:pPr>
        <w:spacing w:after="0" w:line="183" w:lineRule="exact"/>
        <w:rPr>
          <w:sz w:val="20"/>
          <w:szCs w:val="20"/>
          <w:color w:val="auto"/>
        </w:rPr>
      </w:pPr>
    </w:p>
    <w:p>
      <w:pPr>
        <w:ind w:left="660" w:right="20"/>
        <w:spacing w:after="0" w:line="271"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w:t>
      </w:r>
      <w:r>
        <w:rPr>
          <w:rFonts w:ascii="Arial" w:cs="Arial" w:eastAsia="Arial" w:hAnsi="Arial"/>
          <w:sz w:val="20"/>
          <w:szCs w:val="20"/>
          <w:b w:val="1"/>
          <w:bCs w:val="1"/>
          <w:color w:val="auto"/>
        </w:rPr>
        <w:t>Aggregate [****] Allotment</w:t>
      </w:r>
      <w:r>
        <w:rPr>
          <w:rFonts w:ascii="Arial" w:cs="Arial" w:eastAsia="Arial" w:hAnsi="Arial"/>
          <w:sz w:val="20"/>
          <w:szCs w:val="20"/>
          <w:color w:val="auto"/>
        </w:rPr>
        <w:t>” means the product of the number of [****] in a given month and the [****] Storage Allotment (i.e., the # of [****] in a month X [****]</w:t>
      </w:r>
      <w:r>
        <w:rPr>
          <w:rFonts w:ascii="Arial" w:cs="Arial" w:eastAsia="Arial" w:hAnsi="Arial"/>
          <w:sz w:val="20"/>
          <w:szCs w:val="20"/>
          <w:i w:val="1"/>
          <w:iCs w:val="1"/>
          <w:color w:val="auto"/>
        </w:rPr>
        <w:t>).</w:t>
      </w:r>
    </w:p>
    <w:p>
      <w:pPr>
        <w:spacing w:after="0" w:line="207" w:lineRule="exact"/>
        <w:rPr>
          <w:sz w:val="20"/>
          <w:szCs w:val="20"/>
          <w:color w:val="auto"/>
        </w:rPr>
      </w:pPr>
    </w:p>
    <w:p>
      <w:pPr>
        <w:jc w:val="both"/>
        <w:ind w:left="700" w:hanging="319"/>
        <w:spacing w:after="0"/>
        <w:tabs>
          <w:tab w:leader="none" w:pos="699"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Verizon Cloud offer to Subscribers will have a limit storage of [****]. At the time of launch (“[****]”) the [****] Solution will not have the ability to limit account storage for a [****] (or restrict usage from exceeding a [****] Storage Allotment). Upon launch of “[****]”, the [****] Solution will provide the ability to restrict usage from exceeding a [****] Storage Allotment and will calculate overages substantially as follows. For [****] established prior to [****] with storage on such account [****], overage amounts shall be [****], on the process to have such accounts [****] or some other allotment amount agreed to by the Parties. The aggregate of [****] for all [****]established prior to [****]shall be called the “[****]”.</w:t>
      </w:r>
    </w:p>
    <w:p>
      <w:pPr>
        <w:spacing w:after="0" w:line="240" w:lineRule="exact"/>
        <w:rPr>
          <w:rFonts w:ascii="Arial" w:cs="Arial" w:eastAsia="Arial" w:hAnsi="Arial"/>
          <w:sz w:val="20"/>
          <w:szCs w:val="20"/>
          <w:color w:val="auto"/>
        </w:rPr>
      </w:pPr>
    </w:p>
    <w:p>
      <w:pPr>
        <w:ind w:left="700"/>
        <w:spacing w:after="0" w:line="246" w:lineRule="auto"/>
        <w:rPr>
          <w:rFonts w:ascii="Arial" w:cs="Arial" w:eastAsia="Arial" w:hAnsi="Arial"/>
          <w:sz w:val="20"/>
          <w:szCs w:val="20"/>
          <w:color w:val="auto"/>
        </w:rPr>
      </w:pPr>
      <w:r>
        <w:rPr>
          <w:rFonts w:ascii="Arial" w:cs="Arial" w:eastAsia="Arial" w:hAnsi="Arial"/>
          <w:sz w:val="20"/>
          <w:szCs w:val="20"/>
          <w:color w:val="auto"/>
        </w:rPr>
        <w:t xml:space="preserve">The Paid Sub Fee and Billed Sub Minimum include a [****] Solution storage allotment [****] calculated as follows (the “[****] </w:t>
      </w:r>
      <w:r>
        <w:rPr>
          <w:rFonts w:ascii="Arial" w:cs="Arial" w:eastAsia="Arial" w:hAnsi="Arial"/>
          <w:sz w:val="20"/>
          <w:szCs w:val="20"/>
          <w:b w:val="1"/>
          <w:bCs w:val="1"/>
          <w:color w:val="auto"/>
        </w:rPr>
        <w:t>Storage Allotment</w:t>
      </w:r>
      <w:r>
        <w:rPr>
          <w:rFonts w:ascii="Arial" w:cs="Arial" w:eastAsia="Arial" w:hAnsi="Arial"/>
          <w:sz w:val="20"/>
          <w:szCs w:val="20"/>
          <w:color w:val="auto"/>
        </w:rPr>
        <w:t>”): [****] multiplied by the number of Billed Subscribers in such [****].</w:t>
      </w:r>
    </w:p>
    <w:p>
      <w:pPr>
        <w:spacing w:after="0" w:line="211"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i w:val="1"/>
          <w:iCs w:val="1"/>
          <w:color w:val="auto"/>
        </w:rPr>
        <w:t>Verizon and Synchronoss will review and mutually agree to determine whether to adjust the [****] Storage Allotment at the end of each calendar year, commencing at the end of [****].</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4.2.2 [****]</w:t>
      </w:r>
    </w:p>
    <w:p>
      <w:pPr>
        <w:spacing w:after="0" w:line="267" w:lineRule="exact"/>
        <w:rPr>
          <w:sz w:val="20"/>
          <w:szCs w:val="20"/>
          <w:color w:val="auto"/>
        </w:rPr>
      </w:pPr>
    </w:p>
    <w:p>
      <w:pPr>
        <w:jc w:val="both"/>
        <w:ind w:left="660"/>
        <w:spacing w:after="0" w:line="241" w:lineRule="auto"/>
        <w:rPr>
          <w:sz w:val="20"/>
          <w:szCs w:val="20"/>
          <w:color w:val="auto"/>
        </w:rPr>
      </w:pPr>
      <w:r>
        <w:rPr>
          <w:rFonts w:ascii="Arial" w:cs="Arial" w:eastAsia="Arial" w:hAnsi="Arial"/>
          <w:sz w:val="20"/>
          <w:szCs w:val="20"/>
          <w:color w:val="auto"/>
        </w:rPr>
        <w:t xml:space="preserve">The following [****] shall apply, in addition to the fees set forth in </w:t>
      </w:r>
      <w:r>
        <w:rPr>
          <w:rFonts w:ascii="Arial" w:cs="Arial" w:eastAsia="Arial" w:hAnsi="Arial"/>
          <w:sz w:val="20"/>
          <w:szCs w:val="20"/>
          <w:u w:val="single" w:color="auto"/>
          <w:color w:val="auto"/>
        </w:rPr>
        <w:t>Sections 4.2(b)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4.2.1</w:t>
      </w:r>
      <w:r>
        <w:rPr>
          <w:rFonts w:ascii="Arial" w:cs="Arial" w:eastAsia="Arial" w:hAnsi="Arial"/>
          <w:sz w:val="20"/>
          <w:szCs w:val="20"/>
          <w:color w:val="auto"/>
        </w:rPr>
        <w:t xml:space="preserve"> above, where the actual [****] Solution storage (including [****]) plus the actual storage consumed in [****] (as defined below) usage has exceeded the [****] Storage Allotment where “[****]</w:t>
      </w:r>
      <w:r>
        <w:rPr>
          <w:rFonts w:ascii="Arial" w:cs="Arial" w:eastAsia="Arial" w:hAnsi="Arial"/>
          <w:sz w:val="20"/>
          <w:szCs w:val="20"/>
          <w:b w:val="1"/>
          <w:bCs w:val="1"/>
          <w:color w:val="auto"/>
        </w:rPr>
        <w:t>Storage Allotment</w:t>
      </w:r>
      <w:r>
        <w:rPr>
          <w:rFonts w:ascii="Arial" w:cs="Arial" w:eastAsia="Arial" w:hAnsi="Arial"/>
          <w:sz w:val="20"/>
          <w:szCs w:val="20"/>
          <w:color w:val="auto"/>
        </w:rPr>
        <w:t xml:space="preserve">” means the sum of the [****] Storage Allotment (as defined in </w:t>
      </w:r>
      <w:r>
        <w:rPr>
          <w:rFonts w:ascii="Arial" w:cs="Arial" w:eastAsia="Arial" w:hAnsi="Arial"/>
          <w:sz w:val="20"/>
          <w:szCs w:val="20"/>
          <w:u w:val="single" w:color="auto"/>
          <w:color w:val="auto"/>
        </w:rPr>
        <w:t>Section 4.2(b)</w:t>
      </w:r>
      <w:r>
        <w:rPr>
          <w:rFonts w:ascii="Arial" w:cs="Arial" w:eastAsia="Arial" w:hAnsi="Arial"/>
          <w:sz w:val="20"/>
          <w:szCs w:val="20"/>
          <w:color w:val="auto"/>
        </w:rPr>
        <w:t xml:space="preserve"> for [****] accounts) and the [****] less any [****] (if any). Storage allotment for an account shall be based on whether the account is classified as a [****]. A user’s storage will be allocated to [****].</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in any given month [****], the [****] Solution storage exceeds the [****] Storage Allotment, Verizon shall pay [****]</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color w:val="auto"/>
        </w:rPr>
        <w:t>[****]</w:t>
      </w:r>
      <w:r>
        <w:rPr>
          <w:rFonts w:ascii="Arial" w:cs="Arial" w:eastAsia="Arial" w:hAnsi="Arial"/>
          <w:sz w:val="20"/>
          <w:szCs w:val="20"/>
          <w:i w:val="1"/>
          <w:iCs w:val="1"/>
          <w:color w:val="auto"/>
        </w:rPr>
        <w:t xml:space="preserve"> in </w:t>
      </w:r>
      <w:r>
        <w:rPr>
          <w:rFonts w:ascii="Arial" w:cs="Arial" w:eastAsia="Arial" w:hAnsi="Arial"/>
          <w:sz w:val="20"/>
          <w:szCs w:val="20"/>
          <w:i w:val="1"/>
          <w:iCs w:val="1"/>
          <w:u w:val="single" w:color="auto"/>
          <w:color w:val="auto"/>
        </w:rPr>
        <w:t>Table 4.2.2</w:t>
      </w:r>
      <w:r>
        <w:rPr>
          <w:rFonts w:ascii="Arial" w:cs="Arial" w:eastAsia="Arial" w:hAnsi="Arial"/>
          <w:sz w:val="20"/>
          <w:szCs w:val="20"/>
          <w:i w:val="1"/>
          <w:iCs w:val="1"/>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Verizon and Synchronoss Proprietary and Confidential</w:t>
      </w:r>
    </w:p>
    <w:p>
      <w:pPr>
        <w:jc w:val="center"/>
        <w:spacing w:after="0" w:line="225" w:lineRule="auto"/>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5</w:t>
      </w:r>
      <w:r>
        <w:rPr>
          <w:rFonts w:ascii="Arial" w:cs="Arial" w:eastAsia="Arial" w:hAnsi="Arial"/>
          <w:sz w:val="14"/>
          <w:szCs w:val="14"/>
          <w:color w:val="auto"/>
        </w:rPr>
        <w:t xml:space="preserve"> of </w:t>
      </w:r>
      <w:r>
        <w:rPr>
          <w:rFonts w:ascii="Arial" w:cs="Arial" w:eastAsia="Arial" w:hAnsi="Arial"/>
          <w:sz w:val="14"/>
          <w:szCs w:val="14"/>
          <w:b w:val="1"/>
          <w:bCs w:val="1"/>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GDSVF&amp;H\5399877.1</w:t>
      </w:r>
    </w:p>
    <w:p>
      <w:pPr>
        <w:sectPr>
          <w:pgSz w:w="11900" w:h="16838" w:orient="portrait"/>
          <w:cols w:equalWidth="0" w:num="1">
            <w:col w:w="11240"/>
          </w:cols>
          <w:pgMar w:left="320" w:top="1440"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20"/>
          <w:szCs w:val="20"/>
          <w:b w:val="1"/>
          <w:bCs w:val="1"/>
          <w:color w:val="auto"/>
        </w:rPr>
        <w:t>Table 4.2.2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Verizon [****]</w:t>
      </w:r>
      <w:r>
        <w:rPr>
          <w:rFonts w:ascii="Arial" w:cs="Arial" w:eastAsia="Arial" w:hAnsi="Arial"/>
          <w:sz w:val="20"/>
          <w:szCs w:val="20"/>
          <w:color w:val="auto"/>
        </w:rPr>
        <w:t xml:space="preserve">” means the [****] of </w:t>
      </w:r>
      <w:r>
        <w:rPr>
          <w:rFonts w:ascii="Arial" w:cs="Arial" w:eastAsia="Arial" w:hAnsi="Arial"/>
          <w:sz w:val="20"/>
          <w:szCs w:val="20"/>
          <w:u w:val="single" w:color="auto"/>
          <w:color w:val="auto"/>
        </w:rPr>
        <w:t>Section 14(f)</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SOW No. 4</w:t>
      </w:r>
      <w:r>
        <w:rPr>
          <w:rFonts w:ascii="Arial" w:cs="Arial" w:eastAsia="Arial" w:hAnsi="Arial"/>
          <w:sz w:val="20"/>
          <w:szCs w:val="20"/>
          <w:color w:val="auto"/>
        </w:rPr>
        <w:t xml:space="preserve"> to the Agreement of not less than [****], for use in [****].</w:t>
      </w:r>
    </w:p>
    <w:p>
      <w:pPr>
        <w:ind w:left="660"/>
        <w:spacing w:after="0"/>
        <w:rPr>
          <w:sz w:val="20"/>
          <w:szCs w:val="20"/>
          <w:color w:val="auto"/>
        </w:rPr>
      </w:pPr>
      <w:r>
        <w:rPr>
          <w:rFonts w:ascii="Arial" w:cs="Arial" w:eastAsia="Arial" w:hAnsi="Arial"/>
          <w:sz w:val="20"/>
          <w:szCs w:val="20"/>
          <w:color w:val="auto"/>
        </w:rPr>
        <w:t>For the avoidance of doubt, the Parties agree that Verizon may [****].</w:t>
      </w:r>
    </w:p>
    <w:p>
      <w:pPr>
        <w:spacing w:after="0" w:line="219" w:lineRule="exact"/>
        <w:rPr>
          <w:sz w:val="20"/>
          <w:szCs w:val="20"/>
          <w:color w:val="auto"/>
        </w:rPr>
      </w:pPr>
    </w:p>
    <w:p>
      <w:pPr>
        <w:ind w:left="660" w:right="20" w:hanging="4"/>
        <w:spacing w:after="0" w:line="271" w:lineRule="auto"/>
        <w:tabs>
          <w:tab w:leader="none" w:pos="984"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 Fee. If, in any given month [****], Verizon shall pay, in addition to fees paid for actual [****], a “[****] </w:t>
      </w:r>
      <w:r>
        <w:rPr>
          <w:rFonts w:ascii="Arial" w:cs="Arial" w:eastAsia="Arial" w:hAnsi="Arial"/>
          <w:sz w:val="20"/>
          <w:szCs w:val="20"/>
          <w:b w:val="1"/>
          <w:bCs w:val="1"/>
          <w:color w:val="auto"/>
        </w:rPr>
        <w:t>Fee</w:t>
      </w:r>
      <w:r>
        <w:rPr>
          <w:rFonts w:ascii="Arial" w:cs="Arial" w:eastAsia="Arial" w:hAnsi="Arial"/>
          <w:sz w:val="20"/>
          <w:szCs w:val="20"/>
          <w:color w:val="auto"/>
        </w:rPr>
        <w:t>”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-191770</wp:posOffset>
            </wp:positionV>
            <wp:extent cx="268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68605" cy="8255"/>
                    </a:xfrm>
                    <a:prstGeom prst="rect">
                      <a:avLst/>
                    </a:prstGeom>
                    <a:noFill/>
                  </pic:spPr>
                </pic:pic>
              </a:graphicData>
            </a:graphic>
          </wp:anchor>
        </w:drawing>
      </w:r>
    </w:p>
    <w:p>
      <w:pPr>
        <w:spacing w:after="0" w:line="167"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(the applicable Billed Sub Minimum minus the number of actual Billed Subscribers for such month) x (the applicable Paid Sub Fee for such period)</w:t>
      </w:r>
      <w:r>
        <w:rPr>
          <w:rFonts w:ascii="Arial" w:cs="Arial" w:eastAsia="Arial" w:hAnsi="Arial"/>
          <w:sz w:val="20"/>
          <w:szCs w:val="20"/>
          <w:color w:val="auto"/>
        </w:rPr>
        <w:t>.</w:t>
      </w:r>
    </w:p>
    <w:p>
      <w:pPr>
        <w:spacing w:after="0" w:line="210" w:lineRule="exact"/>
        <w:rPr>
          <w:sz w:val="20"/>
          <w:szCs w:val="20"/>
          <w:color w:val="auto"/>
        </w:rPr>
      </w:pPr>
    </w:p>
    <w:p>
      <w:pPr>
        <w:ind w:left="960" w:hanging="304"/>
        <w:spacing w:after="0"/>
        <w:tabs>
          <w:tab w:leader="none" w:pos="9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Paid Sub Fee includes:</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   ****</w:t>
      </w:r>
    </w:p>
    <w:p>
      <w:pPr>
        <w:spacing w:after="0" w:line="242" w:lineRule="exact"/>
        <w:rPr>
          <w:rFonts w:ascii="Arial" w:cs="Arial" w:eastAsia="Arial" w:hAnsi="Arial"/>
          <w:sz w:val="20"/>
          <w:szCs w:val="20"/>
          <w:color w:val="auto"/>
        </w:rPr>
      </w:pPr>
    </w:p>
    <w:p>
      <w:pPr>
        <w:ind w:left="660" w:hanging="4"/>
        <w:spacing w:after="0" w:line="246" w:lineRule="auto"/>
        <w:tabs>
          <w:tab w:leader="none" w:pos="973"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Reporting</w:t>
      </w:r>
      <w:r>
        <w:rPr>
          <w:rFonts w:ascii="Arial" w:cs="Arial" w:eastAsia="Arial" w:hAnsi="Arial"/>
          <w:sz w:val="20"/>
          <w:szCs w:val="20"/>
          <w:color w:val="auto"/>
        </w:rPr>
        <w:t>. Each [****], Supplier shall calculate the [****] Fee due to Supplier based on the usage reports defined under this subsection as set forth below.</w:t>
      </w:r>
    </w:p>
    <w:p>
      <w:pPr>
        <w:spacing w:after="0" w:line="231" w:lineRule="exact"/>
        <w:rPr>
          <w:sz w:val="20"/>
          <w:szCs w:val="20"/>
          <w:color w:val="auto"/>
        </w:rPr>
      </w:pPr>
    </w:p>
    <w:p>
      <w:pPr>
        <w:jc w:val="both"/>
        <w:ind w:left="660" w:right="20"/>
        <w:spacing w:after="0" w:line="241" w:lineRule="auto"/>
        <w:rPr>
          <w:sz w:val="20"/>
          <w:szCs w:val="20"/>
          <w:color w:val="auto"/>
        </w:rPr>
      </w:pPr>
      <w:r>
        <w:rPr>
          <w:rFonts w:ascii="Arial" w:cs="Arial" w:eastAsia="Arial" w:hAnsi="Arial"/>
          <w:sz w:val="20"/>
          <w:szCs w:val="20"/>
          <w:color w:val="auto"/>
        </w:rPr>
        <w:t>Supplier shall provide Verizon with a report on the total storage used by Subscribers on the **** Solution for such [****]within [****] days after the end of each [****]. Upon Verizon’s receipt of this usage report, Verizon shall publish a consolidated report to Supplier within [****] days specifying the total number of [****] on the [****] Solution during that [****]. Verizon and Supplier shall cooperate in determining an automated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Verizon and Synchronoss Proprietary and Confidential</w:t>
      </w:r>
    </w:p>
    <w:p>
      <w:pPr>
        <w:jc w:val="center"/>
        <w:ind w:right="-19"/>
        <w:spacing w:after="0" w:line="225" w:lineRule="auto"/>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6</w:t>
      </w:r>
      <w:r>
        <w:rPr>
          <w:rFonts w:ascii="Arial" w:cs="Arial" w:eastAsia="Arial" w:hAnsi="Arial"/>
          <w:sz w:val="14"/>
          <w:szCs w:val="14"/>
          <w:color w:val="auto"/>
        </w:rPr>
        <w:t xml:space="preserve"> of </w:t>
      </w:r>
      <w:r>
        <w:rPr>
          <w:rFonts w:ascii="Arial" w:cs="Arial" w:eastAsia="Arial" w:hAnsi="Arial"/>
          <w:sz w:val="14"/>
          <w:szCs w:val="14"/>
          <w:b w:val="1"/>
          <w:bCs w:val="1"/>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GDSVF&amp;H\5399877.1</w:t>
      </w:r>
    </w:p>
    <w:p>
      <w:pPr>
        <w:sectPr>
          <w:pgSz w:w="11900" w:h="16838" w:orient="portrait"/>
          <w:cols w:equalWidth="0" w:num="1">
            <w:col w:w="11240"/>
          </w:cols>
          <w:pgMar w:left="320" w:top="1408" w:right="339" w:bottom="1440" w:gutter="0" w:footer="0" w:header="0"/>
        </w:sectPr>
      </w:pPr>
    </w:p>
    <w:bookmarkStart w:id="58" w:name="page59"/>
    <w:bookmarkEnd w:id="58"/>
    <w:p>
      <w:pPr>
        <w:ind w:left="660"/>
        <w:spacing w:after="0"/>
        <w:rPr>
          <w:sz w:val="20"/>
          <w:szCs w:val="20"/>
          <w:color w:val="auto"/>
        </w:rPr>
      </w:pPr>
      <w:r>
        <w:rPr>
          <w:rFonts w:ascii="Arial" w:cs="Arial" w:eastAsia="Arial" w:hAnsi="Arial"/>
          <w:sz w:val="20"/>
          <w:szCs w:val="20"/>
          <w:color w:val="auto"/>
        </w:rPr>
        <w:t>within the [****] Solution to identify, track and report monthly on volumes of Paid Subscribers and Free Subscribers.</w:t>
      </w:r>
    </w:p>
    <w:p>
      <w:pPr>
        <w:spacing w:after="0" w:line="243" w:lineRule="exact"/>
        <w:rPr>
          <w:sz w:val="20"/>
          <w:szCs w:val="20"/>
          <w:color w:val="auto"/>
        </w:rPr>
      </w:pPr>
    </w:p>
    <w:p>
      <w:pPr>
        <w:jc w:val="both"/>
        <w:ind w:left="660" w:hanging="4"/>
        <w:spacing w:after="0" w:line="239" w:lineRule="auto"/>
        <w:tabs>
          <w:tab w:leader="none" w:pos="97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Annual Review of Storage</w:t>
      </w:r>
      <w:r>
        <w:rPr>
          <w:rFonts w:ascii="Arial" w:cs="Arial" w:eastAsia="Arial" w:hAnsi="Arial"/>
          <w:sz w:val="20"/>
          <w:szCs w:val="20"/>
          <w:color w:val="auto"/>
        </w:rPr>
        <w:t>. By [****] of each Year, commencing in [****], Supplier shall conduct annual benchmark reviews of available compute and storage platforms across the industry for similar services that are being provided by Supplier hereunder (including but not limited to Amazon Web Services, Google Cloud, Azure), including, but not limited to, storage, features, performance, and published fees. Supplier will [****] share the results of such benchmark review with Verizon. In the event the above benchmark reviews reveals that fees are being provided in the industry for [****], the Parties will mutually agree in good faith to determine [****]. In the event [****], the Parties will execute a Change Request or amendment thereto.</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4.3 Forecasting</w:t>
      </w:r>
    </w:p>
    <w:p>
      <w:pPr>
        <w:spacing w:after="0" w:line="229" w:lineRule="exact"/>
        <w:rPr>
          <w:sz w:val="20"/>
          <w:szCs w:val="20"/>
          <w:color w:val="auto"/>
        </w:rPr>
      </w:pPr>
    </w:p>
    <w:p>
      <w:pPr>
        <w:jc w:val="both"/>
        <w:ind w:left="340" w:right="20"/>
        <w:spacing w:after="0" w:line="218" w:lineRule="auto"/>
        <w:rPr>
          <w:sz w:val="20"/>
          <w:szCs w:val="20"/>
          <w:color w:val="auto"/>
        </w:rPr>
      </w:pPr>
      <w:r>
        <w:rPr>
          <w:rFonts w:ascii="Arial" w:cs="Arial" w:eastAsia="Arial" w:hAnsi="Arial"/>
          <w:sz w:val="20"/>
          <w:szCs w:val="20"/>
          <w:color w:val="auto"/>
        </w:rPr>
        <w:t>Each [****] that Services are provided under this SOW No. 1, the Parties shall mutually agree to a [****]. The [****] Forecast shall be established [****]. Such forecast shall be used by Supplier to plan and determine if augmentation or change in needed in the capacity of the Hosting Services. In the event that no [****] Forecast is provided in a given month, the last month of the prior [****] Forecast applicable to such Instance shall be used to determine the last month of current Forecast Period and such forecast shall be deemed to be the [****] Forecast for such period.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For Hosting Services, the foregoing [****] Forecast shall be used by Supplier [****]</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20"/>
          <w:szCs w:val="20"/>
          <w:color w:val="auto"/>
        </w:rPr>
        <w:t>In no event may the [****] be modified [****] without mutual written agreement by the Parties.</w:t>
      </w:r>
    </w:p>
    <w:p>
      <w:pPr>
        <w:spacing w:after="0" w:line="205"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9"/>
          <w:szCs w:val="19"/>
          <w:b w:val="1"/>
          <w:bCs w:val="1"/>
          <w:color w:val="auto"/>
        </w:rPr>
        <w:t>Change Controls</w:t>
      </w:r>
    </w:p>
    <w:p>
      <w:pPr>
        <w:spacing w:after="0" w:line="267" w:lineRule="exact"/>
        <w:rPr>
          <w:sz w:val="20"/>
          <w:szCs w:val="20"/>
          <w:color w:val="auto"/>
        </w:rPr>
      </w:pPr>
    </w:p>
    <w:p>
      <w:pPr>
        <w:jc w:val="both"/>
        <w:ind w:left="340"/>
        <w:spacing w:after="0"/>
        <w:rPr>
          <w:sz w:val="20"/>
          <w:szCs w:val="20"/>
          <w:color w:val="auto"/>
        </w:rPr>
      </w:pPr>
      <w:r>
        <w:rPr>
          <w:rFonts w:ascii="Arial" w:cs="Arial" w:eastAsia="Arial" w:hAnsi="Arial"/>
          <w:sz w:val="20"/>
          <w:szCs w:val="20"/>
          <w:color w:val="auto"/>
        </w:rPr>
        <w:t xml:space="preserve">Notwithstanding anything to the contrary in SOW No. 1 or any attachment or exhibit thereto, items outside the scope of this SOW No. 1 and changes to the [****] Solution requested by Verizon (including changes to the [****] Software to address changes to Verizon applications or systems or API modification but excluding those changes implemented as part of Solution Software Release Support Services under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shall be subject to a Change Request for professional Services with the terms and fees in such request mutually agreed upon by the Parties. Solution API (excluding partner API changes which are provided pursuant to </w:t>
      </w:r>
      <w:r>
        <w:rPr>
          <w:rFonts w:ascii="Arial" w:cs="Arial" w:eastAsia="Arial" w:hAnsi="Arial"/>
          <w:sz w:val="20"/>
          <w:szCs w:val="20"/>
          <w:u w:val="single" w:color="auto"/>
          <w:color w:val="auto"/>
        </w:rPr>
        <w:t>SOW No. 5</w:t>
      </w:r>
      <w:r>
        <w:rPr>
          <w:rFonts w:ascii="Arial" w:cs="Arial" w:eastAsia="Arial" w:hAnsi="Arial"/>
          <w:sz w:val="20"/>
          <w:szCs w:val="20"/>
          <w:color w:val="auto"/>
        </w:rPr>
        <w:t>) support, regular maintenance releases and onboarding of up to [****] per [****] are included in per Subscriber fee. Any such fees are in addition to the fees set forth above.</w:t>
      </w:r>
    </w:p>
    <w:p>
      <w:pPr>
        <w:spacing w:after="0" w:line="216" w:lineRule="exact"/>
        <w:rPr>
          <w:sz w:val="20"/>
          <w:szCs w:val="20"/>
          <w:color w:val="auto"/>
        </w:rPr>
      </w:pPr>
    </w:p>
    <w:p>
      <w:pPr>
        <w:ind w:left="340"/>
        <w:spacing w:after="0"/>
        <w:tabs>
          <w:tab w:leader="none" w:pos="86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19"/>
          <w:szCs w:val="19"/>
          <w:b w:val="1"/>
          <w:bCs w:val="1"/>
          <w:color w:val="auto"/>
        </w:rPr>
        <w:t>Maintenance Fees</w:t>
      </w:r>
    </w:p>
    <w:p>
      <w:pPr>
        <w:spacing w:after="0" w:line="267" w:lineRule="exact"/>
        <w:rPr>
          <w:sz w:val="20"/>
          <w:szCs w:val="20"/>
          <w:color w:val="auto"/>
        </w:rPr>
      </w:pPr>
    </w:p>
    <w:p>
      <w:pPr>
        <w:jc w:val="both"/>
        <w:ind w:left="340" w:right="20"/>
        <w:spacing w:after="0" w:line="246" w:lineRule="auto"/>
        <w:rPr>
          <w:sz w:val="20"/>
          <w:szCs w:val="20"/>
          <w:color w:val="auto"/>
        </w:rPr>
      </w:pPr>
      <w:r>
        <w:rPr>
          <w:rFonts w:ascii="Arial" w:cs="Arial" w:eastAsia="Arial" w:hAnsi="Arial"/>
          <w:sz w:val="20"/>
          <w:szCs w:val="20"/>
          <w:color w:val="auto"/>
        </w:rPr>
        <w:t xml:space="preserve">The [****] described in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above shall [****]. All latest release versions of software / technology must be made available to Verizon no more than [****].</w:t>
      </w:r>
    </w:p>
    <w:p>
      <w:pPr>
        <w:spacing w:after="0" w:line="231" w:lineRule="exact"/>
        <w:rPr>
          <w:sz w:val="20"/>
          <w:szCs w:val="20"/>
          <w:color w:val="auto"/>
        </w:rPr>
      </w:pPr>
    </w:p>
    <w:p>
      <w:pPr>
        <w:jc w:val="both"/>
        <w:ind w:left="340"/>
        <w:spacing w:after="0" w:line="241" w:lineRule="auto"/>
        <w:rPr>
          <w:sz w:val="20"/>
          <w:szCs w:val="20"/>
          <w:color w:val="auto"/>
        </w:rPr>
      </w:pPr>
      <w:r>
        <w:rPr>
          <w:rFonts w:ascii="Arial" w:cs="Arial" w:eastAsia="Arial" w:hAnsi="Arial"/>
          <w:sz w:val="20"/>
          <w:szCs w:val="20"/>
          <w:color w:val="auto"/>
        </w:rPr>
        <w:t xml:space="preserve">For the avoidance of doubt, for [****] that include substantial new functionality that is materially incremental to that functionality identified in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w:t>
      </w:r>
      <w:r>
        <w:rPr>
          <w:rFonts w:ascii="Arial" w:cs="Arial" w:eastAsia="Arial" w:hAnsi="Arial"/>
          <w:sz w:val="20"/>
          <w:szCs w:val="20"/>
          <w:b w:val="1"/>
          <w:bCs w:val="1"/>
          <w:color w:val="auto"/>
        </w:rPr>
        <w:t>Major Feature Enhancements</w:t>
      </w:r>
      <w:r>
        <w:rPr>
          <w:rFonts w:ascii="Arial" w:cs="Arial" w:eastAsia="Arial" w:hAnsi="Arial"/>
          <w:sz w:val="20"/>
          <w:szCs w:val="20"/>
          <w:color w:val="auto"/>
        </w:rPr>
        <w:t>”), the Parties shall discuss in good faith to determine whether a fee for the license of such Major Feature Enhancements may be separately charged and mutually agree to such a fee. For example, the Parties may, but shall not be required to, use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Verizon and Synchronoss Proprietary and Confidential</w:t>
      </w:r>
    </w:p>
    <w:p>
      <w:pPr>
        <w:jc w:val="center"/>
        <w:spacing w:after="0" w:line="225" w:lineRule="auto"/>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GDSVF&amp;H\5399877.1</w:t>
      </w:r>
    </w:p>
    <w:p>
      <w:pPr>
        <w:sectPr>
          <w:pgSz w:w="11900" w:h="16838" w:orient="portrait"/>
          <w:cols w:equalWidth="0" w:num="1">
            <w:col w:w="11240"/>
          </w:cols>
          <w:pgMar w:left="320" w:top="1432" w:right="339" w:bottom="1440" w:gutter="0" w:footer="0" w:header="0"/>
        </w:sectPr>
      </w:pPr>
    </w:p>
    <w:bookmarkStart w:id="59" w:name="page60"/>
    <w:bookmarkEnd w:id="59"/>
    <w:p>
      <w:pPr>
        <w:ind w:left="340" w:right="2080"/>
        <w:spacing w:after="0" w:line="246" w:lineRule="auto"/>
        <w:rPr>
          <w:sz w:val="20"/>
          <w:szCs w:val="20"/>
          <w:color w:val="auto"/>
        </w:rPr>
      </w:pPr>
      <w:r>
        <w:rPr>
          <w:rFonts w:ascii="Arial" w:cs="Arial" w:eastAsia="Arial" w:hAnsi="Arial"/>
          <w:sz w:val="20"/>
          <w:szCs w:val="20"/>
          <w:color w:val="auto"/>
        </w:rPr>
        <w:t>following as guidelines in determining whether a New Version is a Major Feature Enhancement: [****] [****]</w:t>
      </w:r>
    </w:p>
    <w:p>
      <w:pPr>
        <w:spacing w:after="0" w:line="231" w:lineRule="exact"/>
        <w:rPr>
          <w:sz w:val="20"/>
          <w:szCs w:val="20"/>
          <w:color w:val="auto"/>
        </w:rPr>
      </w:pPr>
    </w:p>
    <w:p>
      <w:pPr>
        <w:ind w:left="340"/>
        <w:spacing w:after="0" w:line="239" w:lineRule="auto"/>
        <w:rPr>
          <w:sz w:val="20"/>
          <w:szCs w:val="20"/>
          <w:color w:val="auto"/>
        </w:rPr>
      </w:pPr>
      <w:r>
        <w:rPr>
          <w:rFonts w:ascii="Arial" w:cs="Arial" w:eastAsia="Arial" w:hAnsi="Arial"/>
          <w:sz w:val="20"/>
          <w:szCs w:val="20"/>
          <w:color w:val="auto"/>
        </w:rPr>
        <w:t>Notwithstanding the above, Verizon will not be required to pay for any [****] due to the fact that such [****] is not [****], or cannot be disabled within [****].</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9"/>
          <w:szCs w:val="19"/>
          <w:color w:val="auto"/>
        </w:rPr>
        <w:t>Verizon shall be responsible for any [****] and for the support of their use of the [****] Solution. Where [****] activities such as</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 not seen on [****] that require Supplier to [****] are required, such activities shall be [****] of up to [****] agreed upon</w:t>
      </w:r>
    </w:p>
    <w:p>
      <w:pPr>
        <w:ind w:left="340"/>
        <w:spacing w:after="0"/>
        <w:rPr>
          <w:sz w:val="20"/>
          <w:szCs w:val="20"/>
          <w:color w:val="auto"/>
        </w:rPr>
      </w:pPr>
      <w:r>
        <w:rPr>
          <w:rFonts w:ascii="Arial" w:cs="Arial" w:eastAsia="Arial" w:hAnsi="Arial"/>
          <w:sz w:val="20"/>
          <w:szCs w:val="20"/>
          <w:color w:val="auto"/>
        </w:rPr>
        <w:t xml:space="preserve">[****] per [****] are included in [****] Subscription License Fees under </w:t>
      </w:r>
      <w:r>
        <w:rPr>
          <w:rFonts w:ascii="Arial" w:cs="Arial" w:eastAsia="Arial" w:hAnsi="Arial"/>
          <w:sz w:val="20"/>
          <w:szCs w:val="20"/>
          <w:u w:val="single" w:color="auto"/>
          <w:color w:val="auto"/>
        </w:rPr>
        <w:t>Section 4.2.</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 Supplier shall [****] agreed upon [****] within [****].”</w:t>
      </w:r>
    </w:p>
    <w:p>
      <w:pPr>
        <w:spacing w:after="0" w:line="200" w:lineRule="exact"/>
        <w:rPr>
          <w:sz w:val="20"/>
          <w:szCs w:val="20"/>
          <w:color w:val="auto"/>
        </w:rPr>
      </w:pPr>
    </w:p>
    <w:p>
      <w:pPr>
        <w:spacing w:after="0" w:line="286" w:lineRule="exact"/>
        <w:rPr>
          <w:sz w:val="20"/>
          <w:szCs w:val="20"/>
          <w:color w:val="auto"/>
        </w:rPr>
      </w:pPr>
    </w:p>
    <w:p>
      <w:pPr>
        <w:ind w:left="340" w:right="5140" w:hanging="332"/>
        <w:spacing w:after="0" w:line="500" w:lineRule="auto"/>
        <w:tabs>
          <w:tab w:leader="none" w:pos="335" w:val="left"/>
        </w:tabs>
        <w:numPr>
          <w:ilvl w:val="0"/>
          <w:numId w:val="32"/>
        </w:numPr>
        <w:rPr>
          <w:rFonts w:ascii="Arial" w:cs="Arial" w:eastAsia="Arial" w:hAnsi="Arial"/>
          <w:sz w:val="20"/>
          <w:szCs w:val="20"/>
          <w:b w:val="1"/>
          <w:bCs w:val="1"/>
          <w:color w:val="1A1A1A"/>
        </w:rPr>
      </w:pPr>
      <w:r>
        <w:rPr>
          <w:rFonts w:ascii="Arial" w:cs="Arial" w:eastAsia="Arial" w:hAnsi="Arial"/>
          <w:sz w:val="20"/>
          <w:szCs w:val="20"/>
          <w:color w:val="1A1A1A"/>
        </w:rPr>
        <w:t xml:space="preserve">Replace Section 4.6 of SOW No.1 in its entirety with the following: </w:t>
      </w:r>
      <w:r>
        <w:rPr>
          <w:rFonts w:ascii="Arial" w:cs="Arial" w:eastAsia="Arial" w:hAnsi="Arial"/>
          <w:sz w:val="20"/>
          <w:szCs w:val="20"/>
          <w:color w:val="000000"/>
        </w:rPr>
        <w:t>“</w:t>
      </w:r>
      <w:r>
        <w:rPr>
          <w:rFonts w:ascii="Arial" w:cs="Arial" w:eastAsia="Arial" w:hAnsi="Arial"/>
          <w:sz w:val="20"/>
          <w:szCs w:val="20"/>
          <w:b w:val="1"/>
          <w:bCs w:val="1"/>
          <w:color w:val="000000"/>
        </w:rPr>
        <w:t>4.6 Termination for Convenience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Verizon and Synchronoss Proprietary and Confidential</w:t>
      </w:r>
    </w:p>
    <w:p>
      <w:pPr>
        <w:jc w:val="center"/>
        <w:ind w:right="-19"/>
        <w:spacing w:after="0" w:line="225" w:lineRule="auto"/>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GDSVF&amp;H\5399877.1</w:t>
      </w:r>
    </w:p>
    <w:p>
      <w:pPr>
        <w:sectPr>
          <w:pgSz w:w="11900" w:h="16838" w:orient="portrait"/>
          <w:cols w:equalWidth="0" w:num="1">
            <w:col w:w="11240"/>
          </w:cols>
          <w:pgMar w:left="320" w:top="1432" w:right="339" w:bottom="1440" w:gutter="0" w:footer="0" w:header="0"/>
        </w:sectPr>
      </w:pPr>
    </w:p>
    <w:bookmarkStart w:id="60" w:name="page61"/>
    <w:bookmarkEnd w:id="60"/>
    <w:p>
      <w:pPr>
        <w:spacing w:after="0" w:line="235" w:lineRule="exact"/>
        <w:rPr>
          <w:sz w:val="20"/>
          <w:szCs w:val="20"/>
          <w:color w:val="auto"/>
        </w:rPr>
      </w:pPr>
    </w:p>
    <w:p>
      <w:pPr>
        <w:jc w:val="both"/>
        <w:ind w:left="1500" w:hanging="647"/>
        <w:spacing w:after="0" w:line="239" w:lineRule="auto"/>
        <w:tabs>
          <w:tab w:leader="none" w:pos="1480" w:val="left"/>
        </w:tabs>
        <w:rPr>
          <w:sz w:val="20"/>
          <w:szCs w:val="20"/>
          <w:color w:val="auto"/>
        </w:rPr>
      </w:pPr>
      <w:r>
        <w:rPr>
          <w:rFonts w:ascii="Arial" w:cs="Arial" w:eastAsia="Arial" w:hAnsi="Arial"/>
          <w:sz w:val="20"/>
          <w:szCs w:val="20"/>
          <w:color w:val="auto"/>
        </w:rPr>
        <w:t>4.6.1</w:t>
        <w:tab/>
        <w:t xml:space="preserve">Verizon may, upon [****]prior written notice to Supplier, terminate this SOW, in whole or in part, for its convenience, provided that Verizon [****]. Billed Sub Minimum, as set forth in </w:t>
      </w:r>
      <w:r>
        <w:rPr>
          <w:rFonts w:ascii="Arial" w:cs="Arial" w:eastAsia="Arial" w:hAnsi="Arial"/>
          <w:sz w:val="20"/>
          <w:szCs w:val="20"/>
          <w:u w:val="single" w:color="auto"/>
          <w:color w:val="auto"/>
        </w:rPr>
        <w:t>Table 4.2a</w:t>
      </w:r>
      <w:r>
        <w:rPr>
          <w:rFonts w:ascii="Arial" w:cs="Arial" w:eastAsia="Arial" w:hAnsi="Arial"/>
          <w:sz w:val="20"/>
          <w:szCs w:val="20"/>
          <w:color w:val="auto"/>
        </w:rPr>
        <w:t>, shall continue to apply upon Verizon’s notice of termination for convenience to Supplier until the effective date of such termination.</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4.6.2 Transition Services</w:t>
      </w:r>
    </w:p>
    <w:p>
      <w:pPr>
        <w:spacing w:after="0" w:line="243" w:lineRule="exact"/>
        <w:rPr>
          <w:sz w:val="20"/>
          <w:szCs w:val="20"/>
          <w:color w:val="auto"/>
        </w:rPr>
      </w:pPr>
    </w:p>
    <w:p>
      <w:pPr>
        <w:jc w:val="both"/>
        <w:ind w:left="1500" w:hanging="153"/>
        <w:spacing w:after="0"/>
        <w:rPr>
          <w:sz w:val="20"/>
          <w:szCs w:val="20"/>
          <w:color w:val="auto"/>
        </w:rPr>
      </w:pPr>
      <w:r>
        <w:rPr>
          <w:rFonts w:ascii="Arial" w:cs="Arial" w:eastAsia="Arial" w:hAnsi="Arial"/>
          <w:sz w:val="20"/>
          <w:szCs w:val="20"/>
          <w:color w:val="auto"/>
        </w:rPr>
        <w:t xml:space="preserve">In the event Verizon exercises its right to terminate for convenience in accordance with </w:t>
      </w:r>
      <w:r>
        <w:rPr>
          <w:rFonts w:ascii="Arial" w:cs="Arial" w:eastAsia="Arial" w:hAnsi="Arial"/>
          <w:sz w:val="20"/>
          <w:szCs w:val="20"/>
          <w:u w:val="single" w:color="auto"/>
          <w:color w:val="auto"/>
        </w:rPr>
        <w:t>Section 4.6.1</w:t>
      </w:r>
      <w:r>
        <w:rPr>
          <w:rFonts w:ascii="Arial" w:cs="Arial" w:eastAsia="Arial" w:hAnsi="Arial"/>
          <w:sz w:val="20"/>
          <w:szCs w:val="20"/>
          <w:color w:val="auto"/>
        </w:rPr>
        <w:t xml:space="preserve"> above, the Parties agree to develop a plan for Transition Services which will include mutually agreeable fees payable by Verizon to Supplier for such Transition Services. For clarity, where migration Services are provided prior to the effective date of termination using Supplier professional services staff that provide [****] Software release support Services (i.e., through the regular course of business), such Services shall contribute to attainment of any applicable Annual PS Minimum (as hereinafter defined). Verizon will only be responsible for the Transition Services provided by Supplier to Verizon to assist Verizon in transitioning to a Verizon internal platform or to a third party supplier of Verizon, at Verizon’s discretion.”</w:t>
      </w:r>
    </w:p>
    <w:p>
      <w:pPr>
        <w:spacing w:after="0" w:line="239"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20"/>
          <w:szCs w:val="20"/>
          <w:b w:val="1"/>
          <w:bCs w:val="1"/>
          <w:color w:val="1A1A1A"/>
        </w:rPr>
      </w:pPr>
      <w:r>
        <w:rPr>
          <w:rFonts w:ascii="Arial" w:cs="Arial" w:eastAsia="Arial" w:hAnsi="Arial"/>
          <w:sz w:val="20"/>
          <w:szCs w:val="20"/>
          <w:color w:val="1A1A1A"/>
        </w:rPr>
        <w:t>Correct Section “E” (Failure to Deliver) in CR #8 to SOW No. 1 to reflect Section “F” (Failure to Deliver).</w:t>
      </w:r>
    </w:p>
    <w:p>
      <w:pPr>
        <w:spacing w:after="0" w:line="242" w:lineRule="exact"/>
        <w:rPr>
          <w:rFonts w:ascii="Arial" w:cs="Arial" w:eastAsia="Arial" w:hAnsi="Arial"/>
          <w:sz w:val="20"/>
          <w:szCs w:val="20"/>
          <w:b w:val="1"/>
          <w:bCs w:val="1"/>
          <w:color w:val="1A1A1A"/>
        </w:rPr>
      </w:pPr>
    </w:p>
    <w:p>
      <w:pPr>
        <w:ind w:left="300" w:hanging="292"/>
        <w:spacing w:after="0"/>
        <w:tabs>
          <w:tab w:leader="none" w:pos="300" w:val="left"/>
        </w:tabs>
        <w:numPr>
          <w:ilvl w:val="0"/>
          <w:numId w:val="33"/>
        </w:numPr>
        <w:rPr>
          <w:rFonts w:ascii="Arial" w:cs="Arial" w:eastAsia="Arial" w:hAnsi="Arial"/>
          <w:sz w:val="19"/>
          <w:szCs w:val="19"/>
          <w:b w:val="1"/>
          <w:bCs w:val="1"/>
          <w:color w:val="1A1A1A"/>
        </w:rPr>
      </w:pPr>
      <w:r>
        <w:rPr>
          <w:rFonts w:ascii="Arial" w:cs="Arial" w:eastAsia="Arial" w:hAnsi="Arial"/>
          <w:sz w:val="19"/>
          <w:szCs w:val="19"/>
          <w:color w:val="1A1A1A"/>
        </w:rPr>
        <w:t>Delete Section E (related to Professional Services) and Section F, (Failure to Deliver) in CR #8 to SOW No.1 in their entirety.</w:t>
      </w:r>
    </w:p>
    <w:p>
      <w:pPr>
        <w:spacing w:after="0" w:line="254" w:lineRule="exact"/>
        <w:rPr>
          <w:rFonts w:ascii="Arial" w:cs="Arial" w:eastAsia="Arial" w:hAnsi="Arial"/>
          <w:sz w:val="19"/>
          <w:szCs w:val="19"/>
          <w:b w:val="1"/>
          <w:bCs w:val="1"/>
          <w:color w:val="1A1A1A"/>
        </w:rPr>
      </w:pPr>
    </w:p>
    <w:p>
      <w:pPr>
        <w:ind w:left="320" w:hanging="312"/>
        <w:spacing w:after="0"/>
        <w:tabs>
          <w:tab w:leader="none" w:pos="320" w:val="left"/>
        </w:tabs>
        <w:numPr>
          <w:ilvl w:val="0"/>
          <w:numId w:val="33"/>
        </w:numPr>
        <w:rPr>
          <w:rFonts w:ascii="Arial" w:cs="Arial" w:eastAsia="Arial" w:hAnsi="Arial"/>
          <w:sz w:val="20"/>
          <w:szCs w:val="20"/>
          <w:b w:val="1"/>
          <w:bCs w:val="1"/>
          <w:color w:val="1A1A1A"/>
        </w:rPr>
      </w:pPr>
      <w:r>
        <w:rPr>
          <w:rFonts w:ascii="Arial" w:cs="Arial" w:eastAsia="Arial" w:hAnsi="Arial"/>
          <w:sz w:val="20"/>
          <w:szCs w:val="20"/>
          <w:color w:val="1A1A1A"/>
        </w:rPr>
        <w:t xml:space="preserve">Add a new Section 6 </w:t>
      </w:r>
      <w:r>
        <w:rPr>
          <w:rFonts w:ascii="Arial" w:cs="Arial" w:eastAsia="Arial" w:hAnsi="Arial"/>
          <w:sz w:val="20"/>
          <w:szCs w:val="20"/>
          <w:color w:val="000000"/>
        </w:rPr>
        <w:t>[****]</w:t>
      </w:r>
      <w:r>
        <w:rPr>
          <w:rFonts w:ascii="Arial" w:cs="Arial" w:eastAsia="Arial" w:hAnsi="Arial"/>
          <w:sz w:val="20"/>
          <w:szCs w:val="20"/>
          <w:color w:val="1A1A1A"/>
        </w:rPr>
        <w:t xml:space="preserve"> to Exhibit F of SOW No. 1 as follows:</w:t>
      </w:r>
    </w:p>
    <w:p>
      <w:pPr>
        <w:spacing w:after="0" w:line="219" w:lineRule="exact"/>
        <w:rPr>
          <w:sz w:val="20"/>
          <w:szCs w:val="20"/>
          <w:color w:val="auto"/>
        </w:rPr>
      </w:pPr>
    </w:p>
    <w:p>
      <w:pPr>
        <w:ind w:left="260"/>
        <w:spacing w:after="0"/>
        <w:tabs>
          <w:tab w:leader="none" w:pos="68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6.</w:t>
      </w:r>
      <w:r>
        <w:rPr>
          <w:sz w:val="20"/>
          <w:szCs w:val="20"/>
          <w:color w:val="auto"/>
        </w:rPr>
        <w:tab/>
      </w:r>
      <w:r>
        <w:rPr>
          <w:rFonts w:ascii="Arial" w:cs="Arial" w:eastAsia="Arial" w:hAnsi="Arial"/>
          <w:sz w:val="19"/>
          <w:szCs w:val="19"/>
          <w:color w:val="auto"/>
        </w:rPr>
        <w:t>[****]</w:t>
      </w:r>
    </w:p>
    <w:p>
      <w:pPr>
        <w:spacing w:after="0" w:line="267" w:lineRule="exact"/>
        <w:rPr>
          <w:sz w:val="20"/>
          <w:szCs w:val="20"/>
          <w:color w:val="auto"/>
        </w:rPr>
      </w:pPr>
    </w:p>
    <w:p>
      <w:pPr>
        <w:jc w:val="both"/>
        <w:ind w:left="260"/>
        <w:spacing w:after="0" w:line="241" w:lineRule="auto"/>
        <w:rPr>
          <w:sz w:val="20"/>
          <w:szCs w:val="20"/>
          <w:color w:val="auto"/>
        </w:rPr>
      </w:pPr>
      <w:r>
        <w:rPr>
          <w:rFonts w:ascii="Arial" w:cs="Arial" w:eastAsia="Arial" w:hAnsi="Arial"/>
          <w:sz w:val="20"/>
          <w:szCs w:val="20"/>
          <w:color w:val="auto"/>
        </w:rPr>
        <w:t xml:space="preserve">Professional Services will be provided to Verizon in accordance with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Exhibit F</w:t>
      </w:r>
      <w:r>
        <w:rPr>
          <w:rFonts w:ascii="Arial" w:cs="Arial" w:eastAsia="Arial" w:hAnsi="Arial"/>
          <w:sz w:val="20"/>
          <w:szCs w:val="20"/>
          <w:color w:val="auto"/>
        </w:rPr>
        <w:t>. Verizon [****] Such professional Services shall be consumed by Verizon according to an annual support plan agreed upon by the Parties (a) no later than [****] prior to the start of such annual period, updated quarterly as agreed upon by the Parties in writing, and (b) with no more than [****] of the estimated hours of such [****] of professional Services consumed in any [****]. Notwithstanding the foregoing, where Supplier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Verizon and Synchronoss Proprietary and Confidential</w:t>
      </w:r>
    </w:p>
    <w:p>
      <w:pPr>
        <w:jc w:val="center"/>
        <w:spacing w:after="0" w:line="225" w:lineRule="auto"/>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GDSVF&amp;H\5399877.1</w:t>
      </w:r>
    </w:p>
    <w:p>
      <w:pPr>
        <w:sectPr>
          <w:pgSz w:w="11900" w:h="16838" w:orient="portrait"/>
          <w:cols w:equalWidth="0" w:num="1">
            <w:col w:w="11240"/>
          </w:cols>
          <w:pgMar w:left="320" w:top="1440" w:right="339"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t>[****]</w:t>
      </w:r>
    </w:p>
    <w:p>
      <w:pPr>
        <w:spacing w:after="0" w:line="219" w:lineRule="exact"/>
        <w:rPr>
          <w:sz w:val="20"/>
          <w:szCs w:val="20"/>
          <w:color w:val="auto"/>
        </w:rPr>
      </w:pPr>
    </w:p>
    <w:p>
      <w:pPr>
        <w:ind w:left="260"/>
        <w:spacing w:after="0"/>
        <w:tabs>
          <w:tab w:leader="none" w:pos="72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9"/>
          <w:szCs w:val="19"/>
          <w:color w:val="auto"/>
        </w:rPr>
        <w:t>Qualifying Deliverables</w:t>
      </w:r>
    </w:p>
    <w:p>
      <w:pPr>
        <w:spacing w:after="0" w:line="267" w:lineRule="exact"/>
        <w:rPr>
          <w:sz w:val="20"/>
          <w:szCs w:val="20"/>
          <w:color w:val="auto"/>
        </w:rPr>
      </w:pPr>
    </w:p>
    <w:p>
      <w:pPr>
        <w:jc w:val="both"/>
        <w:ind w:left="660"/>
        <w:spacing w:after="0"/>
        <w:rPr>
          <w:sz w:val="20"/>
          <w:szCs w:val="20"/>
          <w:color w:val="auto"/>
        </w:rPr>
      </w:pPr>
      <w:r>
        <w:rPr>
          <w:rFonts w:ascii="Arial" w:cs="Arial" w:eastAsia="Arial" w:hAnsi="Arial"/>
          <w:sz w:val="20"/>
          <w:szCs w:val="20"/>
          <w:color w:val="auto"/>
        </w:rPr>
        <w:t xml:space="preserve">Notwithstanding anything to the contrary in this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in the event that a professional Services project under this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is provided by Supplier at Verizon’s request and such project or delivery of a given set of feature elements (as requested and described in one or more related ‘tickets’ requested in the JIRA system used by the Parties to track requests) has a price for delivery specified in a Final Quote of [****] for development, testing and delivery of such deliverables in a Software release (such deliverables, individually, a “</w:t>
      </w:r>
      <w:r>
        <w:rPr>
          <w:rFonts w:ascii="Arial" w:cs="Arial" w:eastAsia="Arial" w:hAnsi="Arial"/>
          <w:sz w:val="20"/>
          <w:szCs w:val="20"/>
          <w:b w:val="1"/>
          <w:bCs w:val="1"/>
          <w:color w:val="auto"/>
        </w:rPr>
        <w:t>Qualifying Deliverable</w:t>
      </w:r>
      <w:r>
        <w:rPr>
          <w:rFonts w:ascii="Arial" w:cs="Arial" w:eastAsia="Arial" w:hAnsi="Arial"/>
          <w:sz w:val="20"/>
          <w:szCs w:val="20"/>
          <w:color w:val="auto"/>
        </w:rPr>
        <w:t>” and collectively, “</w:t>
      </w:r>
      <w:r>
        <w:rPr>
          <w:rFonts w:ascii="Arial" w:cs="Arial" w:eastAsia="Arial" w:hAnsi="Arial"/>
          <w:sz w:val="20"/>
          <w:szCs w:val="20"/>
          <w:b w:val="1"/>
          <w:bCs w:val="1"/>
          <w:color w:val="auto"/>
        </w:rPr>
        <w:t>Qualifying Deliverables</w:t>
      </w:r>
      <w:r>
        <w:rPr>
          <w:rFonts w:ascii="Arial" w:cs="Arial" w:eastAsia="Arial" w:hAnsi="Arial"/>
          <w:sz w:val="20"/>
          <w:szCs w:val="20"/>
          <w:color w:val="auto"/>
        </w:rPr>
        <w:t xml:space="preserve">”); then the following terms and conditions shall apply to those Qualifying Deliverable(s) in the applicable Final Quote. In the event of a conflict between the terms of this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and the terms of other sections of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the terms of this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shall control with regard to Qualifying Deliverables only:</w:t>
      </w:r>
    </w:p>
    <w:p>
      <w:pPr>
        <w:spacing w:after="0" w:line="215" w:lineRule="exact"/>
        <w:rPr>
          <w:sz w:val="20"/>
          <w:szCs w:val="20"/>
          <w:color w:val="auto"/>
        </w:rPr>
      </w:pPr>
    </w:p>
    <w:p>
      <w:pPr>
        <w:jc w:val="both"/>
        <w:ind w:left="1300" w:hanging="647"/>
        <w:spacing w:after="0" w:line="250" w:lineRule="auto"/>
        <w:tabs>
          <w:tab w:leader="none" w:pos="1280" w:val="left"/>
        </w:tabs>
        <w:rPr>
          <w:sz w:val="20"/>
          <w:szCs w:val="20"/>
          <w:color w:val="auto"/>
        </w:rPr>
      </w:pPr>
      <w:r>
        <w:rPr>
          <w:rFonts w:ascii="Arial" w:cs="Arial" w:eastAsia="Arial" w:hAnsi="Arial"/>
          <w:sz w:val="20"/>
          <w:szCs w:val="20"/>
          <w:color w:val="auto"/>
        </w:rPr>
        <w:t>6.1.1</w:t>
        <w:tab/>
        <w:t>Supplier shall provide Documentation and requirements that shall be agreed upon by the Parties (the “</w:t>
      </w:r>
      <w:r>
        <w:rPr>
          <w:rFonts w:ascii="Arial" w:cs="Arial" w:eastAsia="Arial" w:hAnsi="Arial"/>
          <w:sz w:val="20"/>
          <w:szCs w:val="20"/>
          <w:b w:val="1"/>
          <w:bCs w:val="1"/>
          <w:color w:val="auto"/>
        </w:rPr>
        <w:t>QD</w:t>
      </w:r>
      <w:r>
        <w:rPr>
          <w:rFonts w:ascii="Arial" w:cs="Arial" w:eastAsia="Arial" w:hAnsi="Arial"/>
          <w:sz w:val="20"/>
          <w:szCs w:val="20"/>
          <w:color w:val="auto"/>
        </w:rPr>
        <w:t xml:space="preserve"> </w:t>
      </w:r>
      <w:r>
        <w:rPr>
          <w:rFonts w:ascii="Arial" w:cs="Arial" w:eastAsia="Arial" w:hAnsi="Arial"/>
          <w:sz w:val="20"/>
          <w:szCs w:val="20"/>
          <w:b w:val="1"/>
          <w:bCs w:val="1"/>
          <w:color w:val="auto"/>
        </w:rPr>
        <w:t>Requirements</w:t>
      </w:r>
      <w:r>
        <w:rPr>
          <w:rFonts w:ascii="Arial" w:cs="Arial" w:eastAsia="Arial" w:hAnsi="Arial"/>
          <w:sz w:val="20"/>
          <w:szCs w:val="20"/>
          <w:color w:val="auto"/>
        </w:rPr>
        <w:t>”) in accordance with</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Subsection 3.1.1.1</w:t>
      </w:r>
      <w:r>
        <w:rPr>
          <w:rFonts w:ascii="Arial" w:cs="Arial" w:eastAsia="Arial" w:hAnsi="Arial"/>
          <w:sz w:val="20"/>
          <w:szCs w:val="20"/>
          <w:b w:val="1"/>
          <w:bCs w:val="1"/>
          <w:color w:val="auto"/>
        </w:rPr>
        <w:t xml:space="preserve"> </w:t>
      </w:r>
      <w:r>
        <w:rPr>
          <w:rFonts w:ascii="Arial" w:cs="Arial" w:eastAsia="Arial" w:hAnsi="Arial"/>
          <w:sz w:val="20"/>
          <w:szCs w:val="20"/>
          <w:color w:val="auto"/>
        </w:rPr>
        <w:t>of this Exhibit and, upon such acceptance, shall become</w:t>
      </w:r>
      <w:r>
        <w:rPr>
          <w:rFonts w:ascii="Arial" w:cs="Arial" w:eastAsia="Arial" w:hAnsi="Arial"/>
          <w:sz w:val="20"/>
          <w:szCs w:val="20"/>
          <w:b w:val="1"/>
          <w:bCs w:val="1"/>
          <w:color w:val="auto"/>
        </w:rPr>
        <w:t xml:space="preserve"> </w:t>
      </w:r>
      <w:r>
        <w:rPr>
          <w:rFonts w:ascii="Arial" w:cs="Arial" w:eastAsia="Arial" w:hAnsi="Arial"/>
          <w:sz w:val="20"/>
          <w:szCs w:val="20"/>
          <w:color w:val="auto"/>
        </w:rPr>
        <w:t>Specifications for the applicable Qualifying Deliverables. In addition, for Qualifying Deliverables, the Parties shall mutually agree on a ‘project plan’ to include, as applicable:</w:t>
      </w:r>
    </w:p>
    <w:p>
      <w:pPr>
        <w:spacing w:after="0" w:line="227"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jc w:val="both"/>
        <w:ind w:left="1300" w:hanging="647"/>
        <w:spacing w:after="0" w:line="241" w:lineRule="auto"/>
        <w:tabs>
          <w:tab w:leader="none" w:pos="1280" w:val="left"/>
        </w:tabs>
        <w:rPr>
          <w:sz w:val="20"/>
          <w:szCs w:val="20"/>
          <w:color w:val="auto"/>
        </w:rPr>
      </w:pPr>
      <w:r>
        <w:rPr>
          <w:rFonts w:ascii="Arial" w:cs="Arial" w:eastAsia="Arial" w:hAnsi="Arial"/>
          <w:sz w:val="20"/>
          <w:szCs w:val="20"/>
          <w:color w:val="auto"/>
        </w:rPr>
        <w:t>6.1.2</w:t>
        <w:tab/>
        <w:t>The price for Qualifying Deliverables (as specified in the agreed upon QD Requirements and project plan) will be agreed in writing in advance with Verizon and reflected in a Final Quote accepted by Verizon. Changes to the QD Requirements or Project plan shall be mutually agreed upon by the Parties. No deliverable will be considered a Qualifying Deliverable without the requisite QD Requirements documents and project plan being complete and mutually accepted prior to start by Supplier of development or delivery.</w:t>
      </w:r>
    </w:p>
    <w:p>
      <w:pPr>
        <w:spacing w:after="0" w:line="236" w:lineRule="exact"/>
        <w:rPr>
          <w:sz w:val="20"/>
          <w:szCs w:val="20"/>
          <w:color w:val="auto"/>
        </w:rPr>
      </w:pPr>
    </w:p>
    <w:p>
      <w:pPr>
        <w:jc w:val="both"/>
        <w:ind w:left="1300" w:hanging="647"/>
        <w:spacing w:after="0" w:line="246" w:lineRule="auto"/>
        <w:tabs>
          <w:tab w:leader="none" w:pos="1280" w:val="left"/>
        </w:tabs>
        <w:rPr>
          <w:sz w:val="20"/>
          <w:szCs w:val="20"/>
          <w:color w:val="auto"/>
        </w:rPr>
      </w:pPr>
      <w:r>
        <w:rPr>
          <w:rFonts w:ascii="Arial" w:cs="Arial" w:eastAsia="Arial" w:hAnsi="Arial"/>
          <w:sz w:val="20"/>
          <w:szCs w:val="20"/>
          <w:color w:val="auto"/>
        </w:rPr>
        <w:t>6.1.3</w:t>
        <w:tab/>
        <w:t>Fixed fee(s) specified in the accepted Final Quote for Qualifying Deliverables shall be invoiced as follows (unless otherwise expressly agreed upon by the Parties in writing or specified in the accepted Final Quote):</w:t>
      </w:r>
    </w:p>
    <w:p>
      <w:pPr>
        <w:spacing w:after="0" w:line="231"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6.1.4</w:t>
      </w:r>
      <w:r>
        <w:rPr>
          <w:sz w:val="20"/>
          <w:szCs w:val="20"/>
          <w:color w:val="auto"/>
        </w:rPr>
        <w:tab/>
      </w:r>
      <w:r>
        <w:rPr>
          <w:rFonts w:ascii="Arial" w:cs="Arial" w:eastAsia="Arial" w:hAnsi="Arial"/>
          <w:sz w:val="19"/>
          <w:szCs w:val="19"/>
          <w:color w:val="auto"/>
        </w:rPr>
        <w:t>Critical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Verizon and Synchronoss Proprietary and Confidential</w:t>
      </w:r>
    </w:p>
    <w:p>
      <w:pPr>
        <w:jc w:val="center"/>
        <w:spacing w:after="0" w:line="225" w:lineRule="auto"/>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GDSVF&amp;H\5399877.1</w:t>
      </w:r>
    </w:p>
    <w:p>
      <w:pPr>
        <w:sectPr>
          <w:pgSz w:w="11900" w:h="16838" w:orient="portrait"/>
          <w:cols w:equalWidth="0" w:num="1">
            <w:col w:w="11240"/>
          </w:cols>
          <w:pgMar w:left="320" w:top="1432" w:right="339" w:bottom="1440" w:gutter="0" w:footer="0" w:header="0"/>
        </w:sectPr>
      </w:pPr>
    </w:p>
    <w:bookmarkStart w:id="62" w:name="page63"/>
    <w:bookmarkEnd w:id="62"/>
    <w:p>
      <w:pPr>
        <w:ind w:left="1300"/>
        <w:spacing w:after="0"/>
        <w:rPr>
          <w:sz w:val="20"/>
          <w:szCs w:val="20"/>
          <w:color w:val="auto"/>
        </w:rPr>
      </w:pPr>
      <w:r>
        <w:rPr>
          <w:rFonts w:ascii="Arial" w:cs="Arial" w:eastAsia="Arial" w:hAnsi="Arial"/>
          <w:sz w:val="20"/>
          <w:szCs w:val="20"/>
          <w:color w:val="auto"/>
        </w:rPr>
        <w:t>In the event Supplier [****]</w:t>
      </w: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800" w:type="dxa"/>
            <w:vAlign w:val="bottom"/>
            <w:tcBorders>
              <w:top w:val="single" w:sz="8" w:color="auto"/>
              <w:left w:val="single" w:sz="8" w:color="auto"/>
              <w:right w:val="single" w:sz="8" w:color="auto"/>
            </w:tcBorders>
            <w:gridSpan w:val="3"/>
          </w:tcPr>
          <w:p>
            <w:pPr>
              <w:ind w:left="40"/>
              <w:spacing w:after="0" w:line="216" w:lineRule="exact"/>
              <w:rPr>
                <w:sz w:val="20"/>
                <w:szCs w:val="20"/>
                <w:color w:val="auto"/>
              </w:rPr>
            </w:pPr>
            <w:r>
              <w:rPr>
                <w:rFonts w:ascii="Arial" w:cs="Arial" w:eastAsia="Arial" w:hAnsi="Arial"/>
                <w:sz w:val="20"/>
                <w:szCs w:val="20"/>
                <w:color w:val="auto"/>
              </w:rPr>
              <w:t>Level of Error (as defined in Section 7.1 above)</w:t>
            </w:r>
          </w:p>
        </w:tc>
        <w:tc>
          <w:tcPr>
            <w:tcW w:w="3900" w:type="dxa"/>
            <w:vAlign w:val="bottom"/>
            <w:tcBorders>
              <w:top w:val="single" w:sz="8" w:color="auto"/>
              <w:right w:val="single" w:sz="8" w:color="auto"/>
            </w:tcBorders>
          </w:tcPr>
          <w:p>
            <w:pPr>
              <w:jc w:val="right"/>
              <w:ind w:right="3381"/>
              <w:spacing w:after="0" w:line="216" w:lineRule="exact"/>
              <w:rPr>
                <w:sz w:val="20"/>
                <w:szCs w:val="20"/>
                <w:color w:val="auto"/>
              </w:rPr>
            </w:pPr>
            <w:r>
              <w:rPr>
                <w:rFonts w:ascii="Arial" w:cs="Arial" w:eastAsia="Arial" w:hAnsi="Arial"/>
                <w:sz w:val="20"/>
                <w:szCs w:val="20"/>
                <w:color w:val="auto"/>
                <w:w w:val="94"/>
              </w:rPr>
              <w:t>[****]</w:t>
            </w:r>
          </w:p>
        </w:tc>
      </w:tr>
      <w:tr>
        <w:trPr>
          <w:trHeight w:val="74"/>
        </w:trPr>
        <w:tc>
          <w:tcPr>
            <w:tcW w:w="2520" w:type="dxa"/>
            <w:vAlign w:val="bottom"/>
            <w:tcBorders>
              <w:left w:val="single" w:sz="8" w:color="auto"/>
              <w:bottom w:val="single" w:sz="8" w:color="auto"/>
            </w:tcBorders>
          </w:tcPr>
          <w:p>
            <w:pPr>
              <w:spacing w:after="0"/>
              <w:rPr>
                <w:sz w:val="6"/>
                <w:szCs w:val="6"/>
                <w:color w:val="auto"/>
              </w:rPr>
            </w:pPr>
          </w:p>
        </w:tc>
        <w:tc>
          <w:tcPr>
            <w:tcW w:w="1000" w:type="dxa"/>
            <w:vAlign w:val="bottom"/>
            <w:tcBorders>
              <w:top w:val="single" w:sz="8" w:color="auto"/>
              <w:bottom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3900" w:type="dxa"/>
            <w:vAlign w:val="bottom"/>
            <w:tcBorders>
              <w:bottom w:val="single" w:sz="8" w:color="auto"/>
              <w:right w:val="single" w:sz="8" w:color="auto"/>
            </w:tcBorders>
          </w:tcPr>
          <w:p>
            <w:pPr>
              <w:spacing w:after="0"/>
              <w:rPr>
                <w:sz w:val="6"/>
                <w:szCs w:val="6"/>
                <w:color w:val="auto"/>
              </w:rPr>
            </w:pPr>
          </w:p>
        </w:tc>
      </w:tr>
      <w:tr>
        <w:trPr>
          <w:trHeight w:val="268"/>
        </w:trPr>
        <w:tc>
          <w:tcPr>
            <w:tcW w:w="58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Critical Error or P1 as defined in Table 2 below</w:t>
            </w:r>
          </w:p>
        </w:tc>
        <w:tc>
          <w:tcPr>
            <w:tcW w:w="3900" w:type="dxa"/>
            <w:vAlign w:val="bottom"/>
            <w:tcBorders>
              <w:right w:val="single" w:sz="8" w:color="auto"/>
            </w:tcBorders>
          </w:tcPr>
          <w:p>
            <w:pPr>
              <w:jc w:val="right"/>
              <w:ind w:right="3381"/>
              <w:spacing w:after="0"/>
              <w:rPr>
                <w:sz w:val="20"/>
                <w:szCs w:val="20"/>
                <w:color w:val="auto"/>
              </w:rPr>
            </w:pPr>
            <w:r>
              <w:rPr>
                <w:rFonts w:ascii="Arial" w:cs="Arial" w:eastAsia="Arial" w:hAnsi="Arial"/>
                <w:sz w:val="20"/>
                <w:szCs w:val="20"/>
                <w:color w:val="auto"/>
                <w:w w:val="94"/>
              </w:rPr>
              <w:t>[****]</w:t>
            </w:r>
          </w:p>
        </w:tc>
      </w:tr>
      <w:tr>
        <w:trPr>
          <w:trHeight w:val="36"/>
        </w:trPr>
        <w:tc>
          <w:tcPr>
            <w:tcW w:w="2520" w:type="dxa"/>
            <w:vAlign w:val="bottom"/>
            <w:tcBorders>
              <w:left w:val="single" w:sz="8" w:color="auto"/>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r>
      <w:tr>
        <w:trPr>
          <w:trHeight w:val="268"/>
        </w:trPr>
        <w:tc>
          <w:tcPr>
            <w:tcW w:w="58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Major Error or P2 as defined in Table 2 below</w:t>
            </w:r>
          </w:p>
        </w:tc>
        <w:tc>
          <w:tcPr>
            <w:tcW w:w="3900" w:type="dxa"/>
            <w:vAlign w:val="bottom"/>
            <w:tcBorders>
              <w:right w:val="single" w:sz="8" w:color="auto"/>
            </w:tcBorders>
          </w:tcPr>
          <w:p>
            <w:pPr>
              <w:jc w:val="right"/>
              <w:ind w:right="3381"/>
              <w:spacing w:after="0"/>
              <w:rPr>
                <w:sz w:val="20"/>
                <w:szCs w:val="20"/>
                <w:color w:val="auto"/>
              </w:rPr>
            </w:pPr>
            <w:r>
              <w:rPr>
                <w:rFonts w:ascii="Arial" w:cs="Arial" w:eastAsia="Arial" w:hAnsi="Arial"/>
                <w:sz w:val="20"/>
                <w:szCs w:val="20"/>
                <w:color w:val="auto"/>
                <w:w w:val="94"/>
              </w:rPr>
              <w:t>[****]</w:t>
            </w:r>
          </w:p>
        </w:tc>
      </w:tr>
      <w:tr>
        <w:trPr>
          <w:trHeight w:val="37"/>
        </w:trPr>
        <w:tc>
          <w:tcPr>
            <w:tcW w:w="2520" w:type="dxa"/>
            <w:vAlign w:val="bottom"/>
            <w:tcBorders>
              <w:left w:val="single" w:sz="8" w:color="auto"/>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r>
      <w:tr>
        <w:trPr>
          <w:trHeight w:val="268"/>
        </w:trPr>
        <w:tc>
          <w:tcPr>
            <w:tcW w:w="58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Serious Error or P3 as defined in Table 2 below</w:t>
            </w:r>
          </w:p>
        </w:tc>
        <w:tc>
          <w:tcPr>
            <w:tcW w:w="3900" w:type="dxa"/>
            <w:vAlign w:val="bottom"/>
            <w:tcBorders>
              <w:right w:val="single" w:sz="8" w:color="auto"/>
            </w:tcBorders>
          </w:tcPr>
          <w:p>
            <w:pPr>
              <w:jc w:val="right"/>
              <w:ind w:right="3381"/>
              <w:spacing w:after="0"/>
              <w:rPr>
                <w:sz w:val="20"/>
                <w:szCs w:val="20"/>
                <w:color w:val="auto"/>
              </w:rPr>
            </w:pPr>
            <w:r>
              <w:rPr>
                <w:rFonts w:ascii="Arial" w:cs="Arial" w:eastAsia="Arial" w:hAnsi="Arial"/>
                <w:sz w:val="20"/>
                <w:szCs w:val="20"/>
                <w:color w:val="auto"/>
                <w:w w:val="94"/>
              </w:rPr>
              <w:t>[****]</w:t>
            </w:r>
          </w:p>
        </w:tc>
      </w:tr>
      <w:tr>
        <w:trPr>
          <w:trHeight w:val="36"/>
        </w:trPr>
        <w:tc>
          <w:tcPr>
            <w:tcW w:w="2520" w:type="dxa"/>
            <w:vAlign w:val="bottom"/>
            <w:tcBorders>
              <w:left w:val="single" w:sz="8" w:color="auto"/>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r>
      <w:tr>
        <w:trPr>
          <w:trHeight w:val="268"/>
        </w:trPr>
        <w:tc>
          <w:tcPr>
            <w:tcW w:w="58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Minor Error or P4 as defined in Table 2 below</w:t>
            </w:r>
          </w:p>
        </w:tc>
        <w:tc>
          <w:tcPr>
            <w:tcW w:w="3900" w:type="dxa"/>
            <w:vAlign w:val="bottom"/>
            <w:tcBorders>
              <w:right w:val="single" w:sz="8" w:color="auto"/>
            </w:tcBorders>
          </w:tcPr>
          <w:p>
            <w:pPr>
              <w:jc w:val="right"/>
              <w:ind w:right="3381"/>
              <w:spacing w:after="0"/>
              <w:rPr>
                <w:sz w:val="20"/>
                <w:szCs w:val="20"/>
                <w:color w:val="auto"/>
              </w:rPr>
            </w:pPr>
            <w:r>
              <w:rPr>
                <w:rFonts w:ascii="Arial" w:cs="Arial" w:eastAsia="Arial" w:hAnsi="Arial"/>
                <w:sz w:val="20"/>
                <w:szCs w:val="20"/>
                <w:color w:val="auto"/>
                <w:w w:val="94"/>
              </w:rPr>
              <w:t>[****]</w:t>
            </w:r>
          </w:p>
        </w:tc>
      </w:tr>
      <w:tr>
        <w:trPr>
          <w:trHeight w:val="36"/>
        </w:trPr>
        <w:tc>
          <w:tcPr>
            <w:tcW w:w="2520" w:type="dxa"/>
            <w:vAlign w:val="bottom"/>
            <w:tcBorders>
              <w:left w:val="single" w:sz="8" w:color="auto"/>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80" w:type="dxa"/>
            <w:vAlign w:val="bottom"/>
            <w:tcBorders>
              <w:bottom w:val="single" w:sz="8" w:color="auto"/>
              <w:right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r>
    </w:tbl>
    <w:p>
      <w:pPr>
        <w:spacing w:after="0" w:line="10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Table 2</w:t>
      </w:r>
    </w:p>
    <w:p>
      <w:pPr>
        <w:spacing w:after="0" w:line="10"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3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Error Class</w:t>
            </w:r>
          </w:p>
        </w:tc>
        <w:tc>
          <w:tcPr>
            <w:tcW w:w="6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36"/>
        </w:trPr>
        <w:tc>
          <w:tcPr>
            <w:tcW w:w="3140" w:type="dxa"/>
            <w:vAlign w:val="bottom"/>
            <w:tcBorders>
              <w:left w:val="single" w:sz="8" w:color="auto"/>
              <w:bottom w:val="single" w:sz="8" w:color="auto"/>
              <w:right w:val="single" w:sz="8" w:color="auto"/>
            </w:tcBorders>
          </w:tcPr>
          <w:p>
            <w:pPr>
              <w:spacing w:after="0"/>
              <w:rPr>
                <w:sz w:val="3"/>
                <w:szCs w:val="3"/>
                <w:color w:val="auto"/>
              </w:rPr>
            </w:pPr>
          </w:p>
        </w:tc>
        <w:tc>
          <w:tcPr>
            <w:tcW w:w="6480" w:type="dxa"/>
            <w:vAlign w:val="bottom"/>
            <w:tcBorders>
              <w:bottom w:val="single" w:sz="8" w:color="auto"/>
              <w:right w:val="single" w:sz="8" w:color="auto"/>
            </w:tcBorders>
          </w:tcPr>
          <w:p>
            <w:pPr>
              <w:spacing w:after="0"/>
              <w:rPr>
                <w:sz w:val="3"/>
                <w:szCs w:val="3"/>
                <w:color w:val="auto"/>
              </w:rPr>
            </w:pPr>
          </w:p>
        </w:tc>
      </w:tr>
      <w:tr>
        <w:trPr>
          <w:trHeight w:val="255"/>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Critical Error</w:t>
            </w:r>
            <w:r>
              <w:rPr>
                <w:rFonts w:ascii="Arial" w:cs="Arial" w:eastAsia="Arial" w:hAnsi="Arial"/>
                <w:sz w:val="20"/>
                <w:szCs w:val="20"/>
                <w:color w:val="auto"/>
              </w:rPr>
              <w:t>” or “</w:t>
            </w:r>
            <w:r>
              <w:rPr>
                <w:rFonts w:ascii="Arial" w:cs="Arial" w:eastAsia="Arial" w:hAnsi="Arial"/>
                <w:sz w:val="20"/>
                <w:szCs w:val="20"/>
                <w:b w:val="1"/>
                <w:bCs w:val="1"/>
                <w:color w:val="auto"/>
              </w:rPr>
              <w:t>P1</w:t>
            </w:r>
            <w:r>
              <w:rPr>
                <w:rFonts w:ascii="Arial" w:cs="Arial" w:eastAsia="Arial" w:hAnsi="Arial"/>
                <w:sz w:val="20"/>
                <w:szCs w:val="20"/>
                <w:color w:val="auto"/>
              </w:rPr>
              <w:t>”</w:t>
            </w:r>
          </w:p>
        </w:tc>
        <w:tc>
          <w:tcPr>
            <w:tcW w:w="6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 Error which [****]</w:t>
            </w:r>
          </w:p>
        </w:tc>
      </w:tr>
      <w:tr>
        <w:trPr>
          <w:trHeight w:val="22"/>
        </w:trPr>
        <w:tc>
          <w:tcPr>
            <w:tcW w:w="3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8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Major Error</w:t>
            </w:r>
            <w:r>
              <w:rPr>
                <w:rFonts w:ascii="Arial" w:cs="Arial" w:eastAsia="Arial" w:hAnsi="Arial"/>
                <w:sz w:val="20"/>
                <w:szCs w:val="20"/>
                <w:color w:val="auto"/>
              </w:rPr>
              <w:t>” or “</w:t>
            </w:r>
            <w:r>
              <w:rPr>
                <w:rFonts w:ascii="Arial" w:cs="Arial" w:eastAsia="Arial" w:hAnsi="Arial"/>
                <w:sz w:val="20"/>
                <w:szCs w:val="20"/>
                <w:b w:val="1"/>
                <w:bCs w:val="1"/>
                <w:color w:val="auto"/>
              </w:rPr>
              <w:t>P2</w:t>
            </w:r>
            <w:r>
              <w:rPr>
                <w:rFonts w:ascii="Arial" w:cs="Arial" w:eastAsia="Arial" w:hAnsi="Arial"/>
                <w:sz w:val="20"/>
                <w:szCs w:val="20"/>
                <w:color w:val="auto"/>
              </w:rPr>
              <w:t>”</w:t>
            </w:r>
          </w:p>
        </w:tc>
        <w:tc>
          <w:tcPr>
            <w:tcW w:w="6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 Error, which [****]</w:t>
            </w:r>
          </w:p>
        </w:tc>
      </w:tr>
      <w:tr>
        <w:trPr>
          <w:trHeight w:val="22"/>
        </w:trPr>
        <w:tc>
          <w:tcPr>
            <w:tcW w:w="3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8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Serious Error</w:t>
            </w:r>
            <w:r>
              <w:rPr>
                <w:rFonts w:ascii="Arial" w:cs="Arial" w:eastAsia="Arial" w:hAnsi="Arial"/>
                <w:sz w:val="20"/>
                <w:szCs w:val="20"/>
                <w:color w:val="auto"/>
              </w:rPr>
              <w:t>” or “</w:t>
            </w:r>
            <w:r>
              <w:rPr>
                <w:rFonts w:ascii="Arial" w:cs="Arial" w:eastAsia="Arial" w:hAnsi="Arial"/>
                <w:sz w:val="20"/>
                <w:szCs w:val="20"/>
                <w:b w:val="1"/>
                <w:bCs w:val="1"/>
                <w:color w:val="auto"/>
              </w:rPr>
              <w:t>P3</w:t>
            </w:r>
            <w:r>
              <w:rPr>
                <w:rFonts w:ascii="Arial" w:cs="Arial" w:eastAsia="Arial" w:hAnsi="Arial"/>
                <w:sz w:val="20"/>
                <w:szCs w:val="20"/>
                <w:color w:val="auto"/>
              </w:rPr>
              <w:t>”</w:t>
            </w:r>
          </w:p>
        </w:tc>
        <w:tc>
          <w:tcPr>
            <w:tcW w:w="6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 Error which [****]</w:t>
            </w:r>
          </w:p>
        </w:tc>
      </w:tr>
      <w:tr>
        <w:trPr>
          <w:trHeight w:val="22"/>
        </w:trPr>
        <w:tc>
          <w:tcPr>
            <w:tcW w:w="3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80" w:type="dxa"/>
            <w:vAlign w:val="bottom"/>
            <w:tcBorders>
              <w:bottom w:val="single" w:sz="8" w:color="auto"/>
              <w:right w:val="single" w:sz="8" w:color="auto"/>
            </w:tcBorders>
          </w:tcPr>
          <w:p>
            <w:pPr>
              <w:spacing w:after="0" w:line="20" w:lineRule="exact"/>
              <w:rPr>
                <w:sz w:val="1"/>
                <w:szCs w:val="1"/>
                <w:color w:val="auto"/>
              </w:rPr>
            </w:pPr>
          </w:p>
        </w:tc>
      </w:tr>
      <w:tr>
        <w:trPr>
          <w:trHeight w:val="255"/>
        </w:trPr>
        <w:tc>
          <w:tcPr>
            <w:tcW w:w="3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Minor Error</w:t>
            </w:r>
            <w:r>
              <w:rPr>
                <w:rFonts w:ascii="Arial" w:cs="Arial" w:eastAsia="Arial" w:hAnsi="Arial"/>
                <w:sz w:val="20"/>
                <w:szCs w:val="20"/>
                <w:color w:val="auto"/>
              </w:rPr>
              <w:t>” or “</w:t>
            </w:r>
            <w:r>
              <w:rPr>
                <w:rFonts w:ascii="Arial" w:cs="Arial" w:eastAsia="Arial" w:hAnsi="Arial"/>
                <w:sz w:val="20"/>
                <w:szCs w:val="20"/>
                <w:b w:val="1"/>
                <w:bCs w:val="1"/>
                <w:color w:val="auto"/>
              </w:rPr>
              <w:t>P4</w:t>
            </w:r>
            <w:r>
              <w:rPr>
                <w:rFonts w:ascii="Arial" w:cs="Arial" w:eastAsia="Arial" w:hAnsi="Arial"/>
                <w:sz w:val="20"/>
                <w:szCs w:val="20"/>
                <w:color w:val="auto"/>
              </w:rPr>
              <w:t>”</w:t>
            </w:r>
          </w:p>
        </w:tc>
        <w:tc>
          <w:tcPr>
            <w:tcW w:w="6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 Error which [****]</w:t>
            </w:r>
          </w:p>
        </w:tc>
      </w:tr>
      <w:tr>
        <w:trPr>
          <w:trHeight w:val="22"/>
        </w:trPr>
        <w:tc>
          <w:tcPr>
            <w:tcW w:w="3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8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00"/>
        <w:spacing w:after="0"/>
        <w:rPr>
          <w:sz w:val="20"/>
          <w:szCs w:val="20"/>
          <w:color w:val="auto"/>
        </w:rPr>
      </w:pPr>
      <w:r>
        <w:rPr>
          <w:rFonts w:ascii="Arial" w:cs="Arial" w:eastAsia="Arial" w:hAnsi="Arial"/>
          <w:sz w:val="14"/>
          <w:szCs w:val="14"/>
          <w:color w:val="auto"/>
        </w:rPr>
        <w:t>Verizon and Synchronoss Proprietary and Confidential</w:t>
      </w:r>
    </w:p>
    <w:p>
      <w:pPr>
        <w:jc w:val="center"/>
        <w:ind w:right="-1100"/>
        <w:spacing w:after="0" w:line="225" w:lineRule="auto"/>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GDSVF&amp;H\5399877.1</w:t>
      </w:r>
    </w:p>
    <w:p>
      <w:pPr>
        <w:sectPr>
          <w:pgSz w:w="11900" w:h="16838" w:orient="portrait"/>
          <w:cols w:equalWidth="0" w:num="1">
            <w:col w:w="10139"/>
          </w:cols>
          <w:pgMar w:left="320" w:top="1432" w:right="1440" w:bottom="1440" w:gutter="0" w:footer="0" w:header="0"/>
        </w:sectPr>
      </w:pPr>
    </w:p>
    <w:bookmarkStart w:id="63" w:name="page64"/>
    <w:bookmarkEnd w:id="63"/>
    <w:p>
      <w:pPr>
        <w:ind w:left="1300"/>
        <w:spacing w:after="0"/>
        <w:rPr>
          <w:sz w:val="20"/>
          <w:szCs w:val="20"/>
          <w:color w:val="auto"/>
        </w:rPr>
      </w:pPr>
      <w:r>
        <w:rPr>
          <w:rFonts w:ascii="Arial" w:cs="Arial" w:eastAsia="Arial" w:hAnsi="Arial"/>
          <w:sz w:val="20"/>
          <w:szCs w:val="20"/>
          <w:color w:val="auto"/>
        </w:rPr>
        <w:t>Notwithstanding the foregoing, however, if [****]</w:t>
      </w:r>
    </w:p>
    <w:p>
      <w:pPr>
        <w:spacing w:after="0" w:line="219" w:lineRule="exact"/>
        <w:rPr>
          <w:sz w:val="20"/>
          <w:szCs w:val="20"/>
          <w:color w:val="auto"/>
        </w:rPr>
      </w:pPr>
    </w:p>
    <w:p>
      <w:pPr>
        <w:ind w:left="260"/>
        <w:spacing w:after="0"/>
        <w:tabs>
          <w:tab w:leader="none" w:pos="72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9"/>
          <w:szCs w:val="19"/>
          <w:color w:val="auto"/>
        </w:rPr>
        <w:t>Termination for Professional Services</w:t>
      </w:r>
    </w:p>
    <w:p>
      <w:pPr>
        <w:spacing w:after="0" w:line="267" w:lineRule="exact"/>
        <w:rPr>
          <w:sz w:val="20"/>
          <w:szCs w:val="20"/>
          <w:color w:val="auto"/>
        </w:rPr>
      </w:pPr>
    </w:p>
    <w:p>
      <w:pPr>
        <w:jc w:val="both"/>
        <w:ind w:left="260"/>
        <w:spacing w:after="0" w:line="239" w:lineRule="auto"/>
        <w:rPr>
          <w:sz w:val="20"/>
          <w:szCs w:val="20"/>
          <w:color w:val="auto"/>
        </w:rPr>
      </w:pPr>
      <w:r>
        <w:rPr>
          <w:rFonts w:ascii="Arial" w:cs="Arial" w:eastAsia="Arial" w:hAnsi="Arial"/>
          <w:sz w:val="20"/>
          <w:szCs w:val="20"/>
          <w:color w:val="auto"/>
        </w:rPr>
        <w:t>Verizon shall be entitled to terminate a Final Quote for its [****], and in such case, Supplier shall be due amounts for all professional Services (including for Qualifying Deliverables) rendered until such date of termination. Following such notice, Supplier shall have no further obligation to implement remaining professional Services requirements (including QD Requirements) and [****].”</w:t>
      </w:r>
    </w:p>
    <w:p>
      <w:pPr>
        <w:spacing w:after="0" w:line="2" w:lineRule="exact"/>
        <w:rPr>
          <w:sz w:val="20"/>
          <w:szCs w:val="20"/>
          <w:color w:val="auto"/>
        </w:rPr>
      </w:pPr>
    </w:p>
    <w:p>
      <w:pPr>
        <w:ind w:left="340" w:right="4040" w:hanging="332"/>
        <w:spacing w:after="0" w:line="480" w:lineRule="auto"/>
        <w:tabs>
          <w:tab w:leader="none" w:pos="335" w:val="left"/>
        </w:tabs>
        <w:numPr>
          <w:ilvl w:val="0"/>
          <w:numId w:val="34"/>
        </w:numPr>
        <w:rPr>
          <w:rFonts w:ascii="Arial" w:cs="Arial" w:eastAsia="Arial" w:hAnsi="Arial"/>
          <w:sz w:val="20"/>
          <w:szCs w:val="20"/>
          <w:b w:val="1"/>
          <w:bCs w:val="1"/>
          <w:color w:val="1A1A1A"/>
        </w:rPr>
      </w:pPr>
      <w:r>
        <w:rPr>
          <w:rFonts w:ascii="Arial" w:cs="Arial" w:eastAsia="Arial" w:hAnsi="Arial"/>
          <w:sz w:val="20"/>
          <w:szCs w:val="20"/>
          <w:color w:val="1A1A1A"/>
        </w:rPr>
        <w:t xml:space="preserve">The following new Section 7 (Marketing Development) is added to SOW No. 1: </w:t>
      </w:r>
      <w:r>
        <w:rPr>
          <w:rFonts w:ascii="Arial" w:cs="Arial" w:eastAsia="Arial" w:hAnsi="Arial"/>
          <w:sz w:val="20"/>
          <w:szCs w:val="20"/>
          <w:color w:val="000000"/>
        </w:rPr>
        <w:t>“</w:t>
      </w:r>
      <w:r>
        <w:rPr>
          <w:rFonts w:ascii="Arial" w:cs="Arial" w:eastAsia="Arial" w:hAnsi="Arial"/>
          <w:sz w:val="20"/>
          <w:szCs w:val="20"/>
          <w:b w:val="1"/>
          <w:bCs w:val="1"/>
          <w:color w:val="000000"/>
        </w:rPr>
        <w:t>7. Marketing Development</w:t>
      </w:r>
    </w:p>
    <w:p>
      <w:pPr>
        <w:spacing w:after="0" w:line="1" w:lineRule="exact"/>
        <w:rPr>
          <w:rFonts w:ascii="Arial" w:cs="Arial" w:eastAsia="Arial" w:hAnsi="Arial"/>
          <w:sz w:val="20"/>
          <w:szCs w:val="20"/>
          <w:b w:val="1"/>
          <w:bCs w:val="1"/>
          <w:color w:val="1A1A1A"/>
        </w:rPr>
      </w:pPr>
    </w:p>
    <w:p>
      <w:pPr>
        <w:ind w:left="660"/>
        <w:spacing w:after="0"/>
        <w:rPr>
          <w:rFonts w:ascii="Arial" w:cs="Arial" w:eastAsia="Arial" w:hAnsi="Arial"/>
          <w:sz w:val="20"/>
          <w:szCs w:val="20"/>
          <w:b w:val="1"/>
          <w:bCs w:val="1"/>
          <w:color w:val="1A1A1A"/>
        </w:rPr>
      </w:pPr>
      <w:r>
        <w:rPr>
          <w:rFonts w:ascii="Arial" w:cs="Arial" w:eastAsia="Arial" w:hAnsi="Arial"/>
          <w:sz w:val="20"/>
          <w:szCs w:val="20"/>
          <w:b w:val="1"/>
          <w:bCs w:val="1"/>
          <w:color w:val="auto"/>
        </w:rPr>
        <w:t xml:space="preserve">7.1. </w:t>
      </w:r>
      <w:r>
        <w:rPr>
          <w:rFonts w:ascii="Arial" w:cs="Arial" w:eastAsia="Arial" w:hAnsi="Arial"/>
          <w:sz w:val="20"/>
          <w:szCs w:val="20"/>
          <w:color w:val="auto"/>
        </w:rPr>
        <w:t>[****]</w:t>
      </w:r>
    </w:p>
    <w:p>
      <w:pPr>
        <w:spacing w:after="0" w:line="266" w:lineRule="exact"/>
        <w:rPr>
          <w:rFonts w:ascii="Arial" w:cs="Arial" w:eastAsia="Arial" w:hAnsi="Arial"/>
          <w:sz w:val="20"/>
          <w:szCs w:val="20"/>
          <w:b w:val="1"/>
          <w:bCs w:val="1"/>
          <w:color w:val="1A1A1A"/>
        </w:rPr>
      </w:pPr>
    </w:p>
    <w:p>
      <w:pPr>
        <w:ind w:left="660"/>
        <w:spacing w:after="0"/>
        <w:rPr>
          <w:rFonts w:ascii="Arial" w:cs="Arial" w:eastAsia="Arial" w:hAnsi="Arial"/>
          <w:sz w:val="20"/>
          <w:szCs w:val="20"/>
          <w:b w:val="1"/>
          <w:bCs w:val="1"/>
          <w:color w:val="1A1A1A"/>
        </w:rPr>
      </w:pPr>
      <w:r>
        <w:rPr>
          <w:rFonts w:ascii="Arial" w:cs="Arial" w:eastAsia="Arial" w:hAnsi="Arial"/>
          <w:sz w:val="20"/>
          <w:szCs w:val="20"/>
          <w:color w:val="auto"/>
        </w:rPr>
        <w:t>Provided that Verizon is in compliance with the terms of this SOW and the Agreement and Verizon has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Verizon and Synchronoss Proprietary and Confidential</w:t>
      </w:r>
    </w:p>
    <w:p>
      <w:pPr>
        <w:jc w:val="center"/>
        <w:ind w:right="-19"/>
        <w:spacing w:after="0" w:line="225" w:lineRule="auto"/>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12</w:t>
      </w:r>
      <w:r>
        <w:rPr>
          <w:rFonts w:ascii="Arial" w:cs="Arial" w:eastAsia="Arial" w:hAnsi="Arial"/>
          <w:sz w:val="14"/>
          <w:szCs w:val="14"/>
          <w:color w:val="auto"/>
        </w:rPr>
        <w:t xml:space="preserve"> of </w:t>
      </w:r>
      <w:r>
        <w:rPr>
          <w:rFonts w:ascii="Arial" w:cs="Arial" w:eastAsia="Arial" w:hAnsi="Arial"/>
          <w:sz w:val="14"/>
          <w:szCs w:val="14"/>
          <w:b w:val="1"/>
          <w:bCs w:val="1"/>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GDSVF&amp;H\5399877.1</w:t>
      </w:r>
    </w:p>
    <w:p>
      <w:pPr>
        <w:sectPr>
          <w:pgSz w:w="11900" w:h="16838" w:orient="portrait"/>
          <w:cols w:equalWidth="0" w:num="1">
            <w:col w:w="11240"/>
          </w:cols>
          <w:pgMar w:left="320" w:top="1432" w:right="339" w:bottom="1440" w:gutter="0" w:footer="0" w:header="0"/>
        </w:sectPr>
      </w:pPr>
    </w:p>
    <w:bookmarkStart w:id="64" w:name="page65"/>
    <w:bookmarkEnd w:id="64"/>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7.2. </w:t>
      </w:r>
      <w:r>
        <w:rPr>
          <w:rFonts w:ascii="Arial" w:cs="Arial" w:eastAsia="Arial" w:hAnsi="Arial"/>
          <w:sz w:val="20"/>
          <w:szCs w:val="20"/>
          <w:color w:val="auto"/>
        </w:rPr>
        <w:t>[****]</w:t>
      </w:r>
    </w:p>
    <w:p>
      <w:pPr>
        <w:spacing w:after="0" w:line="267" w:lineRule="exact"/>
        <w:rPr>
          <w:sz w:val="20"/>
          <w:szCs w:val="20"/>
          <w:color w:val="auto"/>
        </w:rPr>
      </w:pPr>
    </w:p>
    <w:p>
      <w:pPr>
        <w:ind w:left="340" w:hanging="332"/>
        <w:spacing w:after="0" w:line="246" w:lineRule="auto"/>
        <w:tabs>
          <w:tab w:leader="none" w:pos="328" w:val="left"/>
        </w:tabs>
        <w:numPr>
          <w:ilvl w:val="0"/>
          <w:numId w:val="35"/>
        </w:numPr>
        <w:rPr>
          <w:rFonts w:ascii="Arial" w:cs="Arial" w:eastAsia="Arial" w:hAnsi="Arial"/>
          <w:sz w:val="20"/>
          <w:szCs w:val="20"/>
          <w:b w:val="1"/>
          <w:bCs w:val="1"/>
          <w:color w:val="1A1A1A"/>
        </w:rPr>
      </w:pPr>
      <w:r>
        <w:rPr>
          <w:rFonts w:ascii="Arial" w:cs="Arial" w:eastAsia="Arial" w:hAnsi="Arial"/>
          <w:sz w:val="20"/>
          <w:szCs w:val="20"/>
          <w:color w:val="1A1A1A"/>
        </w:rPr>
        <w:t>This CR #12 shall be effective and binding upon the Parties upon execution by both Parties. Except and only to the extent specifically modified under this CR #12, all of the terms and conditions of SOW No. 1 shall remain in full force and effect.</w:t>
      </w:r>
    </w:p>
    <w:p>
      <w:pPr>
        <w:spacing w:after="0" w:line="230" w:lineRule="exact"/>
        <w:rPr>
          <w:rFonts w:ascii="Arial" w:cs="Arial" w:eastAsia="Arial" w:hAnsi="Arial"/>
          <w:sz w:val="20"/>
          <w:szCs w:val="20"/>
          <w:b w:val="1"/>
          <w:bCs w:val="1"/>
          <w:color w:val="1A1A1A"/>
        </w:rPr>
      </w:pPr>
    </w:p>
    <w:p>
      <w:pPr>
        <w:jc w:val="both"/>
        <w:ind w:left="340" w:hanging="332"/>
        <w:spacing w:after="0" w:line="243" w:lineRule="auto"/>
        <w:tabs>
          <w:tab w:leader="none" w:pos="329" w:val="left"/>
        </w:tabs>
        <w:numPr>
          <w:ilvl w:val="0"/>
          <w:numId w:val="35"/>
        </w:numPr>
        <w:rPr>
          <w:rFonts w:ascii="Arial" w:cs="Arial" w:eastAsia="Arial" w:hAnsi="Arial"/>
          <w:sz w:val="20"/>
          <w:szCs w:val="20"/>
          <w:b w:val="1"/>
          <w:bCs w:val="1"/>
          <w:color w:val="1A1A1A"/>
        </w:rPr>
      </w:pPr>
      <w:r>
        <w:rPr>
          <w:rFonts w:ascii="Arial" w:cs="Arial" w:eastAsia="Arial" w:hAnsi="Arial"/>
          <w:sz w:val="20"/>
          <w:szCs w:val="20"/>
          <w:color w:val="1A1A1A"/>
        </w:rPr>
        <w:t xml:space="preserve">Notwithstanding anything to the contrary, pricing under </w:t>
      </w:r>
      <w:r>
        <w:rPr>
          <w:rFonts w:ascii="Arial" w:cs="Arial" w:eastAsia="Arial" w:hAnsi="Arial"/>
          <w:sz w:val="20"/>
          <w:szCs w:val="20"/>
          <w:u w:val="single" w:color="auto"/>
          <w:color w:val="1A1A1A"/>
        </w:rPr>
        <w:t>Section 4.2</w:t>
      </w:r>
      <w:r>
        <w:rPr>
          <w:rFonts w:ascii="Arial" w:cs="Arial" w:eastAsia="Arial" w:hAnsi="Arial"/>
          <w:sz w:val="20"/>
          <w:szCs w:val="20"/>
          <w:color w:val="1A1A1A"/>
        </w:rPr>
        <w:t xml:space="preserve"> and the other terms of this CR 12 and SOW No. 1 are subject to Verizon meeting all obligations identified in </w:t>
      </w:r>
      <w:r>
        <w:rPr>
          <w:rFonts w:ascii="Arial" w:cs="Arial" w:eastAsia="Arial" w:hAnsi="Arial"/>
          <w:sz w:val="20"/>
          <w:szCs w:val="20"/>
          <w:u w:val="single" w:color="auto"/>
          <w:color w:val="1A1A1A"/>
        </w:rPr>
        <w:t>Section 14(f)</w:t>
      </w:r>
      <w:r>
        <w:rPr>
          <w:rFonts w:ascii="Arial" w:cs="Arial" w:eastAsia="Arial" w:hAnsi="Arial"/>
          <w:sz w:val="20"/>
          <w:szCs w:val="20"/>
          <w:color w:val="1A1A1A"/>
        </w:rPr>
        <w:t xml:space="preserve"> of SOW </w:t>
      </w:r>
      <w:r>
        <w:rPr>
          <w:rFonts w:ascii="Arial" w:cs="Arial" w:eastAsia="Arial" w:hAnsi="Arial"/>
          <w:sz w:val="20"/>
          <w:szCs w:val="20"/>
          <w:u w:val="single" w:color="auto"/>
          <w:color w:val="1A1A1A"/>
        </w:rPr>
        <w:t>No. 4</w:t>
      </w:r>
      <w:r>
        <w:rPr>
          <w:rFonts w:ascii="Arial" w:cs="Arial" w:eastAsia="Arial" w:hAnsi="Arial"/>
          <w:sz w:val="20"/>
          <w:szCs w:val="20"/>
          <w:color w:val="1A1A1A"/>
        </w:rPr>
        <w:t xml:space="preserve"> and in the Verizon span of control including provision of </w:t>
      </w:r>
      <w:r>
        <w:rPr>
          <w:rFonts w:ascii="Arial" w:cs="Arial" w:eastAsia="Arial" w:hAnsi="Arial"/>
          <w:sz w:val="20"/>
          <w:szCs w:val="20"/>
          <w:color w:val="000000"/>
        </w:rPr>
        <w:t>[****]</w:t>
      </w:r>
      <w:r>
        <w:rPr>
          <w:rFonts w:ascii="Arial" w:cs="Arial" w:eastAsia="Arial" w:hAnsi="Arial"/>
          <w:sz w:val="20"/>
          <w:szCs w:val="20"/>
          <w:color w:val="1A1A1A"/>
        </w:rPr>
        <w:t xml:space="preserve">. In addition, in the event that </w:t>
      </w:r>
      <w:r>
        <w:rPr>
          <w:rFonts w:ascii="Arial" w:cs="Arial" w:eastAsia="Arial" w:hAnsi="Arial"/>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Verizon and Synchronoss Proprietary and Confidential</w:t>
      </w:r>
    </w:p>
    <w:p>
      <w:pPr>
        <w:jc w:val="center"/>
        <w:ind w:right="-19"/>
        <w:spacing w:after="0" w:line="225" w:lineRule="auto"/>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13</w:t>
      </w:r>
      <w:r>
        <w:rPr>
          <w:rFonts w:ascii="Arial" w:cs="Arial" w:eastAsia="Arial" w:hAnsi="Arial"/>
          <w:sz w:val="14"/>
          <w:szCs w:val="14"/>
          <w:color w:val="auto"/>
        </w:rPr>
        <w:t xml:space="preserve"> of </w:t>
      </w:r>
      <w:r>
        <w:rPr>
          <w:rFonts w:ascii="Arial" w:cs="Arial" w:eastAsia="Arial" w:hAnsi="Arial"/>
          <w:sz w:val="14"/>
          <w:szCs w:val="14"/>
          <w:b w:val="1"/>
          <w:bCs w:val="1"/>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GDSVF&amp;H\5399877.1</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35" w:lineRule="exact"/>
        <w:rPr>
          <w:sz w:val="20"/>
          <w:szCs w:val="20"/>
          <w:color w:val="auto"/>
        </w:rPr>
      </w:pPr>
    </w:p>
    <w:p>
      <w:pPr>
        <w:ind w:left="340" w:hanging="332"/>
        <w:spacing w:after="0" w:line="246" w:lineRule="auto"/>
        <w:tabs>
          <w:tab w:leader="none" w:pos="335" w:val="left"/>
        </w:tabs>
        <w:numPr>
          <w:ilvl w:val="0"/>
          <w:numId w:val="36"/>
        </w:numPr>
        <w:rPr>
          <w:rFonts w:ascii="Arial" w:cs="Arial" w:eastAsia="Arial" w:hAnsi="Arial"/>
          <w:sz w:val="20"/>
          <w:szCs w:val="20"/>
          <w:b w:val="1"/>
          <w:bCs w:val="1"/>
          <w:color w:val="1A1A1A"/>
        </w:rPr>
      </w:pPr>
      <w:r>
        <w:rPr>
          <w:rFonts w:ascii="Arial" w:cs="Arial" w:eastAsia="Arial" w:hAnsi="Arial"/>
          <w:sz w:val="20"/>
          <w:szCs w:val="20"/>
          <w:color w:val="1A1A1A"/>
        </w:rPr>
        <w:t>Capitalized terms used in this CR #12 shall have the meanings set forth in the Agreement or applicable SOW to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Verizon and Synchronoss Proprietary and Confidential</w:t>
      </w:r>
    </w:p>
    <w:p>
      <w:pPr>
        <w:jc w:val="center"/>
        <w:ind w:right="-19"/>
        <w:spacing w:after="0" w:line="225" w:lineRule="auto"/>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14</w:t>
      </w:r>
      <w:r>
        <w:rPr>
          <w:rFonts w:ascii="Arial" w:cs="Arial" w:eastAsia="Arial" w:hAnsi="Arial"/>
          <w:sz w:val="14"/>
          <w:szCs w:val="14"/>
          <w:color w:val="auto"/>
        </w:rPr>
        <w:t xml:space="preserve"> of </w:t>
      </w:r>
      <w:r>
        <w:rPr>
          <w:rFonts w:ascii="Arial" w:cs="Arial" w:eastAsia="Arial" w:hAnsi="Arial"/>
          <w:sz w:val="14"/>
          <w:szCs w:val="14"/>
          <w:b w:val="1"/>
          <w:bCs w:val="1"/>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GDSVF&amp;H\5399877.1</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p>
    <w:p>
      <w:pPr>
        <w:spacing w:after="0" w:line="27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Parties hereto have caused this CR #12 to be executed by their duly authorized officers or representatives as of the date of the last signing Party hereto, however this CR #12 shall take retroactive effective to and including [****] (“</w:t>
      </w:r>
      <w:r>
        <w:rPr>
          <w:rFonts w:ascii="Arial" w:cs="Arial" w:eastAsia="Arial" w:hAnsi="Arial"/>
          <w:sz w:val="20"/>
          <w:szCs w:val="20"/>
          <w:b w:val="1"/>
          <w:bCs w:val="1"/>
          <w:color w:val="auto"/>
        </w:rPr>
        <w:t>CR #12 Effective</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w:t>
      </w:r>
    </w:p>
    <w:p>
      <w:pPr>
        <w:spacing w:after="0" w:line="200" w:lineRule="exact"/>
        <w:rPr>
          <w:sz w:val="20"/>
          <w:szCs w:val="20"/>
          <w:color w:val="auto"/>
        </w:rPr>
      </w:pPr>
    </w:p>
    <w:p>
      <w:pPr>
        <w:spacing w:after="0" w:line="360" w:lineRule="exact"/>
        <w:rPr>
          <w:sz w:val="20"/>
          <w:szCs w:val="20"/>
          <w:color w:val="auto"/>
        </w:rPr>
      </w:pPr>
    </w:p>
    <w:p>
      <w:pPr>
        <w:spacing w:after="0"/>
        <w:tabs>
          <w:tab w:leader="none" w:pos="2860" w:val="left"/>
        </w:tabs>
        <w:rPr>
          <w:sz w:val="20"/>
          <w:szCs w:val="20"/>
          <w:color w:val="auto"/>
        </w:rPr>
      </w:pPr>
      <w:r>
        <w:rPr>
          <w:rFonts w:ascii="Arial" w:cs="Arial" w:eastAsia="Arial" w:hAnsi="Arial"/>
          <w:sz w:val="20"/>
          <w:szCs w:val="20"/>
          <w:b w:val="1"/>
          <w:bCs w:val="1"/>
          <w:color w:val="auto"/>
        </w:rPr>
        <w:t>VERIZON SOURCING LLC</w:t>
      </w:r>
      <w:r>
        <w:rPr>
          <w:sz w:val="20"/>
          <w:szCs w:val="20"/>
          <w:color w:val="auto"/>
        </w:rPr>
        <w:tab/>
      </w:r>
      <w:r>
        <w:rPr>
          <w:rFonts w:ascii="Arial" w:cs="Arial" w:eastAsia="Arial" w:hAnsi="Arial"/>
          <w:sz w:val="19"/>
          <w:szCs w:val="19"/>
          <w:b w:val="1"/>
          <w:bCs w:val="1"/>
          <w:color w:val="auto"/>
        </w:rPr>
        <w:t>SYNCHRONOSS TECHNOLOGIES, INC.</w:t>
      </w:r>
    </w:p>
    <w:p>
      <w:pPr>
        <w:sectPr>
          <w:pgSz w:w="11900" w:h="16838" w:orient="portrait"/>
          <w:cols w:equalWidth="0" w:num="1">
            <w:col w:w="11240"/>
          </w:cols>
          <w:pgMar w:left="320" w:top="1440" w:right="3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By:{{$sig2}}</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By:{{$sig1}}</w:t>
      </w:r>
    </w:p>
    <w:p>
      <w:pPr>
        <w:spacing w:after="0" w:line="193" w:lineRule="exact"/>
        <w:rPr>
          <w:sz w:val="20"/>
          <w:szCs w:val="20"/>
          <w:color w:val="auto"/>
        </w:rPr>
      </w:pPr>
    </w:p>
    <w:p>
      <w:pPr>
        <w:sectPr>
          <w:pgSz w:w="11900" w:h="16838" w:orient="portrait"/>
          <w:cols w:equalWidth="0" w:num="2">
            <w:col w:w="1120" w:space="540"/>
            <w:col w:w="9580"/>
          </w:cols>
          <w:pgMar w:left="320" w:top="1440" w:right="339" w:bottom="1440" w:gutter="0" w:footer="0" w:header="0"/>
          <w:type w:val="continuous"/>
        </w:sectPr>
      </w:pPr>
    </w:p>
    <w:p>
      <w:pPr>
        <w:spacing w:after="0"/>
        <w:tabs>
          <w:tab w:leader="none" w:pos="3320" w:val="left"/>
        </w:tabs>
        <w:rPr>
          <w:sz w:val="20"/>
          <w:szCs w:val="20"/>
          <w:color w:val="auto"/>
        </w:rPr>
      </w:pPr>
      <w:r>
        <w:rPr>
          <w:rFonts w:ascii="Arial" w:cs="Arial" w:eastAsia="Arial" w:hAnsi="Arial"/>
          <w:sz w:val="20"/>
          <w:szCs w:val="20"/>
          <w:color w:val="auto"/>
        </w:rPr>
        <w:t>Name: {{_es_:signer2:fullname }}</w:t>
      </w:r>
      <w:r>
        <w:rPr>
          <w:sz w:val="20"/>
          <w:szCs w:val="20"/>
          <w:color w:val="auto"/>
        </w:rPr>
        <w:tab/>
      </w:r>
      <w:r>
        <w:rPr>
          <w:rFonts w:ascii="Arial" w:cs="Arial" w:eastAsia="Arial" w:hAnsi="Arial"/>
          <w:sz w:val="19"/>
          <w:szCs w:val="19"/>
          <w:color w:val="auto"/>
        </w:rPr>
        <w:t>Name: {{_es_:signer1:fullname }}</w:t>
      </w:r>
    </w:p>
    <w:p>
      <w:pPr>
        <w:spacing w:after="0" w:line="256" w:lineRule="exact"/>
        <w:rPr>
          <w:sz w:val="20"/>
          <w:szCs w:val="20"/>
          <w:color w:val="auto"/>
        </w:rPr>
      </w:pPr>
    </w:p>
    <w:p>
      <w:pPr>
        <w:spacing w:after="0"/>
        <w:tabs>
          <w:tab w:leader="none" w:pos="2740" w:val="left"/>
        </w:tabs>
        <w:rPr>
          <w:sz w:val="20"/>
          <w:szCs w:val="20"/>
          <w:color w:val="auto"/>
        </w:rPr>
      </w:pPr>
      <w:r>
        <w:rPr>
          <w:rFonts w:ascii="Arial" w:cs="Arial" w:eastAsia="Arial" w:hAnsi="Arial"/>
          <w:sz w:val="20"/>
          <w:szCs w:val="20"/>
          <w:color w:val="auto"/>
        </w:rPr>
        <w:t>Title:{{*_es_:signer2:title }}</w:t>
      </w:r>
      <w:r>
        <w:rPr>
          <w:sz w:val="20"/>
          <w:szCs w:val="20"/>
          <w:color w:val="auto"/>
        </w:rPr>
        <w:tab/>
      </w:r>
      <w:r>
        <w:rPr>
          <w:rFonts w:ascii="Arial" w:cs="Arial" w:eastAsia="Arial" w:hAnsi="Arial"/>
          <w:sz w:val="19"/>
          <w:szCs w:val="19"/>
          <w:color w:val="auto"/>
        </w:rPr>
        <w:t>Title:{{*_es_:signer1:title }}</w:t>
      </w:r>
    </w:p>
    <w:p>
      <w:pPr>
        <w:spacing w:after="0" w:line="202" w:lineRule="exact"/>
        <w:rPr>
          <w:sz w:val="20"/>
          <w:szCs w:val="20"/>
          <w:color w:val="auto"/>
        </w:rPr>
      </w:pPr>
    </w:p>
    <w:p>
      <w:pPr>
        <w:spacing w:after="0"/>
        <w:tabs>
          <w:tab w:leader="none" w:pos="2840" w:val="left"/>
        </w:tabs>
        <w:rPr>
          <w:sz w:val="20"/>
          <w:szCs w:val="20"/>
          <w:color w:val="auto"/>
        </w:rPr>
      </w:pPr>
      <w:r>
        <w:rPr>
          <w:rFonts w:ascii="Arial" w:cs="Arial" w:eastAsia="Arial" w:hAnsi="Arial"/>
          <w:sz w:val="20"/>
          <w:szCs w:val="20"/>
          <w:color w:val="auto"/>
        </w:rPr>
        <w:t>Date: {{_es_:signer2:date }}</w:t>
      </w:r>
      <w:r>
        <w:rPr>
          <w:sz w:val="20"/>
          <w:szCs w:val="20"/>
          <w:color w:val="auto"/>
        </w:rPr>
        <w:tab/>
      </w:r>
      <w:r>
        <w:rPr>
          <w:rFonts w:ascii="Arial" w:cs="Arial" w:eastAsia="Arial" w:hAnsi="Arial"/>
          <w:sz w:val="19"/>
          <w:szCs w:val="19"/>
          <w:color w:val="auto"/>
        </w:rPr>
        <w:t>Date: {{_es_:signer1:date }}</w:t>
      </w:r>
    </w:p>
    <w:p>
      <w:pPr>
        <w:sectPr>
          <w:pgSz w:w="11900" w:h="16838" w:orient="portrait"/>
          <w:cols w:equalWidth="0" w:num="1">
            <w:col w:w="11240"/>
          </w:cols>
          <w:pgMar w:left="320" w:top="1440" w:right="339" w:bottom="1440" w:gutter="0" w:footer="0" w:header="0"/>
          <w:type w:val="continuous"/>
        </w:sectPr>
      </w:pPr>
    </w:p>
    <w:p>
      <w:pPr>
        <w:spacing w:after="0" w:line="21"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{{#sig1=_es_:signer1:signature}}</w:t>
      </w:r>
    </w:p>
    <w:p>
      <w:pPr>
        <w:spacing w:after="0" w:line="28"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{{#sig2=_es_:signer2:signature}}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Verizon and Synchronoss Proprietary and Confidential</w:t>
      </w:r>
    </w:p>
    <w:p>
      <w:pPr>
        <w:jc w:val="center"/>
        <w:ind w:right="-19"/>
        <w:spacing w:after="0" w:line="225" w:lineRule="auto"/>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15</w:t>
      </w:r>
      <w:r>
        <w:rPr>
          <w:rFonts w:ascii="Arial" w:cs="Arial" w:eastAsia="Arial" w:hAnsi="Arial"/>
          <w:sz w:val="14"/>
          <w:szCs w:val="14"/>
          <w:color w:val="auto"/>
        </w:rPr>
        <w:t xml:space="preserve"> of </w:t>
      </w:r>
      <w:r>
        <w:rPr>
          <w:rFonts w:ascii="Arial" w:cs="Arial" w:eastAsia="Arial" w:hAnsi="Arial"/>
          <w:sz w:val="14"/>
          <w:szCs w:val="14"/>
          <w:b w:val="1"/>
          <w:bCs w:val="1"/>
          <w:color w:val="auto"/>
        </w:rPr>
        <w:t>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GDSVF&amp;H\5399877.1</w:t>
      </w:r>
    </w:p>
    <w:p>
      <w:pPr>
        <w:sectPr>
          <w:pgSz w:w="11900" w:h="16838" w:orient="portrait"/>
          <w:cols w:equalWidth="0" w:num="1">
            <w:col w:w="11240"/>
          </w:cols>
          <w:pgMar w:left="320" w:top="1440" w:right="3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Glenn Lurie,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September 30, 2020;</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1300" w:hanging="320"/>
        <w:spacing w:after="0" w:line="308" w:lineRule="auto"/>
        <w:tabs>
          <w:tab w:leader="none" w:pos="129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32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6772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12"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Glenn Lurie</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8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Clark,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September 30, 2020;</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1300" w:hanging="320"/>
        <w:spacing w:after="0" w:line="308" w:lineRule="auto"/>
        <w:tabs>
          <w:tab w:leader="none" w:pos="129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32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404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12"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David Clark</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89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 connection with the Quarterly Report on Form 10-Q of Synchronoss Technologies, Inc. (the “Company”) for the quarter ended September 30, 2020, as filed with the Securities and Exchange Commission on the date hereof (the “Report”), I, </w:t>
      </w:r>
      <w:r>
        <w:rPr>
          <w:rFonts w:ascii="Arial" w:cs="Arial" w:eastAsia="Arial" w:hAnsi="Arial"/>
          <w:sz w:val="16"/>
          <w:szCs w:val="16"/>
          <w:b w:val="1"/>
          <w:bCs w:val="1"/>
          <w:color w:val="auto"/>
        </w:rPr>
        <w:t>Jeff Miller</w:t>
      </w:r>
      <w:r>
        <w:rPr>
          <w:rFonts w:ascii="Arial" w:cs="Arial" w:eastAsia="Arial" w:hAnsi="Arial"/>
          <w:sz w:val="16"/>
          <w:szCs w:val="16"/>
          <w:color w:val="auto"/>
        </w:rPr>
        <w:t>, the Chief Executive Officer of the Company, hereby certify, pursuant to 18 U.S.C. 1350, as adopted pursuant to Section 906 of the Sarbanes-Oxley Act of 2002, to the best of my knowledge and belief that:</w:t>
      </w:r>
    </w:p>
    <w:p>
      <w:pPr>
        <w:spacing w:after="0" w:line="108"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00" w:lineRule="exact"/>
        <w:rPr>
          <w:sz w:val="20"/>
          <w:szCs w:val="20"/>
          <w:color w:val="auto"/>
        </w:rPr>
      </w:pPr>
    </w:p>
    <w:p>
      <w:pPr>
        <w:spacing w:after="0" w:line="22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3703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Jeff Miller</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Chief Executive Officer</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September 30, 2020, as filed with the Securities and Exchange Commission on the date hereof (the “Report”), I, David Clark, the Chief Financial Officer of the Company, hereby certify, pursuant to 18 U.S.C. 1350, as adopted pursuant to Section 906 of the Sarbanes-Oxley Act of 2002, to the best of my knowledge and belief that:</w:t>
      </w:r>
    </w:p>
    <w:p>
      <w:pPr>
        <w:spacing w:after="0" w:line="108"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00" w:lineRule="exact"/>
        <w:rPr>
          <w:sz w:val="20"/>
          <w:szCs w:val="20"/>
          <w:color w:val="auto"/>
        </w:rPr>
      </w:pPr>
    </w:p>
    <w:p>
      <w:pPr>
        <w:spacing w:after="0" w:line="22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1375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David Clark</w:t>
      </w:r>
    </w:p>
    <w:p>
      <w:pPr>
        <w:spacing w:after="0" w:line="27"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Chief Financial Officer</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lvl w:ilvl="1">
      <w:lvlJc w:val="left"/>
      <w:lvlText w:val="(%2)"/>
      <w:numFmt w:val="lowerLetter"/>
      <w:start w:val="1"/>
    </w:lvl>
  </w:abstractNum>
  <w:abstractNum w:abstractNumId="16">
    <w:nsid w:val="836C40E"/>
    <w:multiLevelType w:val="hybridMultilevel"/>
    <w:lvl w:ilvl="0">
      <w:lvlJc w:val="left"/>
      <w:lvlText w:val="%1."/>
      <w:numFmt w:val="decimal"/>
      <w:start w:val="4"/>
    </w:lvl>
    <w:lvl w:ilvl="1">
      <w:lvlJc w:val="left"/>
      <w:lvlText w:val="(%2)"/>
      <w:numFmt w:val="lowerLetter"/>
      <w:start w:val="1"/>
    </w:lvl>
  </w:abstractNum>
  <w:abstractNum w:abstractNumId="17">
    <w:nsid w:val="2901D82"/>
    <w:multiLevelType w:val="hybridMultilevel"/>
    <w:lvl w:ilvl="0">
      <w:lvlJc w:val="left"/>
      <w:lvlText w:val="%1."/>
      <w:numFmt w:val="decimal"/>
      <w:start w:val="6"/>
    </w:lvl>
  </w:abstractNum>
  <w:abstractNum w:abstractNumId="18">
    <w:nsid w:val="3A95F874"/>
    <w:multiLevelType w:val="hybridMultilevel"/>
    <w:lvl w:ilvl="0">
      <w:lvlJc w:val="left"/>
      <w:lvlText w:val="%1."/>
      <w:numFmt w:val="decimal"/>
      <w:start w:val="9"/>
    </w:lvl>
  </w:abstractNum>
  <w:abstractNum w:abstractNumId="19">
    <w:nsid w:val="8138641"/>
    <w:multiLevelType w:val="hybridMultilevel"/>
    <w:lvl w:ilvl="0">
      <w:lvlJc w:val="left"/>
      <w:lvlText w:val="%1."/>
      <w:numFmt w:val="decimal"/>
      <w:start w:val="13"/>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1."/>
      <w:numFmt w:val="upperLetter"/>
      <w:start w:val="2"/>
    </w:lvl>
    <w:lvl w:ilvl="1">
      <w:lvlJc w:val="left"/>
      <w:lvlText w:val="(%2)"/>
      <w:numFmt w:val="lowerLetter"/>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4"/>
    </w:lvl>
  </w:abstractNum>
  <w:abstractNum w:abstractNumId="27">
    <w:nsid w:val="614FD4A1"/>
    <w:multiLevelType w:val="hybridMultilevel"/>
    <w:lvl w:ilvl="0">
      <w:lvlJc w:val="left"/>
      <w:lvlText w:val="(%1)"/>
      <w:numFmt w:val="lowerLetter"/>
      <w:start w:val="4"/>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2"/>
    </w:lvl>
  </w:abstractNum>
  <w:abstractNum w:abstractNumId="30">
    <w:nsid w:val="440BADFC"/>
    <w:multiLevelType w:val="hybridMultilevel"/>
    <w:lvl w:ilvl="0">
      <w:lvlJc w:val="left"/>
      <w:lvlText w:val="(%1)"/>
      <w:numFmt w:val="lowerLetter"/>
      <w:start w:val="4"/>
    </w:lvl>
  </w:abstractNum>
  <w:abstractNum w:abstractNumId="31">
    <w:nsid w:val="5072367"/>
    <w:multiLevelType w:val="hybridMultilevel"/>
    <w:lvl w:ilvl="0">
      <w:lvlJc w:val="left"/>
      <w:lvlText w:val="%1."/>
      <w:numFmt w:val="upperLetter"/>
      <w:start w:val="4"/>
    </w:lvl>
  </w:abstractNum>
  <w:abstractNum w:abstractNumId="32">
    <w:nsid w:val="3804823E"/>
    <w:multiLevelType w:val="hybridMultilevel"/>
    <w:lvl w:ilvl="0">
      <w:lvlJc w:val="left"/>
      <w:lvlText w:val="%1."/>
      <w:numFmt w:val="upperLetter"/>
      <w:start w:val="5"/>
    </w:lvl>
  </w:abstractNum>
  <w:abstractNum w:abstractNumId="33">
    <w:nsid w:val="77465F01"/>
    <w:multiLevelType w:val="hybridMultilevel"/>
    <w:lvl w:ilvl="0">
      <w:lvlJc w:val="left"/>
      <w:lvlText w:val="%1."/>
      <w:numFmt w:val="upperLetter"/>
      <w:start w:val="8"/>
    </w:lvl>
  </w:abstractNum>
  <w:abstractNum w:abstractNumId="34">
    <w:nsid w:val="7724C67E"/>
    <w:multiLevelType w:val="hybridMultilevel"/>
    <w:lvl w:ilvl="0">
      <w:lvlJc w:val="left"/>
      <w:lvlText w:val="%1."/>
      <w:numFmt w:val="upperLetter"/>
      <w:start w:val="9"/>
    </w:lvl>
  </w:abstractNum>
  <w:abstractNum w:abstractNumId="35">
    <w:nsid w:val="5C482A97"/>
    <w:multiLevelType w:val="hybridMultilevel"/>
    <w:lvl w:ilvl="0">
      <w:lvlJc w:val="left"/>
      <w:lvlText w:val="%1."/>
      <w:numFmt w:val="upperLetter"/>
      <w:start w:val="1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64" Type="http://schemas.openxmlformats.org/officeDocument/2006/relationships/hyperlink" Target="http://www.sec.gov/Archives/edgar/data/1131554/000095012306005985/y15440a2exv3w2.txt" TargetMode="External"/><Relationship Id="rId65" Type="http://schemas.openxmlformats.org/officeDocument/2006/relationships/hyperlink" Target="http://www.sec.gov/Archives/edgar/data/1131554/000095012306005985/y15440a2exv3w4.txt" TargetMode="External"/><Relationship Id="rId66" Type="http://schemas.openxmlformats.org/officeDocument/2006/relationships/hyperlink" Target="http://www.sec.gov/Archives/edgar/data/1131554/000110465918010721/a18-6289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2020-11-09T16:21:20Z</dcterms:created>
  <dcterms:modified xsi:type="dcterms:W3CDTF">2020-11-09T16:21:20Z</dcterms:modified>
</cp:coreProperties>
</file>