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408305</wp:posOffset>
            </wp:positionV>
            <wp:extent cx="711771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7" w:lineRule="exact"/>
        <w:rPr>
          <w:sz w:val="24"/>
          <w:szCs w:val="24"/>
          <w:color w:val="auto"/>
        </w:rPr>
      </w:pPr>
    </w:p>
    <w:p>
      <w:pPr>
        <w:ind w:left="1000" w:hanging="575"/>
        <w:spacing w:after="0"/>
        <w:tabs>
          <w:tab w:leader="none" w:pos="10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1020" w:hanging="582"/>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to</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001-40574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40" w:type="dxa"/>
            <w:vAlign w:val="bottom"/>
          </w:tcPr>
          <w:p>
            <w:pPr>
              <w:jc w:val="center"/>
              <w:ind w:left="980"/>
              <w:spacing w:after="0"/>
              <w:rPr>
                <w:sz w:val="20"/>
                <w:szCs w:val="20"/>
                <w:color w:val="auto"/>
              </w:rPr>
            </w:pPr>
            <w:r>
              <w:rPr>
                <w:rFonts w:ascii="Arial" w:cs="Arial" w:eastAsia="Arial" w:hAnsi="Arial"/>
                <w:sz w:val="16"/>
                <w:szCs w:val="16"/>
                <w:b w:val="1"/>
                <w:bCs w:val="1"/>
                <w:color w:val="auto"/>
                <w:w w:val="91"/>
              </w:rPr>
              <w:t>Delaware</w:t>
            </w:r>
          </w:p>
        </w:tc>
        <w:tc>
          <w:tcPr>
            <w:tcW w:w="2860" w:type="dxa"/>
            <w:vAlign w:val="bottom"/>
          </w:tcPr>
          <w:p>
            <w:pPr>
              <w:spacing w:after="0"/>
              <w:rPr>
                <w:sz w:val="18"/>
                <w:szCs w:val="18"/>
                <w:color w:val="auto"/>
              </w:rPr>
            </w:pPr>
          </w:p>
        </w:tc>
        <w:tc>
          <w:tcPr>
            <w:tcW w:w="3820" w:type="dxa"/>
            <w:vAlign w:val="bottom"/>
          </w:tcPr>
          <w:p>
            <w:pPr>
              <w:jc w:val="right"/>
              <w:ind w:right="2360"/>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8"/>
        </w:trPr>
        <w:tc>
          <w:tcPr>
            <w:tcW w:w="4540" w:type="dxa"/>
            <w:vAlign w:val="bottom"/>
          </w:tcPr>
          <w:p>
            <w:pPr>
              <w:jc w:val="center"/>
              <w:ind w:left="1000"/>
              <w:spacing w:after="0" w:line="168" w:lineRule="exact"/>
              <w:rPr>
                <w:sz w:val="20"/>
                <w:szCs w:val="20"/>
                <w:color w:val="auto"/>
              </w:rPr>
            </w:pPr>
            <w:r>
              <w:rPr>
                <w:rFonts w:ascii="Arial" w:cs="Arial" w:eastAsia="Arial" w:hAnsi="Arial"/>
                <w:sz w:val="16"/>
                <w:szCs w:val="16"/>
                <w:color w:val="auto"/>
                <w:w w:val="92"/>
              </w:rPr>
              <w:t>(State or other jurisdiction of</w:t>
            </w:r>
          </w:p>
        </w:tc>
        <w:tc>
          <w:tcPr>
            <w:tcW w:w="2860" w:type="dxa"/>
            <w:vAlign w:val="bottom"/>
          </w:tcPr>
          <w:p>
            <w:pPr>
              <w:spacing w:after="0"/>
              <w:rPr>
                <w:sz w:val="14"/>
                <w:szCs w:val="14"/>
                <w:color w:val="auto"/>
              </w:rPr>
            </w:pPr>
          </w:p>
        </w:tc>
        <w:tc>
          <w:tcPr>
            <w:tcW w:w="3820" w:type="dxa"/>
            <w:vAlign w:val="bottom"/>
          </w:tcPr>
          <w:p>
            <w:pPr>
              <w:jc w:val="center"/>
              <w:ind w:right="1740"/>
              <w:spacing w:after="0" w:line="168" w:lineRule="exact"/>
              <w:rPr>
                <w:sz w:val="20"/>
                <w:szCs w:val="20"/>
                <w:color w:val="auto"/>
              </w:rPr>
            </w:pPr>
            <w:r>
              <w:rPr>
                <w:rFonts w:ascii="Arial" w:cs="Arial" w:eastAsia="Arial" w:hAnsi="Arial"/>
                <w:sz w:val="16"/>
                <w:szCs w:val="16"/>
                <w:color w:val="auto"/>
                <w:w w:val="91"/>
              </w:rPr>
              <w:t>(I.R.S. Employer</w:t>
            </w:r>
          </w:p>
        </w:tc>
        <w:tc>
          <w:tcPr>
            <w:tcW w:w="0" w:type="dxa"/>
            <w:vAlign w:val="bottom"/>
          </w:tcPr>
          <w:p>
            <w:pPr>
              <w:spacing w:after="0"/>
              <w:rPr>
                <w:sz w:val="1"/>
                <w:szCs w:val="1"/>
                <w:color w:val="auto"/>
              </w:rPr>
            </w:pPr>
          </w:p>
        </w:tc>
      </w:tr>
      <w:tr>
        <w:trPr>
          <w:trHeight w:val="204"/>
        </w:trPr>
        <w:tc>
          <w:tcPr>
            <w:tcW w:w="4540" w:type="dxa"/>
            <w:vAlign w:val="bottom"/>
          </w:tcPr>
          <w:p>
            <w:pPr>
              <w:jc w:val="center"/>
              <w:ind w:left="980"/>
              <w:spacing w:after="0"/>
              <w:rPr>
                <w:sz w:val="20"/>
                <w:szCs w:val="20"/>
                <w:color w:val="auto"/>
              </w:rPr>
            </w:pPr>
            <w:r>
              <w:rPr>
                <w:rFonts w:ascii="Arial" w:cs="Arial" w:eastAsia="Arial" w:hAnsi="Arial"/>
                <w:sz w:val="16"/>
                <w:szCs w:val="16"/>
                <w:color w:val="auto"/>
                <w:w w:val="92"/>
              </w:rPr>
              <w:t>incorporation or organization)</w:t>
            </w:r>
          </w:p>
        </w:tc>
        <w:tc>
          <w:tcPr>
            <w:tcW w:w="2860" w:type="dxa"/>
            <w:vAlign w:val="bottom"/>
          </w:tcPr>
          <w:p>
            <w:pPr>
              <w:spacing w:after="0"/>
              <w:rPr>
                <w:sz w:val="17"/>
                <w:szCs w:val="17"/>
                <w:color w:val="auto"/>
              </w:rPr>
            </w:pPr>
          </w:p>
        </w:tc>
        <w:tc>
          <w:tcPr>
            <w:tcW w:w="3820" w:type="dxa"/>
            <w:vAlign w:val="bottom"/>
          </w:tcPr>
          <w:p>
            <w:pPr>
              <w:jc w:val="center"/>
              <w:ind w:right="174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165"/>
        </w:trPr>
        <w:tc>
          <w:tcPr>
            <w:tcW w:w="4540" w:type="dxa"/>
            <w:vAlign w:val="bottom"/>
          </w:tcPr>
          <w:p>
            <w:pPr>
              <w:jc w:val="center"/>
              <w:ind w:left="980"/>
              <w:spacing w:after="0" w:line="165" w:lineRule="exact"/>
              <w:rPr>
                <w:sz w:val="20"/>
                <w:szCs w:val="20"/>
                <w:color w:val="auto"/>
              </w:rPr>
            </w:pPr>
            <w:r>
              <w:rPr>
                <w:rFonts w:ascii="Arial" w:cs="Arial" w:eastAsia="Arial" w:hAnsi="Arial"/>
                <w:sz w:val="16"/>
                <w:szCs w:val="16"/>
                <w:b w:val="1"/>
                <w:bCs w:val="1"/>
                <w:color w:val="auto"/>
                <w:w w:val="90"/>
              </w:rPr>
              <w:t>200 Crossing Boulevard, 3rd Floor</w:t>
            </w:r>
          </w:p>
        </w:tc>
        <w:tc>
          <w:tcPr>
            <w:tcW w:w="2860" w:type="dxa"/>
            <w:vAlign w:val="bottom"/>
          </w:tcPr>
          <w:p>
            <w:pPr>
              <w:spacing w:after="0"/>
              <w:rPr>
                <w:sz w:val="14"/>
                <w:szCs w:val="14"/>
                <w:color w:val="auto"/>
              </w:rPr>
            </w:pPr>
          </w:p>
        </w:tc>
        <w:tc>
          <w:tcPr>
            <w:tcW w:w="3820" w:type="dxa"/>
            <w:vAlign w:val="bottom"/>
            <w:vMerge w:val="restart"/>
          </w:tcPr>
          <w:p>
            <w:pPr>
              <w:jc w:val="right"/>
              <w:ind w:right="2540"/>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8"/>
        </w:trPr>
        <w:tc>
          <w:tcPr>
            <w:tcW w:w="4540" w:type="dxa"/>
            <w:vAlign w:val="bottom"/>
          </w:tcPr>
          <w:p>
            <w:pPr>
              <w:jc w:val="center"/>
              <w:ind w:left="1000"/>
              <w:spacing w:after="0"/>
              <w:rPr>
                <w:sz w:val="20"/>
                <w:szCs w:val="20"/>
                <w:color w:val="auto"/>
              </w:rPr>
            </w:pPr>
            <w:r>
              <w:rPr>
                <w:rFonts w:ascii="Arial" w:cs="Arial" w:eastAsia="Arial" w:hAnsi="Arial"/>
                <w:sz w:val="16"/>
                <w:szCs w:val="16"/>
                <w:b w:val="1"/>
                <w:bCs w:val="1"/>
                <w:color w:val="auto"/>
                <w:w w:val="89"/>
              </w:rPr>
              <w:t>Bridgewater, New Jersey</w:t>
            </w:r>
          </w:p>
        </w:tc>
        <w:tc>
          <w:tcPr>
            <w:tcW w:w="286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jc w:val="center"/>
              <w:ind w:left="1000"/>
              <w:spacing w:after="0"/>
              <w:rPr>
                <w:sz w:val="20"/>
                <w:szCs w:val="20"/>
                <w:color w:val="auto"/>
              </w:rPr>
            </w:pPr>
            <w:r>
              <w:rPr>
                <w:rFonts w:ascii="Arial" w:cs="Arial" w:eastAsia="Arial" w:hAnsi="Arial"/>
                <w:sz w:val="16"/>
                <w:szCs w:val="16"/>
                <w:color w:val="auto"/>
                <w:w w:val="92"/>
              </w:rPr>
              <w:t>(Address of principal executive offices)</w:t>
            </w:r>
          </w:p>
        </w:tc>
        <w:tc>
          <w:tcPr>
            <w:tcW w:w="2860" w:type="dxa"/>
            <w:vAlign w:val="bottom"/>
          </w:tcPr>
          <w:p>
            <w:pPr>
              <w:spacing w:after="0"/>
              <w:rPr>
                <w:sz w:val="18"/>
                <w:szCs w:val="18"/>
                <w:color w:val="auto"/>
              </w:rPr>
            </w:pPr>
          </w:p>
        </w:tc>
        <w:tc>
          <w:tcPr>
            <w:tcW w:w="3820" w:type="dxa"/>
            <w:vAlign w:val="bottom"/>
          </w:tcPr>
          <w:p>
            <w:pPr>
              <w:jc w:val="center"/>
              <w:ind w:right="172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447"/>
        </w:trPr>
        <w:tc>
          <w:tcPr>
            <w:tcW w:w="4540" w:type="dxa"/>
            <w:vAlign w:val="bottom"/>
          </w:tcPr>
          <w:p>
            <w:pPr>
              <w:spacing w:after="0"/>
              <w:rPr>
                <w:sz w:val="24"/>
                <w:szCs w:val="24"/>
                <w:color w:val="auto"/>
              </w:rPr>
            </w:pPr>
          </w:p>
        </w:tc>
        <w:tc>
          <w:tcPr>
            <w:tcW w:w="2860" w:type="dxa"/>
            <w:vAlign w:val="bottom"/>
          </w:tcPr>
          <w:p>
            <w:pPr>
              <w:jc w:val="center"/>
              <w:ind w:right="620"/>
              <w:spacing w:after="0"/>
              <w:rPr>
                <w:sz w:val="20"/>
                <w:szCs w:val="20"/>
                <w:color w:val="auto"/>
              </w:rPr>
            </w:pPr>
            <w:r>
              <w:rPr>
                <w:rFonts w:ascii="Arial" w:cs="Arial" w:eastAsia="Arial" w:hAnsi="Arial"/>
                <w:sz w:val="16"/>
                <w:szCs w:val="16"/>
                <w:b w:val="1"/>
                <w:bCs w:val="1"/>
                <w:color w:val="auto"/>
                <w:w w:val="91"/>
              </w:rPr>
              <w:t>(866) 620-3940</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400" w:type="dxa"/>
            <w:vAlign w:val="bottom"/>
            <w:gridSpan w:val="2"/>
          </w:tcPr>
          <w:p>
            <w:pPr>
              <w:jc w:val="center"/>
              <w:ind w:left="3740"/>
              <w:spacing w:after="0"/>
              <w:rPr>
                <w:sz w:val="20"/>
                <w:szCs w:val="20"/>
                <w:color w:val="auto"/>
              </w:rPr>
            </w:pPr>
            <w:r>
              <w:rPr>
                <w:rFonts w:ascii="Arial" w:cs="Arial" w:eastAsia="Arial" w:hAnsi="Arial"/>
                <w:sz w:val="16"/>
                <w:szCs w:val="16"/>
                <w:color w:val="auto"/>
                <w:w w:val="89"/>
              </w:rPr>
              <w:t>(Registrant’s telephone number, including area code)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45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860" w:type="dxa"/>
            <w:vAlign w:val="bottom"/>
            <w:tcBorders>
              <w:bottom w:val="single" w:sz="8" w:color="auto"/>
            </w:tcBorders>
          </w:tcPr>
          <w:p>
            <w:pPr>
              <w:jc w:val="center"/>
              <w:ind w:right="620"/>
              <w:spacing w:after="0"/>
              <w:rPr>
                <w:sz w:val="20"/>
                <w:szCs w:val="20"/>
                <w:color w:val="auto"/>
              </w:rPr>
            </w:pPr>
            <w:r>
              <w:rPr>
                <w:rFonts w:ascii="Arial" w:cs="Arial" w:eastAsia="Arial" w:hAnsi="Arial"/>
                <w:sz w:val="16"/>
                <w:szCs w:val="16"/>
                <w:color w:val="auto"/>
                <w:w w:val="91"/>
              </w:rPr>
              <w:t>Trading Symbol(s)</w:t>
            </w:r>
          </w:p>
        </w:tc>
        <w:tc>
          <w:tcPr>
            <w:tcW w:w="3820" w:type="dxa"/>
            <w:vAlign w:val="bottom"/>
            <w:tcBorders>
              <w:bottom w:val="single" w:sz="8" w:color="auto"/>
            </w:tcBorders>
          </w:tcPr>
          <w:p>
            <w:pPr>
              <w:jc w:val="center"/>
              <w:ind w:right="720"/>
              <w:spacing w:after="0"/>
              <w:rPr>
                <w:sz w:val="20"/>
                <w:szCs w:val="20"/>
                <w:color w:val="auto"/>
              </w:rPr>
            </w:pPr>
            <w:r>
              <w:rPr>
                <w:rFonts w:ascii="Arial" w:cs="Arial" w:eastAsia="Arial" w:hAnsi="Arial"/>
                <w:sz w:val="16"/>
                <w:szCs w:val="16"/>
                <w:color w:val="auto"/>
                <w:w w:val="89"/>
              </w:rPr>
              <w:t>Name of each exchange on which registered</w:t>
            </w:r>
          </w:p>
        </w:tc>
        <w:tc>
          <w:tcPr>
            <w:tcW w:w="0" w:type="dxa"/>
            <w:vAlign w:val="bottom"/>
          </w:tcPr>
          <w:p>
            <w:pPr>
              <w:spacing w:after="0"/>
              <w:rPr>
                <w:sz w:val="1"/>
                <w:szCs w:val="1"/>
                <w:color w:val="auto"/>
              </w:rPr>
            </w:pPr>
          </w:p>
        </w:tc>
      </w:tr>
      <w:tr>
        <w:trPr>
          <w:trHeight w:val="203"/>
        </w:trPr>
        <w:tc>
          <w:tcPr>
            <w:tcW w:w="4540" w:type="dxa"/>
            <w:vAlign w:val="bottom"/>
          </w:tcPr>
          <w:p>
            <w:pPr>
              <w:jc w:val="center"/>
              <w:spacing w:after="0"/>
              <w:rPr>
                <w:sz w:val="20"/>
                <w:szCs w:val="20"/>
                <w:color w:val="auto"/>
              </w:rPr>
            </w:pPr>
            <w:r>
              <w:rPr>
                <w:rFonts w:ascii="Arial" w:cs="Arial" w:eastAsia="Arial" w:hAnsi="Arial"/>
                <w:sz w:val="16"/>
                <w:szCs w:val="16"/>
                <w:color w:val="auto"/>
                <w:w w:val="90"/>
              </w:rPr>
              <w:t>Common Stock, $.0001 par value</w:t>
            </w:r>
          </w:p>
        </w:tc>
        <w:tc>
          <w:tcPr>
            <w:tcW w:w="2860" w:type="dxa"/>
            <w:vAlign w:val="bottom"/>
          </w:tcPr>
          <w:p>
            <w:pPr>
              <w:jc w:val="center"/>
              <w:ind w:right="640"/>
              <w:spacing w:after="0"/>
              <w:rPr>
                <w:sz w:val="20"/>
                <w:szCs w:val="20"/>
                <w:color w:val="auto"/>
              </w:rPr>
            </w:pPr>
            <w:r>
              <w:rPr>
                <w:rFonts w:ascii="Arial" w:cs="Arial" w:eastAsia="Arial" w:hAnsi="Arial"/>
                <w:sz w:val="16"/>
                <w:szCs w:val="16"/>
                <w:color w:val="auto"/>
                <w:w w:val="92"/>
              </w:rPr>
              <w:t>SNCR</w:t>
            </w:r>
          </w:p>
        </w:tc>
        <w:tc>
          <w:tcPr>
            <w:tcW w:w="3820" w:type="dxa"/>
            <w:vAlign w:val="bottom"/>
          </w:tcPr>
          <w:p>
            <w:pPr>
              <w:jc w:val="center"/>
              <w:ind w:right="720"/>
              <w:spacing w:after="0"/>
              <w:rPr>
                <w:sz w:val="20"/>
                <w:szCs w:val="20"/>
                <w:color w:val="auto"/>
              </w:rPr>
            </w:pPr>
            <w:r>
              <w:rPr>
                <w:rFonts w:ascii="Arial" w:cs="Arial" w:eastAsia="Arial" w:hAnsi="Arial"/>
                <w:sz w:val="16"/>
                <w:szCs w:val="16"/>
                <w:color w:val="auto"/>
                <w:w w:val="92"/>
              </w:rPr>
              <w:t>The Nasdaq Stock Market, LLC</w:t>
            </w:r>
          </w:p>
        </w:tc>
        <w:tc>
          <w:tcPr>
            <w:tcW w:w="0" w:type="dxa"/>
            <w:vAlign w:val="bottom"/>
          </w:tcPr>
          <w:p>
            <w:pPr>
              <w:spacing w:after="0"/>
              <w:rPr>
                <w:sz w:val="1"/>
                <w:szCs w:val="1"/>
                <w:color w:val="auto"/>
              </w:rPr>
            </w:pPr>
          </w:p>
        </w:tc>
      </w:tr>
      <w:tr>
        <w:trPr>
          <w:trHeight w:val="213"/>
        </w:trPr>
        <w:tc>
          <w:tcPr>
            <w:tcW w:w="4540" w:type="dxa"/>
            <w:vAlign w:val="bottom"/>
          </w:tcPr>
          <w:p>
            <w:pPr>
              <w:jc w:val="center"/>
              <w:spacing w:after="0"/>
              <w:rPr>
                <w:sz w:val="20"/>
                <w:szCs w:val="20"/>
                <w:color w:val="auto"/>
              </w:rPr>
            </w:pPr>
            <w:r>
              <w:rPr>
                <w:rFonts w:ascii="Arial" w:cs="Arial" w:eastAsia="Arial" w:hAnsi="Arial"/>
                <w:sz w:val="16"/>
                <w:szCs w:val="16"/>
                <w:color w:val="auto"/>
                <w:w w:val="89"/>
              </w:rPr>
              <w:t>8.375% Senior Notes due 2026</w:t>
            </w:r>
          </w:p>
        </w:tc>
        <w:tc>
          <w:tcPr>
            <w:tcW w:w="2860" w:type="dxa"/>
            <w:vAlign w:val="bottom"/>
          </w:tcPr>
          <w:p>
            <w:pPr>
              <w:jc w:val="center"/>
              <w:ind w:right="660"/>
              <w:spacing w:after="0"/>
              <w:rPr>
                <w:sz w:val="20"/>
                <w:szCs w:val="20"/>
                <w:color w:val="auto"/>
              </w:rPr>
            </w:pPr>
            <w:r>
              <w:rPr>
                <w:rFonts w:ascii="Arial" w:cs="Arial" w:eastAsia="Arial" w:hAnsi="Arial"/>
                <w:sz w:val="16"/>
                <w:szCs w:val="16"/>
                <w:color w:val="auto"/>
                <w:w w:val="95"/>
              </w:rPr>
              <w:t>SNCRL</w:t>
            </w:r>
          </w:p>
        </w:tc>
        <w:tc>
          <w:tcPr>
            <w:tcW w:w="3820" w:type="dxa"/>
            <w:vAlign w:val="bottom"/>
          </w:tcPr>
          <w:p>
            <w:pPr>
              <w:jc w:val="center"/>
              <w:ind w:right="720"/>
              <w:spacing w:after="0"/>
              <w:rPr>
                <w:sz w:val="20"/>
                <w:szCs w:val="20"/>
                <w:color w:val="auto"/>
              </w:rPr>
            </w:pPr>
            <w:r>
              <w:rPr>
                <w:rFonts w:ascii="Arial" w:cs="Arial" w:eastAsia="Arial" w:hAnsi="Arial"/>
                <w:sz w:val="16"/>
                <w:szCs w:val="16"/>
                <w:color w:val="auto"/>
                <w:w w:val="92"/>
              </w:rPr>
              <w:t>The Nasdaq Stock Market, LLC</w:t>
            </w:r>
          </w:p>
        </w:tc>
        <w:tc>
          <w:tcPr>
            <w:tcW w:w="0" w:type="dxa"/>
            <w:vAlign w:val="bottom"/>
          </w:tcPr>
          <w:p>
            <w:pPr>
              <w:spacing w:after="0"/>
              <w:rPr>
                <w:sz w:val="1"/>
                <w:szCs w:val="1"/>
                <w:color w:val="auto"/>
              </w:rPr>
            </w:pPr>
          </w:p>
        </w:tc>
      </w:tr>
    </w:tbl>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111760</wp:posOffset>
            </wp:positionV>
            <wp:extent cx="2372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2680"/>
        <w:spacing w:after="0" w:line="23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jc w:val="both"/>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jc w:val="both"/>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6" w:lineRule="exact"/>
        <w:rPr>
          <w:sz w:val="24"/>
          <w:szCs w:val="24"/>
          <w:color w:val="auto"/>
        </w:rPr>
      </w:pPr>
    </w:p>
    <w:p>
      <w:pPr>
        <w:jc w:val="both"/>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ind w:left="420"/>
        <w:spacing w:after="0" w:line="161" w:lineRule="exact"/>
        <w:tabs>
          <w:tab w:leader="none" w:pos="2280" w:val="left"/>
          <w:tab w:leader="none" w:pos="4440" w:val="left"/>
          <w:tab w:leader="none" w:pos="6580" w:val="left"/>
          <w:tab w:leader="none" w:pos="90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909320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0"/>
          <w:szCs w:val="20"/>
          <w:color w:val="auto"/>
        </w:rPr>
      </w:pPr>
    </w:p>
    <w:p>
      <w:pPr>
        <w:jc w:val="both"/>
        <w:spacing w:after="0" w:line="214"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color w:val="auto"/>
        </w:rPr>
        <w:t>☒</w:t>
      </w:r>
    </w:p>
    <w:p>
      <w:pPr>
        <w:spacing w:after="0" w:line="18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aggregate market value of the common stock held by non-affiliates of the Registrant as of June 30, 2021, the last business day of the Registrant’s last completed second quarter, based upon the closing price of the common stock as reported by The Nasdaq Stock Market on such date was approximately $257.8 million. Shares of common stock held by each executive officer,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As of March 14, 2022, a total of 88,250,559 shares of the Registrant’s common stock were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exhibit index as required by Item 601(a) of Regulation S-K is included in Item 15 of Part IV of this report on Form 10-K.</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45" w:lineRule="exact"/>
        <w:rPr>
          <w:sz w:val="20"/>
          <w:szCs w:val="20"/>
          <w:color w:val="auto"/>
        </w:rPr>
      </w:pPr>
    </w:p>
    <w:p>
      <w:pPr>
        <w:jc w:val="both"/>
        <w:spacing w:after="0" w:line="192" w:lineRule="exact"/>
        <w:rPr>
          <w:sz w:val="20"/>
          <w:szCs w:val="20"/>
          <w:color w:val="auto"/>
        </w:rPr>
      </w:pPr>
      <w:r>
        <w:rPr>
          <w:rFonts w:ascii="Arial" w:cs="Arial" w:eastAsia="Arial" w:hAnsi="Arial"/>
          <w:sz w:val="15"/>
          <w:szCs w:val="15"/>
          <w:color w:val="auto"/>
        </w:rPr>
        <w:t>Information required by Part III (Items 10, 11, 12, 13 and 14) is incorporated by reference to portions of the Registrant’s definitive Proxy Statement for its 2022 Annual Meeting of Stockholders (the “Proxy Statement”), which is to be filed pursuant to Regulation 14A within 120 days after the end of the Registrant’s fiscal year ended December 31, 2021. Except as expressly incorporated by reference, the Proxy Statement shall not be deemed to be a part of this report on Form 10</w:t>
      </w:r>
      <w:r>
        <w:rPr>
          <w:rFonts w:ascii="MS PGothic" w:cs="MS PGothic" w:eastAsia="MS PGothic" w:hAnsi="MS PGothic"/>
          <w:sz w:val="15"/>
          <w:szCs w:val="15"/>
          <w:color w:val="auto"/>
        </w:rPr>
        <w:t>‑</w:t>
      </w:r>
      <w:r>
        <w:rPr>
          <w:rFonts w:ascii="Arial" w:cs="Arial" w:eastAsia="Arial" w:hAnsi="Arial"/>
          <w:sz w:val="15"/>
          <w:szCs w:val="15"/>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683260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80010</wp:posOffset>
            </wp:positionV>
            <wp:extent cx="7092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105410</wp:posOffset>
            </wp:positionV>
            <wp:extent cx="7092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40" w:type="dxa"/>
            <w:vAlign w:val="bottom"/>
            <w:gridSpan w:val="3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59"/>
        </w:trPr>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13"/>
          </w:tcPr>
          <w:p>
            <w:pPr>
              <w:jc w:val="center"/>
              <w:ind w:right="2420"/>
              <w:spacing w:after="0"/>
              <w:rPr>
                <w:sz w:val="20"/>
                <w:szCs w:val="20"/>
                <w:color w:val="auto"/>
              </w:rPr>
            </w:pPr>
            <w:r>
              <w:rPr>
                <w:rFonts w:ascii="Arial" w:cs="Arial" w:eastAsia="Arial" w:hAnsi="Arial"/>
                <w:sz w:val="18"/>
                <w:szCs w:val="18"/>
                <w:b w:val="1"/>
                <w:bCs w:val="1"/>
                <w:color w:val="auto"/>
                <w:w w:val="98"/>
              </w:rPr>
              <w:t>SYNCHRONOSS TECHNOLOGIES,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0" w:type="dxa"/>
            <w:vAlign w:val="bottom"/>
            <w:gridSpan w:val="11"/>
          </w:tcPr>
          <w:p>
            <w:pPr>
              <w:jc w:val="center"/>
              <w:ind w:right="3380"/>
              <w:spacing w:after="0"/>
              <w:rPr>
                <w:sz w:val="20"/>
                <w:szCs w:val="20"/>
                <w:color w:val="auto"/>
              </w:rPr>
            </w:pPr>
            <w:r>
              <w:rPr>
                <w:rFonts w:ascii="Arial" w:cs="Arial" w:eastAsia="Arial" w:hAnsi="Arial"/>
                <w:sz w:val="18"/>
                <w:szCs w:val="18"/>
                <w:b w:val="1"/>
                <w:bCs w:val="1"/>
                <w:color w:val="auto"/>
              </w:rPr>
              <w:t>FORM 10-K INDEX</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Item</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00" w:type="dxa"/>
            <w:vAlign w:val="bottom"/>
            <w:gridSpan w:val="5"/>
          </w:tcPr>
          <w:p>
            <w:pPr>
              <w:spacing w:after="0"/>
              <w:rPr>
                <w:sz w:val="20"/>
                <w:szCs w:val="20"/>
                <w:color w:val="auto"/>
              </w:rPr>
            </w:pPr>
            <w:r>
              <w:rPr>
                <w:rFonts w:ascii="Arial" w:cs="Arial" w:eastAsia="Arial" w:hAnsi="Arial"/>
                <w:sz w:val="18"/>
                <w:szCs w:val="18"/>
                <w:b w:val="1"/>
                <w:bCs w:val="1"/>
                <w:color w:val="auto"/>
              </w:rPr>
              <w:t>Page No.</w:t>
            </w:r>
          </w:p>
        </w:tc>
      </w:tr>
      <w:tr>
        <w:trPr>
          <w:trHeight w:val="167"/>
        </w:trPr>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gridSpan w:val="9"/>
          </w:tcPr>
          <w:p>
            <w:pPr>
              <w:jc w:val="center"/>
              <w:ind w:right="4420"/>
              <w:spacing w:after="0" w:line="168"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PART I</w:t>
              </w:r>
            </w:hyperlink>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20" w:type="dxa"/>
            <w:vAlign w:val="bottom"/>
            <w:tcBorders>
              <w:top w:val="single" w:sz="8" w:color="0000FF"/>
            </w:tcBorders>
          </w:tcPr>
          <w:p>
            <w:pPr>
              <w:spacing w:after="0"/>
              <w:rPr>
                <w:sz w:val="17"/>
                <w:szCs w:val="17"/>
                <w:color w:val="auto"/>
              </w:rPr>
            </w:pPr>
          </w:p>
        </w:tc>
        <w:tc>
          <w:tcPr>
            <w:tcW w:w="4420" w:type="dxa"/>
            <w:vAlign w:val="bottom"/>
            <w:gridSpan w:val="8"/>
          </w:tcPr>
          <w:p>
            <w:pPr>
              <w:spacing w:after="0"/>
              <w:rPr>
                <w:sz w:val="17"/>
                <w:szCs w:val="17"/>
                <w:color w:val="auto"/>
              </w:rPr>
            </w:pPr>
          </w:p>
        </w:tc>
        <w:tc>
          <w:tcPr>
            <w:tcW w:w="1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1A.</w:t>
              </w:r>
            </w:hyperlink>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180" w:type="dxa"/>
            <w:vAlign w:val="bottom"/>
            <w:gridSpan w:val="2"/>
          </w:tcPr>
          <w:p>
            <w:pPr>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rFonts w:ascii="Arial" w:cs="Arial" w:eastAsia="Arial" w:hAnsi="Arial"/>
                <w:sz w:val="14"/>
                <w:szCs w:val="14"/>
                <w:color w:val="0000FF"/>
                <w:w w:val="75"/>
              </w:rPr>
            </w:pPr>
            <w:hyperlink w:anchor="page42">
              <w:r>
                <w:rPr>
                  <w:rFonts w:ascii="Arial" w:cs="Arial" w:eastAsia="Arial" w:hAnsi="Arial"/>
                  <w:sz w:val="14"/>
                  <w:szCs w:val="14"/>
                  <w:color w:val="0000FF"/>
                  <w:w w:val="75"/>
                </w:rPr>
                <w:t>1B.</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Unresolved Staff Comments</w:t>
              </w:r>
            </w:hyperlink>
          </w:p>
        </w:tc>
        <w:tc>
          <w:tcPr>
            <w:tcW w:w="180" w:type="dxa"/>
            <w:vAlign w:val="bottom"/>
            <w:gridSpan w:val="2"/>
          </w:tcPr>
          <w:p>
            <w:pPr>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2.</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Properties</w:t>
              </w:r>
            </w:hyperlink>
          </w:p>
        </w:tc>
        <w:tc>
          <w:tcPr>
            <w:tcW w:w="180" w:type="dxa"/>
            <w:vAlign w:val="bottom"/>
            <w:gridSpan w:val="2"/>
          </w:tcPr>
          <w:p>
            <w:pPr>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180" w:type="dxa"/>
            <w:vAlign w:val="bottom"/>
            <w:gridSpan w:val="2"/>
          </w:tcPr>
          <w:p>
            <w:pPr>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180" w:type="dxa"/>
            <w:vAlign w:val="bottom"/>
            <w:gridSpan w:val="2"/>
          </w:tcPr>
          <w:p>
            <w:pPr>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PART II</w:t>
              </w:r>
            </w:hyperlink>
          </w:p>
        </w:tc>
        <w:tc>
          <w:tcPr>
            <w:tcW w:w="4380" w:type="dxa"/>
            <w:vAlign w:val="bottom"/>
            <w:gridSpan w:val="7"/>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Market for Registrant’s Common Equity, Related Stockholder Matters and Issuer Purchases of Equity Securities</w:t>
              </w:r>
            </w:hyperlink>
          </w:p>
        </w:tc>
        <w:tc>
          <w:tcPr>
            <w:tcW w:w="180" w:type="dxa"/>
            <w:vAlign w:val="bottom"/>
            <w:gridSpan w:val="2"/>
          </w:tcPr>
          <w:p>
            <w:pPr>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6.</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Selected Financial Data</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7.</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7A.</w:t>
              </w:r>
            </w:hyperlink>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Quantitative and Qualitative Disclosures About Market Risk</w:t>
              </w:r>
            </w:hyperlink>
          </w:p>
        </w:tc>
        <w:tc>
          <w:tcPr>
            <w:tcW w:w="180" w:type="dxa"/>
            <w:vAlign w:val="bottom"/>
            <w:gridSpan w:val="2"/>
          </w:tcPr>
          <w:p>
            <w:pPr>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8.</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Financial Statements and Supplementary Data</w:t>
              </w:r>
            </w:hyperlink>
          </w:p>
        </w:tc>
        <w:tc>
          <w:tcPr>
            <w:tcW w:w="180" w:type="dxa"/>
            <w:vAlign w:val="bottom"/>
            <w:gridSpan w:val="2"/>
          </w:tcPr>
          <w:p>
            <w:pPr>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220" w:type="dxa"/>
            <w:vAlign w:val="bottom"/>
            <w:gridSpan w:val="3"/>
          </w:tcPr>
          <w:p>
            <w:pPr>
              <w:ind w:left="80"/>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9.</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Changes in and Disagreements with Accountants on Accounting and Financial Disclosure</w:t>
              </w:r>
            </w:hyperlink>
          </w:p>
        </w:tc>
        <w:tc>
          <w:tcPr>
            <w:tcW w:w="1040" w:type="dxa"/>
            <w:vAlign w:val="bottom"/>
            <w:gridSpan w:val="4"/>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110</w:t>
              </w:r>
            </w:hyperlink>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9A.</w:t>
              </w:r>
            </w:hyperlink>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Controls and Procedures</w:t>
              </w:r>
            </w:hyperlink>
          </w:p>
        </w:tc>
        <w:tc>
          <w:tcPr>
            <w:tcW w:w="1040" w:type="dxa"/>
            <w:vAlign w:val="bottom"/>
            <w:gridSpan w:val="4"/>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rFonts w:ascii="Arial" w:cs="Arial" w:eastAsia="Arial" w:hAnsi="Arial"/>
                <w:sz w:val="14"/>
                <w:szCs w:val="14"/>
                <w:color w:val="0000FF"/>
                <w:w w:val="75"/>
              </w:rPr>
            </w:pPr>
            <w:hyperlink w:anchor="page111">
              <w:r>
                <w:rPr>
                  <w:rFonts w:ascii="Arial" w:cs="Arial" w:eastAsia="Arial" w:hAnsi="Arial"/>
                  <w:sz w:val="14"/>
                  <w:szCs w:val="14"/>
                  <w:color w:val="0000FF"/>
                  <w:w w:val="75"/>
                </w:rPr>
                <w:t>9B.</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8"/>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Other Information</w:t>
              </w:r>
            </w:hyperlink>
          </w:p>
        </w:tc>
        <w:tc>
          <w:tcPr>
            <w:tcW w:w="7580" w:type="dxa"/>
            <w:vAlign w:val="bottom"/>
            <w:gridSpan w:val="18"/>
          </w:tcPr>
          <w:p>
            <w:pPr>
              <w:spacing w:after="0"/>
              <w:rPr>
                <w:sz w:val="17"/>
                <w:szCs w:val="17"/>
                <w:color w:val="auto"/>
              </w:rPr>
            </w:pPr>
          </w:p>
        </w:tc>
        <w:tc>
          <w:tcPr>
            <w:tcW w:w="1040" w:type="dxa"/>
            <w:vAlign w:val="bottom"/>
            <w:gridSpan w:val="4"/>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112</w:t>
              </w:r>
            </w:hyperlink>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gridSpan w:val="11"/>
          </w:tcPr>
          <w:p>
            <w:pPr>
              <w:jc w:val="center"/>
              <w:ind w:right="4360"/>
              <w:spacing w:after="0"/>
              <w:rPr>
                <w:rFonts w:ascii="Arial" w:cs="Arial" w:eastAsia="Arial" w:hAnsi="Arial"/>
                <w:sz w:val="18"/>
                <w:szCs w:val="18"/>
                <w:color w:val="0000FF"/>
                <w:w w:val="94"/>
              </w:rPr>
            </w:pPr>
            <w:hyperlink w:anchor="page112">
              <w:r>
                <w:rPr>
                  <w:rFonts w:ascii="Arial" w:cs="Arial" w:eastAsia="Arial" w:hAnsi="Arial"/>
                  <w:sz w:val="18"/>
                  <w:szCs w:val="18"/>
                  <w:color w:val="0000FF"/>
                  <w:w w:val="94"/>
                </w:rPr>
                <w:t>PART III</w:t>
              </w:r>
            </w:hyperlink>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300" w:type="dxa"/>
            <w:vAlign w:val="bottom"/>
            <w:gridSpan w:val="4"/>
          </w:tcPr>
          <w:p>
            <w:pPr>
              <w:ind w:left="80"/>
              <w:spacing w:after="0"/>
              <w:rPr>
                <w:rFonts w:ascii="Arial" w:cs="Arial" w:eastAsia="Arial" w:hAnsi="Arial"/>
                <w:sz w:val="18"/>
                <w:szCs w:val="18"/>
                <w:color w:val="0000FF"/>
                <w:w w:val="71"/>
              </w:rPr>
            </w:pPr>
            <w:hyperlink w:anchor="page112">
              <w:r>
                <w:rPr>
                  <w:rFonts w:ascii="Arial" w:cs="Arial" w:eastAsia="Arial" w:hAnsi="Arial"/>
                  <w:sz w:val="18"/>
                  <w:szCs w:val="18"/>
                  <w:color w:val="0000FF"/>
                  <w:w w:val="71"/>
                </w:rPr>
                <w:t>10.</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00" w:type="dxa"/>
            <w:vAlign w:val="bottom"/>
            <w:gridSpan w:val="15"/>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Directors and Executive Officers and Corporate Governance</w:t>
              </w:r>
            </w:hyperlink>
          </w:p>
        </w:tc>
        <w:tc>
          <w:tcPr>
            <w:tcW w:w="640" w:type="dxa"/>
            <w:vAlign w:val="bottom"/>
            <w:tcBorders>
              <w:top w:val="single" w:sz="8" w:color="0000FF"/>
            </w:tcBorders>
            <w:gridSpan w:val="5"/>
          </w:tcPr>
          <w:p>
            <w:pPr>
              <w:spacing w:after="0"/>
              <w:rPr>
                <w:sz w:val="17"/>
                <w:szCs w:val="17"/>
                <w:color w:val="auto"/>
              </w:rPr>
            </w:pPr>
          </w:p>
        </w:tc>
        <w:tc>
          <w:tcPr>
            <w:tcW w:w="4360" w:type="dxa"/>
            <w:vAlign w:val="bottom"/>
            <w:gridSpan w:val="6"/>
          </w:tcPr>
          <w:p>
            <w:pPr>
              <w:spacing w:after="0"/>
              <w:rPr>
                <w:sz w:val="17"/>
                <w:szCs w:val="17"/>
                <w:color w:val="auto"/>
              </w:rPr>
            </w:pPr>
          </w:p>
        </w:tc>
        <w:tc>
          <w:tcPr>
            <w:tcW w:w="1040" w:type="dxa"/>
            <w:vAlign w:val="bottom"/>
            <w:gridSpan w:val="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300" w:type="dxa"/>
            <w:vAlign w:val="bottom"/>
            <w:gridSpan w:val="4"/>
          </w:tcPr>
          <w:p>
            <w:pPr>
              <w:ind w:left="80"/>
              <w:spacing w:after="0"/>
              <w:rPr>
                <w:rFonts w:ascii="Arial" w:cs="Arial" w:eastAsia="Arial" w:hAnsi="Arial"/>
                <w:sz w:val="18"/>
                <w:szCs w:val="18"/>
                <w:color w:val="0000FF"/>
                <w:w w:val="71"/>
              </w:rPr>
            </w:pPr>
            <w:hyperlink w:anchor="page112">
              <w:r>
                <w:rPr>
                  <w:rFonts w:ascii="Arial" w:cs="Arial" w:eastAsia="Arial" w:hAnsi="Arial"/>
                  <w:sz w:val="18"/>
                  <w:szCs w:val="18"/>
                  <w:color w:val="0000FF"/>
                  <w:w w:val="71"/>
                </w:rPr>
                <w:t>11.</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Executive Compensation</w:t>
              </w:r>
            </w:hyperlink>
          </w:p>
        </w:tc>
        <w:tc>
          <w:tcPr>
            <w:tcW w:w="1040" w:type="dxa"/>
            <w:vAlign w:val="bottom"/>
            <w:gridSpan w:val="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300" w:type="dxa"/>
            <w:vAlign w:val="bottom"/>
            <w:gridSpan w:val="4"/>
          </w:tcPr>
          <w:p>
            <w:pPr>
              <w:ind w:left="80"/>
              <w:spacing w:after="0"/>
              <w:rPr>
                <w:rFonts w:ascii="Arial" w:cs="Arial" w:eastAsia="Arial" w:hAnsi="Arial"/>
                <w:sz w:val="18"/>
                <w:szCs w:val="18"/>
                <w:color w:val="0000FF"/>
                <w:w w:val="71"/>
              </w:rPr>
            </w:pPr>
            <w:hyperlink w:anchor="page112">
              <w:r>
                <w:rPr>
                  <w:rFonts w:ascii="Arial" w:cs="Arial" w:eastAsia="Arial" w:hAnsi="Arial"/>
                  <w:sz w:val="18"/>
                  <w:szCs w:val="18"/>
                  <w:color w:val="0000FF"/>
                  <w:w w:val="71"/>
                </w:rPr>
                <w:t>12.</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Security Ownership of Certain Beneficial Owners and Management and Related Stockholder Matters</w:t>
              </w:r>
            </w:hyperlink>
          </w:p>
        </w:tc>
        <w:tc>
          <w:tcPr>
            <w:tcW w:w="1040" w:type="dxa"/>
            <w:vAlign w:val="bottom"/>
            <w:gridSpan w:val="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300" w:type="dxa"/>
            <w:vAlign w:val="bottom"/>
            <w:gridSpan w:val="4"/>
          </w:tcPr>
          <w:p>
            <w:pPr>
              <w:ind w:left="80"/>
              <w:spacing w:after="0"/>
              <w:rPr>
                <w:rFonts w:ascii="Arial" w:cs="Arial" w:eastAsia="Arial" w:hAnsi="Arial"/>
                <w:sz w:val="18"/>
                <w:szCs w:val="18"/>
                <w:color w:val="0000FF"/>
                <w:w w:val="71"/>
              </w:rPr>
            </w:pPr>
            <w:hyperlink w:anchor="page112">
              <w:r>
                <w:rPr>
                  <w:rFonts w:ascii="Arial" w:cs="Arial" w:eastAsia="Arial" w:hAnsi="Arial"/>
                  <w:sz w:val="18"/>
                  <w:szCs w:val="18"/>
                  <w:color w:val="0000FF"/>
                  <w:w w:val="71"/>
                </w:rPr>
                <w:t>13.</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Certain Relationships and Related Transactions</w:t>
              </w:r>
            </w:hyperlink>
          </w:p>
        </w:tc>
        <w:tc>
          <w:tcPr>
            <w:tcW w:w="1040" w:type="dxa"/>
            <w:vAlign w:val="bottom"/>
            <w:gridSpan w:val="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300" w:type="dxa"/>
            <w:vAlign w:val="bottom"/>
            <w:gridSpan w:val="4"/>
          </w:tcPr>
          <w:p>
            <w:pPr>
              <w:ind w:left="80"/>
              <w:spacing w:after="0"/>
              <w:rPr>
                <w:rFonts w:ascii="Arial" w:cs="Arial" w:eastAsia="Arial" w:hAnsi="Arial"/>
                <w:sz w:val="18"/>
                <w:szCs w:val="18"/>
                <w:color w:val="0000FF"/>
                <w:w w:val="71"/>
              </w:rPr>
            </w:pPr>
            <w:hyperlink w:anchor="page112">
              <w:r>
                <w:rPr>
                  <w:rFonts w:ascii="Arial" w:cs="Arial" w:eastAsia="Arial" w:hAnsi="Arial"/>
                  <w:sz w:val="18"/>
                  <w:szCs w:val="18"/>
                  <w:color w:val="0000FF"/>
                  <w:w w:val="71"/>
                </w:rPr>
                <w:t>14.</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Principal Accounting Fees and Services</w:t>
              </w:r>
            </w:hyperlink>
          </w:p>
        </w:tc>
        <w:tc>
          <w:tcPr>
            <w:tcW w:w="1040" w:type="dxa"/>
            <w:vAlign w:val="bottom"/>
            <w:gridSpan w:val="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113</w:t>
              </w:r>
            </w:hyperlink>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bottom w:val="single" w:sz="8" w:color="0000FF"/>
            </w:tcBorders>
            <w:gridSpan w:val="6"/>
          </w:tcPr>
          <w:p>
            <w:pPr>
              <w:jc w:val="center"/>
              <w:spacing w:after="0"/>
              <w:rPr>
                <w:rFonts w:ascii="Arial" w:cs="Arial" w:eastAsia="Arial" w:hAnsi="Arial"/>
                <w:sz w:val="18"/>
                <w:szCs w:val="18"/>
                <w:color w:val="0000FF"/>
                <w:w w:val="94"/>
              </w:rPr>
            </w:pPr>
            <w:hyperlink w:anchor="page113">
              <w:r>
                <w:rPr>
                  <w:rFonts w:ascii="Arial" w:cs="Arial" w:eastAsia="Arial" w:hAnsi="Arial"/>
                  <w:sz w:val="18"/>
                  <w:szCs w:val="18"/>
                  <w:color w:val="0000FF"/>
                  <w:w w:val="94"/>
                </w:rPr>
                <w:t>PART IV</w:t>
              </w:r>
            </w:hyperlink>
          </w:p>
        </w:tc>
        <w:tc>
          <w:tcPr>
            <w:tcW w:w="4340" w:type="dxa"/>
            <w:vAlign w:val="bottom"/>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300" w:type="dxa"/>
            <w:vAlign w:val="bottom"/>
            <w:gridSpan w:val="4"/>
          </w:tcPr>
          <w:p>
            <w:pPr>
              <w:ind w:left="80"/>
              <w:spacing w:after="0"/>
              <w:rPr>
                <w:rFonts w:ascii="Arial" w:cs="Arial" w:eastAsia="Arial" w:hAnsi="Arial"/>
                <w:sz w:val="18"/>
                <w:szCs w:val="18"/>
                <w:color w:val="0000FF"/>
                <w:w w:val="71"/>
              </w:rPr>
            </w:pPr>
            <w:hyperlink w:anchor="page113">
              <w:r>
                <w:rPr>
                  <w:rFonts w:ascii="Arial" w:cs="Arial" w:eastAsia="Arial" w:hAnsi="Arial"/>
                  <w:sz w:val="18"/>
                  <w:szCs w:val="18"/>
                  <w:color w:val="0000FF"/>
                  <w:w w:val="71"/>
                </w:rPr>
                <w:t>15.</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Exhibits</w:t>
              </w:r>
            </w:hyperlink>
          </w:p>
        </w:tc>
        <w:tc>
          <w:tcPr>
            <w:tcW w:w="1040" w:type="dxa"/>
            <w:vAlign w:val="bottom"/>
            <w:gridSpan w:val="4"/>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113</w:t>
              </w:r>
            </w:hyperlink>
          </w:p>
        </w:tc>
        <w:tc>
          <w:tcPr>
            <w:tcW w:w="60" w:type="dxa"/>
            <w:vAlign w:val="bottom"/>
          </w:tcPr>
          <w:p>
            <w:pPr>
              <w:spacing w:after="0"/>
              <w:rPr>
                <w:sz w:val="17"/>
                <w:szCs w:val="17"/>
                <w:color w:val="auto"/>
              </w:rPr>
            </w:pPr>
          </w:p>
        </w:tc>
      </w:tr>
      <w:tr>
        <w:trPr>
          <w:trHeight w:val="20"/>
        </w:trPr>
        <w:tc>
          <w:tcPr>
            <w:tcW w:w="1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800" w:type="dxa"/>
            <w:vAlign w:val="bottom"/>
            <w:gridSpan w:val="20"/>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300" w:type="dxa"/>
            <w:vAlign w:val="bottom"/>
            <w:gridSpan w:val="4"/>
          </w:tcPr>
          <w:p>
            <w:pPr>
              <w:ind w:left="80"/>
              <w:spacing w:after="0"/>
              <w:rPr>
                <w:rFonts w:ascii="Arial" w:cs="Arial" w:eastAsia="Arial" w:hAnsi="Arial"/>
                <w:sz w:val="18"/>
                <w:szCs w:val="18"/>
                <w:color w:val="0000FF"/>
                <w:w w:val="71"/>
              </w:rPr>
            </w:pPr>
            <w:hyperlink w:anchor="page115">
              <w:r>
                <w:rPr>
                  <w:rFonts w:ascii="Arial" w:cs="Arial" w:eastAsia="Arial" w:hAnsi="Arial"/>
                  <w:sz w:val="18"/>
                  <w:szCs w:val="18"/>
                  <w:color w:val="0000FF"/>
                  <w:w w:val="71"/>
                </w:rPr>
                <w:t>16.</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gridSpan w:val="26"/>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Form 10-K Summary</w:t>
              </w:r>
            </w:hyperlink>
          </w:p>
        </w:tc>
        <w:tc>
          <w:tcPr>
            <w:tcW w:w="1040" w:type="dxa"/>
            <w:vAlign w:val="bottom"/>
            <w:gridSpan w:val="4"/>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116</w:t>
              </w:r>
            </w:hyperlink>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0"/>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Signatures</w:t>
              </w:r>
            </w:hyperlink>
          </w:p>
        </w:tc>
        <w:tc>
          <w:tcPr>
            <w:tcW w:w="1040" w:type="dxa"/>
            <w:vAlign w:val="bottom"/>
            <w:gridSpan w:val="4"/>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117</w:t>
              </w:r>
            </w:hyperlink>
          </w:p>
        </w:tc>
        <w:tc>
          <w:tcPr>
            <w:tcW w:w="60" w:type="dxa"/>
            <w:vAlign w:val="bottom"/>
          </w:tcPr>
          <w:p>
            <w:pPr>
              <w:spacing w:after="0"/>
              <w:rPr>
                <w:sz w:val="17"/>
                <w:szCs w:val="17"/>
                <w:color w:val="auto"/>
              </w:rPr>
            </w:pPr>
          </w:p>
        </w:tc>
      </w:tr>
      <w:tr>
        <w:trPr>
          <w:trHeight w:val="1755"/>
        </w:trPr>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58"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The words “Synchronoss,” “we,” “our,” “ours,” “us” and the “Company,” refer to Synchronoss Technologies, Inc. and its consolidated subsidiaries. All statements in this Annual Report on Form 10-K for the fiscal year ended December 31, 2021 that are not historical are forward-looking statements within the meaning of Section 27A of the Securities Act of 1933, as amended, and Section 21E of the Securities Exchange Act of 1934, as amended, including statements regarding Synchronoss’ “expectations,” “beliefs,” “hopes,” “intentions,” “anticipates,” “seeks,” “strategies,” “plans,” “targets,” “estimations,” “outlook” or the like. Such statements are based on management’s current expectations and are subject to a number of factors and uncertainties that could cause actual results to differ materially from those described in the forward-looking statements. Past performance is not necessarily indicative of future results. Synchronoss cautions investors that there can be no assurance that actual results or business conditions will not differ materially from those projected or suggested in such forward-looking statements as a result of various factors. We encourage you to read Management’s Discussion and Analysis of our Financial Condition and Results of Operations and our consolidated financial statements contained in this Form 10-K. We also encourage you to read Item 1A of Part I of this Form 10-K, entitled Risk Factors, which contains a more complete discussion of the risks and uncertainties associated with our business. In addition to the risks described in Item 1A of this Form 10-K, other unknown or unpredictable factors also could affect our results. Therefore, the information in this Form 10-K should be read together with other reports and documents that we file with the Securities and Exchange Commission from time to time, including on Form 10-Q and Form 8-K, which may supplement, modify, supersede or update those risk factors.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199"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This Form 10-K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incorporated into this Form 10-K to be reliable,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 content and connect with one another and the brands they love. Our mission is to help our customers create new revenue streams, reduce the cost of innovation, and captivate their subscribers.</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core product sets allow our customers to create a positive experience throughout their subscribers’ lifecycle by engaging, onboarding and managing the network to ensure reliable service.</w:t>
      </w:r>
    </w:p>
    <w:p>
      <w:pPr>
        <w:spacing w:after="0" w:line="228" w:lineRule="exact"/>
        <w:rPr>
          <w:sz w:val="20"/>
          <w:szCs w:val="20"/>
          <w:color w:val="auto"/>
        </w:rPr>
      </w:pPr>
    </w:p>
    <w:p>
      <w:pPr>
        <w:ind w:left="640" w:hanging="315"/>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ENGAGE:</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18"/>
          <w:szCs w:val="18"/>
          <w:color w:val="auto"/>
        </w:rPr>
        <w:t>Personal Cloud: Backup, manage and engage with content.</w:t>
      </w:r>
    </w:p>
    <w:p>
      <w:pPr>
        <w:spacing w:after="0" w:line="27" w:lineRule="exact"/>
        <w:rPr>
          <w:rFonts w:ascii="Arial" w:cs="Arial" w:eastAsia="Arial" w:hAnsi="Arial"/>
          <w:sz w:val="21"/>
          <w:szCs w:val="21"/>
          <w:color w:val="auto"/>
        </w:rPr>
      </w:pPr>
    </w:p>
    <w:p>
      <w:pPr>
        <w:ind w:left="1280" w:right="520" w:hanging="316"/>
        <w:spacing w:after="0" w:line="233" w:lineRule="auto"/>
        <w:tabs>
          <w:tab w:leader="none" w:pos="1276" w:val="left"/>
        </w:tabs>
        <w:numPr>
          <w:ilvl w:val="1"/>
          <w:numId w:val="3"/>
        </w:numPr>
        <w:rPr>
          <w:rFonts w:ascii="Arial" w:cs="Arial" w:eastAsia="Arial" w:hAnsi="Arial"/>
          <w:sz w:val="21"/>
          <w:szCs w:val="21"/>
          <w:color w:val="auto"/>
        </w:rPr>
      </w:pPr>
      <w:r>
        <w:rPr>
          <w:rFonts w:ascii="Arial" w:cs="Arial" w:eastAsia="Arial" w:hAnsi="Arial"/>
          <w:sz w:val="18"/>
          <w:szCs w:val="18"/>
          <w:color w:val="auto"/>
        </w:rPr>
        <w:t>Advanced Messaging: multi-channel messaging, peer-to-peer (“P2P”) communications and application-to-person (“A2P”) commerce solutions.</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3"/>
        </w:numPr>
        <w:rPr>
          <w:rFonts w:ascii="Arial" w:cs="Arial" w:eastAsia="Arial" w:hAnsi="Arial"/>
          <w:sz w:val="21"/>
          <w:szCs w:val="21"/>
          <w:color w:val="auto"/>
        </w:rPr>
      </w:pPr>
      <w:r>
        <w:rPr>
          <w:rFonts w:ascii="Arial" w:cs="Arial" w:eastAsia="Arial" w:hAnsi="Arial"/>
          <w:sz w:val="18"/>
          <w:szCs w:val="18"/>
          <w:color w:val="auto"/>
        </w:rPr>
        <w:t>Email Suite: White label consumer email solutions.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ind w:left="640" w:hanging="315"/>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ONBOARD:</w:t>
      </w:r>
    </w:p>
    <w:p>
      <w:pPr>
        <w:spacing w:after="0" w:line="12" w:lineRule="exact"/>
        <w:rPr>
          <w:rFonts w:ascii="Arial" w:cs="Arial" w:eastAsia="Arial" w:hAnsi="Arial"/>
          <w:sz w:val="21"/>
          <w:szCs w:val="21"/>
          <w:color w:val="auto"/>
        </w:rPr>
      </w:pPr>
    </w:p>
    <w:p>
      <w:pPr>
        <w:ind w:left="1280" w:hanging="316"/>
        <w:spacing w:after="0"/>
        <w:tabs>
          <w:tab w:leader="none" w:pos="1280" w:val="left"/>
        </w:tabs>
        <w:numPr>
          <w:ilvl w:val="1"/>
          <w:numId w:val="4"/>
        </w:numPr>
        <w:rPr>
          <w:rFonts w:ascii="Arial" w:cs="Arial" w:eastAsia="Arial" w:hAnsi="Arial"/>
          <w:sz w:val="21"/>
          <w:szCs w:val="21"/>
          <w:color w:val="auto"/>
        </w:rPr>
      </w:pPr>
      <w:r>
        <w:rPr>
          <w:rFonts w:ascii="Arial" w:cs="Arial" w:eastAsia="Arial" w:hAnsi="Arial"/>
          <w:sz w:val="18"/>
          <w:szCs w:val="18"/>
          <w:color w:val="auto"/>
        </w:rPr>
        <w:t>Backup and Restore: Backup, view and restore subscriber content across operating systems and devices.</w:t>
      </w:r>
    </w:p>
    <w:p>
      <w:pPr>
        <w:spacing w:after="0" w:line="11" w:lineRule="exact"/>
        <w:rPr>
          <w:rFonts w:ascii="Arial" w:cs="Arial" w:eastAsia="Arial" w:hAnsi="Arial"/>
          <w:sz w:val="21"/>
          <w:szCs w:val="21"/>
          <w:color w:val="auto"/>
        </w:rPr>
      </w:pPr>
    </w:p>
    <w:p>
      <w:pPr>
        <w:ind w:left="1280" w:hanging="316"/>
        <w:spacing w:after="0"/>
        <w:tabs>
          <w:tab w:leader="none" w:pos="1280" w:val="left"/>
        </w:tabs>
        <w:numPr>
          <w:ilvl w:val="1"/>
          <w:numId w:val="4"/>
        </w:numPr>
        <w:rPr>
          <w:rFonts w:ascii="Arial" w:cs="Arial" w:eastAsia="Arial" w:hAnsi="Arial"/>
          <w:sz w:val="21"/>
          <w:szCs w:val="21"/>
          <w:color w:val="auto"/>
        </w:rPr>
      </w:pPr>
      <w:r>
        <w:rPr>
          <w:rFonts w:ascii="Arial" w:cs="Arial" w:eastAsia="Arial" w:hAnsi="Arial"/>
          <w:sz w:val="18"/>
          <w:szCs w:val="18"/>
          <w:color w:val="auto"/>
        </w:rPr>
        <w:t>Out of Box Experience: Streamline the activation of new services and devices.</w:t>
      </w:r>
    </w:p>
    <w:p>
      <w:pPr>
        <w:spacing w:after="0" w:line="11" w:lineRule="exact"/>
        <w:rPr>
          <w:rFonts w:ascii="Arial" w:cs="Arial" w:eastAsia="Arial" w:hAnsi="Arial"/>
          <w:sz w:val="21"/>
          <w:szCs w:val="21"/>
          <w:color w:val="auto"/>
        </w:rPr>
      </w:pPr>
    </w:p>
    <w:p>
      <w:pPr>
        <w:ind w:left="1280" w:hanging="316"/>
        <w:spacing w:after="0"/>
        <w:tabs>
          <w:tab w:leader="none" w:pos="1280" w:val="left"/>
        </w:tabs>
        <w:numPr>
          <w:ilvl w:val="1"/>
          <w:numId w:val="4"/>
        </w:numPr>
        <w:rPr>
          <w:rFonts w:ascii="Arial" w:cs="Arial" w:eastAsia="Arial" w:hAnsi="Arial"/>
          <w:sz w:val="21"/>
          <w:szCs w:val="21"/>
          <w:color w:val="auto"/>
        </w:rPr>
      </w:pPr>
      <w:r>
        <w:rPr>
          <w:rFonts w:ascii="Arial" w:cs="Arial" w:eastAsia="Arial" w:hAnsi="Arial"/>
          <w:sz w:val="18"/>
          <w:szCs w:val="18"/>
          <w:color w:val="auto"/>
        </w:rPr>
        <w:t>Content Transfer: Effortlessly move content between mobile devices.</w:t>
      </w:r>
    </w:p>
    <w:p>
      <w:pPr>
        <w:spacing w:after="0" w:line="21" w:lineRule="exact"/>
        <w:rPr>
          <w:rFonts w:ascii="Arial" w:cs="Arial" w:eastAsia="Arial" w:hAnsi="Arial"/>
          <w:sz w:val="21"/>
          <w:szCs w:val="21"/>
          <w:color w:val="auto"/>
        </w:rPr>
      </w:pPr>
    </w:p>
    <w:p>
      <w:pPr>
        <w:ind w:left="1280" w:hanging="316"/>
        <w:spacing w:after="0"/>
        <w:tabs>
          <w:tab w:leader="none" w:pos="1280" w:val="left"/>
        </w:tabs>
        <w:numPr>
          <w:ilvl w:val="1"/>
          <w:numId w:val="4"/>
        </w:numPr>
        <w:rPr>
          <w:rFonts w:ascii="Arial" w:cs="Arial" w:eastAsia="Arial" w:hAnsi="Arial"/>
          <w:sz w:val="20"/>
          <w:szCs w:val="20"/>
          <w:color w:val="auto"/>
        </w:rPr>
      </w:pPr>
      <w:r>
        <w:rPr>
          <w:rFonts w:ascii="Arial" w:cs="Arial" w:eastAsia="Arial" w:hAnsi="Arial"/>
          <w:sz w:val="17"/>
          <w:szCs w:val="17"/>
          <w:color w:val="auto"/>
        </w:rPr>
        <w:t>Digital Experience Platform: Customer journey and workflow design, development, orchestration and experience management.</w:t>
      </w:r>
    </w:p>
    <w:p>
      <w:pPr>
        <w:spacing w:after="0" w:line="12" w:lineRule="exact"/>
        <w:rPr>
          <w:rFonts w:ascii="Arial" w:cs="Arial" w:eastAsia="Arial" w:hAnsi="Arial"/>
          <w:sz w:val="20"/>
          <w:szCs w:val="20"/>
          <w:color w:val="auto"/>
        </w:rPr>
      </w:pPr>
    </w:p>
    <w:p>
      <w:pPr>
        <w:ind w:left="640" w:hanging="315"/>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NETWORK:</w:t>
      </w:r>
    </w:p>
    <w:p>
      <w:pPr>
        <w:spacing w:after="0" w:line="11" w:lineRule="exact"/>
        <w:rPr>
          <w:rFonts w:ascii="Arial" w:cs="Arial" w:eastAsia="Arial" w:hAnsi="Arial"/>
          <w:sz w:val="21"/>
          <w:szCs w:val="21"/>
          <w:color w:val="auto"/>
        </w:rPr>
      </w:pPr>
    </w:p>
    <w:p>
      <w:pPr>
        <w:ind w:left="1280" w:hanging="316"/>
        <w:spacing w:after="0" w:line="245" w:lineRule="auto"/>
        <w:tabs>
          <w:tab w:leader="none" w:pos="1316" w:val="left"/>
        </w:tabs>
        <w:numPr>
          <w:ilvl w:val="1"/>
          <w:numId w:val="4"/>
        </w:numPr>
        <w:rPr>
          <w:rFonts w:ascii="Arial" w:cs="Arial" w:eastAsia="Arial" w:hAnsi="Arial"/>
          <w:sz w:val="21"/>
          <w:szCs w:val="21"/>
          <w:color w:val="auto"/>
        </w:rPr>
      </w:pPr>
      <w:r>
        <w:rPr>
          <w:rFonts w:ascii="Arial" w:cs="Arial" w:eastAsia="Arial" w:hAnsi="Arial"/>
          <w:sz w:val="18"/>
          <w:szCs w:val="18"/>
          <w:color w:val="auto"/>
        </w:rPr>
        <w:t>Total Network Management (“TNM”)</w:t>
      </w:r>
      <w:r>
        <w:rPr>
          <w:rFonts w:ascii="Arial" w:cs="Arial" w:eastAsia="Arial" w:hAnsi="Arial"/>
          <w:sz w:val="21"/>
          <w:szCs w:val="21"/>
          <w:color w:val="008080"/>
        </w:rPr>
        <w:t>:</w:t>
      </w:r>
      <w:r>
        <w:rPr>
          <w:rFonts w:ascii="Arial" w:cs="Arial" w:eastAsia="Arial" w:hAnsi="Arial"/>
          <w:sz w:val="18"/>
          <w:szCs w:val="18"/>
          <w:color w:val="auto"/>
        </w:rPr>
        <w:t xml:space="preserve"> integrated application suite that designs, procures, manages and optimizes telecom network infrastructure.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Serve</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At Synchronoss we focus on delivering carrier-grade solutions to three markets globally: communications service providers/ multi-service operators (such as cable and mobile network operators), mobile insurance providers and retailers. We help our customers accelerate and monetize value-add services to drive growth, facilitate retention and enable differentiated experiences.</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Communications service providers, multi-service operators and mobile insurance providers market white-label implementations of our Synchronoss Personal Cloud, Advanced Messaging and email products and solutions to their subscribers around the world. Our customers market and re-sell the services powered by our technology to their subscribers as part of stand-alone subscriptions, value-added bundles, or use Personal Cloud to enhance their service offerings to subscribers who purchase and lease mobile devices and network connectivity by providing an easy solution for storing and syncing user generated content (e.g., videos, photos, documents, contacts, music etc.). Additionally, they license Synchronoss Advanced Messaging and Email to enable white label multichannel messaging services including advanced person-to-person (“P2P”) and application-to-person (“A2P”) transactions and to offer brand/advertiser ecosystems. Communications service providers and multi-service operators use our Onboard and Network solutions to enhance their subscriber journeys and onboarding and to streamline their internal processes.</w:t>
      </w:r>
    </w:p>
    <w:p>
      <w:pPr>
        <w:spacing w:after="0" w:line="20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customers include global service providers such as AT&amp;T, BT, Verizon, Vodafone, Softbank and multi-service operators like Comcast, Altice, Charter and Mediacom. These customers utilize our solutions to service both consumer and enterprise customers.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Go to Market</w:t>
      </w:r>
    </w:p>
    <w:p>
      <w:pPr>
        <w:spacing w:after="0" w:line="251"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We market our solutions and services directly through our sales organizations in the Americas, Europe, Middle East and Africa (“EMEA”) and Asia-Pacific (“APAC”).</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sell our solutions, products, and services through a direct sales force, with strategic partners and in collaboration with our customers to resell services to their end customers and subscribers. Our sales professionals are well versed in our platforms, products and services with an understanding of market trends, demands and conditions that our current and potential customers are facing.</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Marketing</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Synchronoss marketing team’s mission is to deliver the right strategy, tools, and customer acquisition initiatives to accelerate our growth. The team uses a combination of product specific and company-wide marketing messages and initiatives that leverage digital marketing campaigns, sales support materials, social media, and PR to generate top of the funnel business-to-business (“B2B”) sales leads for the sales team. As a result, they play a vital role in promoting our products, discovering new markets, and driving brand awareness in the North America, EMEA, and APAC regions.</w:t>
      </w:r>
    </w:p>
    <w:p>
      <w:pPr>
        <w:spacing w:after="0" w:line="18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Marketing team also supports our customers’ direct-to-consumer (D2C) marketing efforts for all global cloud deployments. In partnership with our customers, our go-to-market and awareness campaigns consist of a digitally-led omnichannel approach at critical moments in the subscriber’s purchase lifecycle; including online checkout, retail transactions, customer care interactions, out-of-box setup experiences, and in-app notifications for devices that have our cloud app preloaded.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Deliver - Our Platforms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Synchronoss Experience (syncX) is a collection of products that help our customers create a positive brand experience throughout the subscriber lifecycle. SyncX keeps people, systems, networks, and content in sync to enable a better, more engaging experience.</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EngageX </w:t>
      </w:r>
      <w:r>
        <w:rPr>
          <w:rFonts w:ascii="Arial" w:cs="Arial" w:eastAsia="Arial" w:hAnsi="Arial"/>
          <w:sz w:val="18"/>
          <w:szCs w:val="18"/>
          <w:color w:val="auto"/>
        </w:rPr>
        <w:t>products keep subscribers engaged with brands, content and people they love. When loyalty and revenue is won and lost through every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it is critical to offer value added services subscribers love. Our Cloud and Messaging experiences grow, inspire, and build loyalty with our customers’ subscriber base.</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Synchronoss Personal Cloud™ Platform</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Synchronoss Personal Cloud</w:t>
      </w:r>
      <w:r>
        <w:rPr>
          <w:rFonts w:ascii="Arial" w:cs="Arial" w:eastAsia="Arial" w:hAnsi="Arial"/>
          <w:sz w:val="19"/>
          <w:szCs w:val="19"/>
          <w:color w:val="auto"/>
        </w:rPr>
        <w:t>™</w:t>
      </w:r>
      <w:r>
        <w:rPr>
          <w:rFonts w:ascii="Arial" w:cs="Arial" w:eastAsia="Arial" w:hAnsi="Arial"/>
          <w:sz w:val="16"/>
          <w:szCs w:val="16"/>
          <w:color w:val="auto"/>
        </w:rPr>
        <w:t xml:space="preserve"> solution is designed to create an engaging and trusted customer experience through ongoing content management</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engagement. The Synchronoss Personal Cloud™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Synchronoss Personal Cloud™ platform is specifically designed to support smartphones, tablets, desktops computers, laptops, wearables for health and wellness, cameras, TVs, security cameras, routers, as well as connected automobiles and homes.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Messaging Platform</w:t>
      </w:r>
    </w:p>
    <w:p>
      <w:pPr>
        <w:spacing w:after="0" w:line="251" w:lineRule="exact"/>
        <w:rPr>
          <w:sz w:val="20"/>
          <w:szCs w:val="20"/>
          <w:color w:val="auto"/>
        </w:rPr>
      </w:pPr>
    </w:p>
    <w:p>
      <w:pPr>
        <w:jc w:val="both"/>
        <w:ind w:firstLine="319"/>
        <w:spacing w:after="0" w:line="301" w:lineRule="auto"/>
        <w:rPr>
          <w:sz w:val="20"/>
          <w:szCs w:val="20"/>
          <w:color w:val="auto"/>
        </w:rPr>
      </w:pPr>
      <w:r>
        <w:rPr>
          <w:rFonts w:ascii="Arial" w:cs="Arial" w:eastAsia="Arial" w:hAnsi="Arial"/>
          <w:sz w:val="16"/>
          <w:szCs w:val="16"/>
          <w:color w:val="auto"/>
        </w:rPr>
        <w:t>Synchronoss’ Messaging Platform powers mobile messaging and mailboxes for hundreds of millions of telecommunication subscribers. Our Advanced Messaging platform is a powerful, secure</w:t>
      </w:r>
      <w:r>
        <w:rPr>
          <w:rFonts w:ascii="Arial" w:cs="Arial" w:eastAsia="Arial" w:hAnsi="Arial"/>
          <w:sz w:val="19"/>
          <w:szCs w:val="19"/>
          <w:color w:val="008080"/>
        </w:rPr>
        <w:t>,</w:t>
      </w:r>
      <w:r>
        <w:rPr>
          <w:rFonts w:ascii="Arial" w:cs="Arial" w:eastAsia="Arial" w:hAnsi="Arial"/>
          <w:sz w:val="16"/>
          <w:szCs w:val="16"/>
          <w:color w:val="auto"/>
        </w:rPr>
        <w:t xml:space="preserve"> intelligent, white-label messaging platform that expands capabilities for communications service provider and</w:t>
      </w:r>
    </w:p>
    <w:p>
      <w:pPr>
        <w:jc w:val="both"/>
        <w:spacing w:after="0" w:line="266" w:lineRule="auto"/>
        <w:rPr>
          <w:sz w:val="20"/>
          <w:szCs w:val="20"/>
          <w:color w:val="auto"/>
        </w:rPr>
      </w:pPr>
      <w:r>
        <w:rPr>
          <w:rFonts w:ascii="Arial" w:cs="Arial" w:eastAsia="Arial" w:hAnsi="Arial"/>
          <w:sz w:val="18"/>
          <w:szCs w:val="18"/>
          <w:color w:val="auto"/>
        </w:rPr>
        <w:t>multi-service providers to offer P2P messaging via Rich Communications Services (“RCS”). Our Mobile Messaging Platform (“MMP”) is poised to provide a single standard ecosystem for onboarding and management to brands, advertisers and message wholesalers.</w:t>
      </w:r>
    </w:p>
    <w:p>
      <w:pPr>
        <w:spacing w:after="0" w:line="206" w:lineRule="exact"/>
        <w:rPr>
          <w:sz w:val="20"/>
          <w:szCs w:val="20"/>
          <w:color w:val="auto"/>
        </w:rPr>
      </w:pPr>
    </w:p>
    <w:p>
      <w:pPr>
        <w:jc w:val="both"/>
        <w:ind w:left="640" w:hanging="315"/>
        <w:spacing w:after="0" w:line="290"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Advanced Messaging: </w:t>
      </w:r>
      <w:r>
        <w:rPr>
          <w:rFonts w:ascii="Arial" w:cs="Arial" w:eastAsia="Arial" w:hAnsi="Arial"/>
          <w:sz w:val="16"/>
          <w:szCs w:val="16"/>
          <w:color w:val="auto"/>
        </w:rPr>
        <w:t>Our Advanced Messaging platform supports rich messaging channel in both RCS and other Real-Time Communication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(“RTC”) and enables rich, P2P communications and creates new commerce and revenue opportunities across channels via A2P experiences for our customers and other brands. Our messaging platform operates in tandem with Messaging-as-a-Platform (“MaaP”) Messaging Marketplace as well as dedicated, third-party clients and native original equipment manufacturer (“OEM”) clients, providing an end-to-end messaging platform and monetization tools to the operators, Communications Platform as a Service (“CpaaS”) players and brands.</w:t>
      </w:r>
    </w:p>
    <w:p>
      <w:pPr>
        <w:spacing w:after="0" w:line="191" w:lineRule="exact"/>
        <w:rPr>
          <w:rFonts w:ascii="Arial" w:cs="Arial" w:eastAsia="Arial" w:hAnsi="Arial"/>
          <w:sz w:val="16"/>
          <w:szCs w:val="16"/>
          <w:color w:val="auto"/>
        </w:rPr>
      </w:pPr>
    </w:p>
    <w:p>
      <w:pPr>
        <w:jc w:val="both"/>
        <w:ind w:left="640" w:hanging="315"/>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E-Mail: </w:t>
      </w:r>
      <w:r>
        <w:rPr>
          <w:rFonts w:ascii="Arial" w:cs="Arial" w:eastAsia="Arial" w:hAnsi="Arial"/>
          <w:sz w:val="18"/>
          <w:szCs w:val="18"/>
          <w:color w:val="auto"/>
        </w:rPr>
        <w:t>Our Email suite provides service providers with a secure, white-label, back-end framework for a branded email service that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introduce and promote services that can be monetized. Our carrier branded Email Suite solution offers leading anti-virus and anti-spam and malware technology to keep the integrity and security of the customer experience and protection of subscriber data to carrier standards. Our Email solution is an important repository for critical communications with an intuitive and feature-rich mobile and desktop email experience ensuring stickiness and increasing customer lifetime value.</w:t>
      </w:r>
    </w:p>
    <w:p>
      <w:pPr>
        <w:spacing w:after="0" w:line="215"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b w:val="1"/>
          <w:bCs w:val="1"/>
          <w:i w:val="1"/>
          <w:iCs w:val="1"/>
          <w:color w:val="auto"/>
        </w:rPr>
        <w:t xml:space="preserve">OnboardX </w:t>
      </w:r>
      <w:r>
        <w:rPr>
          <w:rFonts w:ascii="Arial" w:cs="Arial" w:eastAsia="Arial" w:hAnsi="Arial"/>
          <w:sz w:val="18"/>
          <w:szCs w:val="18"/>
          <w:b w:val="1"/>
          <w:bCs w:val="1"/>
          <w:color w:val="auto"/>
        </w:rPr>
        <w:t>products simplify subscriber onboarding and drive service adoption at 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impression of a new product or service can either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or break your subscriber relationship. A poor onboarding experience leads to revenue losses and customers feeling stranded. Our customizable service activation, content backup, and device setup experiences make onboarding frictionless.</w:t>
      </w:r>
    </w:p>
    <w:p>
      <w:pPr>
        <w:spacing w:after="0" w:line="207" w:lineRule="exact"/>
        <w:rPr>
          <w:sz w:val="20"/>
          <w:szCs w:val="20"/>
          <w:color w:val="auto"/>
        </w:rPr>
      </w:pPr>
    </w:p>
    <w:p>
      <w:pPr>
        <w:jc w:val="both"/>
        <w:ind w:left="640" w:hanging="315"/>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Mobile Content Transfer</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Synchronoss Mobile Content Transfer™ solution is an easy-to-use product whose client enables a secure, peer-to-peer, wireless transfer of content from one mobile smart device to another in a carrier retail location or at home/work, etc. Our solution can transfer select data classes that may include photos, videos, music, messages, documents, contacts, and call logs, across operating systems including iOS and Android.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40" w:hanging="315"/>
        <w:spacing w:after="0" w:line="275"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Backup &amp; Transfer</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Synchronoss Backup &amp; Transfer™ solution is a variation of Synchronoss Mobile Content Transfer™ that offers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peer-to-peer transfer of select data classes across smart mobile devices and major operating systems and also offers the ability to send supported data classes that may include photos, videos, music, messages, documents, contacts and call logs up to the cloud for temporary storage and then restore the content back into the new device or to a new device with the same client.</w:t>
      </w:r>
    </w:p>
    <w:p>
      <w:pPr>
        <w:spacing w:after="0" w:line="194" w:lineRule="exact"/>
        <w:rPr>
          <w:rFonts w:ascii="Arial" w:cs="Arial" w:eastAsia="Arial" w:hAnsi="Arial"/>
          <w:sz w:val="17"/>
          <w:szCs w:val="17"/>
          <w:color w:val="auto"/>
        </w:rPr>
      </w:pPr>
    </w:p>
    <w:p>
      <w:pPr>
        <w:jc w:val="both"/>
        <w:ind w:left="640" w:hanging="315"/>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Out of Box Experience: </w:t>
      </w:r>
      <w:r>
        <w:rPr>
          <w:rFonts w:ascii="Arial" w:cs="Arial" w:eastAsia="Arial" w:hAnsi="Arial"/>
          <w:sz w:val="18"/>
          <w:szCs w:val="18"/>
          <w:color w:val="auto"/>
        </w:rPr>
        <w:t>Our Synchronoss Out of Box Experience solution is a device setup solution that assists customers in setting up the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new device, including Wi-Fi, email, social network accounts and voicemail, as well as prompting restoration of content and enrollment in a cloud service. It also offers the ability to highlight programs and revenue generating initiatives during the setup process, such as loyalty programs, third-party partnerships and value-added services.</w:t>
      </w:r>
    </w:p>
    <w:p>
      <w:pPr>
        <w:spacing w:after="0" w:line="210" w:lineRule="exact"/>
        <w:rPr>
          <w:rFonts w:ascii="Arial" w:cs="Arial" w:eastAsia="Arial" w:hAnsi="Arial"/>
          <w:sz w:val="18"/>
          <w:szCs w:val="18"/>
          <w:color w:val="auto"/>
        </w:rPr>
      </w:pPr>
    </w:p>
    <w:p>
      <w:pPr>
        <w:jc w:val="both"/>
        <w:ind w:left="640" w:hanging="315"/>
        <w:spacing w:after="0" w:line="284"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Digital Experience Platform (DXP) </w:t>
      </w:r>
      <w:r>
        <w:rPr>
          <w:rFonts w:ascii="Arial" w:cs="Arial" w:eastAsia="Arial" w:hAnsi="Arial"/>
          <w:sz w:val="16"/>
          <w:szCs w:val="16"/>
          <w:color w:val="auto"/>
        </w:rPr>
        <w:t>The Synchronoss DXP is a suite of technology, tools and solutions that includes digital experience creation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automated provisioning, artificial intelligence and financial analytics that service a broad swatch of our target markets. By equipping our customers with a toolkit of capabilities, they can design, deploy and manage end user customer journeys and workflows easily and quickly from one central platform that also integrates across front end customer engagement channels as well as enterprise business systems (e.g. CRM, POS) allowing non-citizen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 Our Digital Activation Module is powered by DXP and allows Operators and indirect mobility resellers to activate mobility plans with carriers without large, dedicated teams and affords flexibility at a fraction of the cost and time to go to market.</w:t>
      </w:r>
    </w:p>
    <w:p>
      <w:pPr>
        <w:spacing w:after="0" w:line="20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NetworkX </w:t>
      </w:r>
      <w:r>
        <w:rPr>
          <w:rFonts w:ascii="Arial" w:cs="Arial" w:eastAsia="Arial" w:hAnsi="Arial"/>
          <w:sz w:val="18"/>
          <w:szCs w:val="18"/>
          <w:color w:val="auto"/>
        </w:rPr>
        <w:t>products streamline networks to be more efficient and profitable. In a world where subscribers expect seamless connectivity and zero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interruptions, delivering superior network quality can be complex and costly. Our physical network asset management, off-network procurement, and expense control solutions reduce the complexity and cost of network management.</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 Network Management</w:t>
      </w:r>
    </w:p>
    <w:p>
      <w:pPr>
        <w:spacing w:after="0" w:line="238"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Synchronoss Total Network Management products provide operators with the tools and software to design their physical network, streamline their infrastructure purchases, and manage and optimize comprehensive network expense for leading top tier carriers around the globe.</w:t>
      </w:r>
    </w:p>
    <w:p>
      <w:pPr>
        <w:jc w:val="both"/>
        <w:ind w:left="640" w:hanging="315"/>
        <w:spacing w:after="0" w:line="289"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spatialSUITE: </w:t>
      </w:r>
      <w:r>
        <w:rPr>
          <w:rFonts w:ascii="Arial" w:cs="Arial" w:eastAsia="Arial" w:hAnsi="Arial"/>
          <w:sz w:val="16"/>
          <w:szCs w:val="16"/>
          <w:color w:val="auto"/>
        </w:rPr>
        <w:t>Our spatialSUITE provides enterprise-wide access to timely, accurate, and comprehensive network information – including physical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 specifications, attributes, connectivity and capacity – for every inside-plant and outside-plant asset. It delivers data across the enterprise to support provisioning, planning and design, construction, fault and event management, work order management, customer service, marketing and</w:t>
      </w:r>
    </w:p>
    <w:p>
      <w:pPr>
        <w:spacing w:after="0" w:line="2" w:lineRule="exact"/>
        <w:rPr>
          <w:rFonts w:ascii="Arial" w:cs="Arial" w:eastAsia="Arial" w:hAnsi="Arial"/>
          <w:sz w:val="16"/>
          <w:szCs w:val="16"/>
          <w:color w:val="auto"/>
        </w:rPr>
      </w:pPr>
    </w:p>
    <w:p>
      <w:pPr>
        <w:ind w:left="640"/>
        <w:spacing w:after="0" w:line="266" w:lineRule="auto"/>
        <w:rPr>
          <w:rFonts w:ascii="Arial" w:cs="Arial" w:eastAsia="Arial" w:hAnsi="Arial"/>
          <w:sz w:val="16"/>
          <w:szCs w:val="16"/>
          <w:color w:val="auto"/>
        </w:rPr>
      </w:pPr>
      <w:r>
        <w:rPr>
          <w:rFonts w:ascii="Arial" w:cs="Arial" w:eastAsia="Arial" w:hAnsi="Arial"/>
          <w:sz w:val="18"/>
          <w:szCs w:val="18"/>
          <w:color w:val="auto"/>
        </w:rPr>
        <w:t>other critical business functions. The automation and ease of integration of our platform is designed to enable our customers to lower the cost of new subscriber acquisitions and enhance the accuracy and reliability of customer transactions.</w:t>
      </w:r>
    </w:p>
    <w:p>
      <w:pPr>
        <w:spacing w:after="0" w:line="205" w:lineRule="exact"/>
        <w:rPr>
          <w:rFonts w:ascii="Arial" w:cs="Arial" w:eastAsia="Arial" w:hAnsi="Arial"/>
          <w:sz w:val="16"/>
          <w:szCs w:val="16"/>
          <w:color w:val="auto"/>
        </w:rPr>
      </w:pPr>
    </w:p>
    <w:p>
      <w:pPr>
        <w:jc w:val="both"/>
        <w:ind w:left="640" w:hanging="315"/>
        <w:spacing w:after="0" w:line="312"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Interconnect NOW (iNOW): </w:t>
      </w:r>
      <w:r>
        <w:rPr>
          <w:rFonts w:ascii="Arial" w:cs="Arial" w:eastAsia="Arial" w:hAnsi="Arial"/>
          <w:sz w:val="16"/>
          <w:szCs w:val="16"/>
          <w:color w:val="auto"/>
        </w:rPr>
        <w:t>Our iNOW provisioning system eliminates manual handling of service orders and manages the full order lifecycle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customer and supplier via automation and rules-based validation. iNOW includes an interface that powers bulk provisioning needs and an open API to seamlessly integrate to other carrier systems. iNOW also provides an electronically bonded gateway platform enabling rapid electronic</w:t>
      </w:r>
    </w:p>
    <w:p>
      <w:pPr>
        <w:ind w:left="640"/>
        <w:spacing w:after="0" w:line="266" w:lineRule="auto"/>
        <w:rPr>
          <w:rFonts w:ascii="Arial" w:cs="Arial" w:eastAsia="Arial" w:hAnsi="Arial"/>
          <w:sz w:val="16"/>
          <w:szCs w:val="16"/>
          <w:color w:val="auto"/>
        </w:rPr>
      </w:pPr>
      <w:r>
        <w:rPr>
          <w:rFonts w:ascii="Arial" w:cs="Arial" w:eastAsia="Arial" w:hAnsi="Arial"/>
          <w:sz w:val="18"/>
          <w:szCs w:val="18"/>
          <w:color w:val="auto"/>
        </w:rPr>
        <w:t>order confirmations and status updates between bonded carriers. Finally, completed order information flows to Financial Analytics providing integrated and automated order to billing reconciliation functionality.</w:t>
      </w:r>
    </w:p>
    <w:p>
      <w:pPr>
        <w:spacing w:after="0" w:line="205" w:lineRule="exact"/>
        <w:rPr>
          <w:rFonts w:ascii="Arial" w:cs="Arial" w:eastAsia="Arial" w:hAnsi="Arial"/>
          <w:sz w:val="16"/>
          <w:szCs w:val="16"/>
          <w:color w:val="auto"/>
        </w:rPr>
      </w:pPr>
    </w:p>
    <w:p>
      <w:pPr>
        <w:jc w:val="both"/>
        <w:ind w:left="640" w:hanging="315"/>
        <w:spacing w:after="0" w:line="329"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Analytics: </w:t>
      </w:r>
      <w:r>
        <w:rPr>
          <w:rFonts w:ascii="Arial" w:cs="Arial" w:eastAsia="Arial" w:hAnsi="Arial"/>
          <w:sz w:val="16"/>
          <w:szCs w:val="16"/>
          <w:color w:val="auto"/>
        </w:rPr>
        <w:t>Our Financial Analytics Platform is a comprehensive application suite that helps operators reduce costs, mitigate risks, enforce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compliance and controls, and increase operational efficiencies. Financial Analytics ingests any supplier invoice (in any format) through a</w:t>
      </w:r>
    </w:p>
    <w:p>
      <w:pPr>
        <w:jc w:val="both"/>
        <w:ind w:left="640"/>
        <w:spacing w:after="0" w:line="256" w:lineRule="auto"/>
        <w:rPr>
          <w:rFonts w:ascii="Arial" w:cs="Arial" w:eastAsia="Arial" w:hAnsi="Arial"/>
          <w:sz w:val="16"/>
          <w:szCs w:val="16"/>
          <w:color w:val="auto"/>
        </w:rPr>
      </w:pPr>
      <w:r>
        <w:rPr>
          <w:rFonts w:ascii="Arial" w:cs="Arial" w:eastAsia="Arial" w:hAnsi="Arial"/>
          <w:sz w:val="18"/>
          <w:szCs w:val="18"/>
          <w:color w:val="auto"/>
        </w:rPr>
        <w:t>unique software-driven process – with 100% of the detail. Invoices are managed via automated audit and payment workflow tightly coupled with a software driven dispute management lifecycle, providing a true procurement-to-payment process on network expenses and disputes across a carrier’s organization.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Deliver - Our Services</w:t>
      </w:r>
    </w:p>
    <w:p>
      <w:pPr>
        <w:spacing w:after="0" w:line="251"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Synchronoss offers professional services including consulting, installation and deployment, configuration, customization, systems integration and support to ensure our customers’ successful deployment and utilization of our products and solutions.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Product Development</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At Synchronoss we have focused our product development efforts on expanding the functionality, scalability and security of our products and solutions. We expect our research and development investments to increase as we intend to continue on an aggressive path to develop new features and functionality, upgrade and extend our product offerings and develop new technology.</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Intellectual Property</w:t>
      </w:r>
    </w:p>
    <w:p>
      <w:pPr>
        <w:spacing w:after="0" w:line="25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We rely principally on a combination of trademark, copyright and patent laws in the United States and other jurisdictions in which we do business, as well as confidentiality procedures and contractual provisions, which protect our proprietary information, technologies and strategies. We also cultivate a culture which encourages creativity and innovation amongst our employees by maintaining a patent award program, hosting events such as an annual Innovation Jam and periodic “hackathons.” We believe this facilitates the development of new features and functionality and products, which are essential to establishing our solutions as the leading solutions in the industry. We enter into proprietary information and invention agreements with all of our employees and consultants during the onboarding process and non-disclosure agreements with all third parties.</w:t>
      </w:r>
    </w:p>
    <w:p>
      <w:pPr>
        <w:spacing w:after="0" w:line="20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In the United States, as of December 31, 2021 we had 90 patents issued and 11 patents pending. Internationally, as of December 31, 2021 we had 80 patents issued and 4 pending. We hold and/or are pursuing patents in the United States, Germany, the United Kingdom, France and Spain and we may seek additional jurisdictions to the extent we determine such coverage is appropriate and cost efficient. Our issued patents cover all aspects of our business including cloud, activation, messaging, DXP, ecommerce, and security.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for Our Business</w:t>
      </w:r>
    </w:p>
    <w:p>
      <w:pPr>
        <w:spacing w:after="0" w:line="23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In 2022 and beyond, the potential for 5G will require service providers to foster innovation and collaboration to extend the 5G benefits to the consumer. Service providers have an opportunity to capture a sizable share of consumer revenues transactions that will occur over 5G networks. According to Ericsson, 5G technology underpins nearly $31 trillion in cumulative consumer revenues flowing to the Information and Communications Technologies (ICT) industry by 2030. Ericsson also forecasts that there will be 1.9 billion 5G cellular subscriptions by 2024, and with the expansion of networks and connectivity, consumer value-added services (VAS) and network and expense management solutions will gain even further traction.</w:t>
      </w:r>
    </w:p>
    <w:p>
      <w:pPr>
        <w:spacing w:after="0" w:line="208"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During the 3G/4G era, the primary use cases were quickly established, and service providers left the door open for over-the-top (OTT) providers to capture a large share of the consumer spend. Today, 5G use cases are still being explored and trialed. It’s critical for service providers to play a more assertive role in the digital services value chain through innovation and strategic partnerships. According to Market Research Future, Mobile Value-Added-Services are set to hit $309.1 billion by 2025. The transition to 5G provides an opportunity to strengthen their position in the consumer market and function as a service enabler by bundling VAS into premium offers. Service providers should also become service creators by developing new, immersive products under their own brand. In either case (branded and partner services) powering digital bundles and simplifying onboarding, consumption, billing, and authentication of VAS will drive higher adoption of premium 5G service plans and ARPU.</w:t>
      </w:r>
    </w:p>
    <w:p>
      <w:pPr>
        <w:spacing w:after="0" w:line="206"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5G will also usher in many more connected device types. In fact, according to the “Deloitte 2021 Connectivity and Mobile Trends Survey”, the average US household has 25 connected devices across 14 categories, up from 11 categories when last measured in 2019. In addition, the number of connected devices globally is estimated to reach 38.6 billion in 2025, up from 22 billion in 2018. More devices will lead to more vulnerabilities around privacy, data, and hardware protection. Consumers have made it clear; they want to understand and feel confident about how their data is being used. Service providers have proven themselves true stewards of consumer data protection and privacy, and therefore differentiated as the market continues to develop. As the provider of both the mobile network and fixed wireless connectivity, service providers are uniquely positioned to become the trusted end-to-end solution of total protection services for subscribers both at home and on the go. The consumer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demand around personal cloud data protection, hardware insurance, home and network security will allow service providers to capitalize on their trusted relationship with consumers.</w:t>
      </w:r>
    </w:p>
    <w:p>
      <w:pPr>
        <w:spacing w:after="0" w:line="206"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We believe our white label Personal Cloud platform will help service providers accelerate the adoption of 5G service and total protection plans. The next generation Personal Cloud will give operators a new way to create, deliver, engage, and monetize more personalized experiences and offers for their subscribers. When operators have millions of active users leveraging cloud, it becomes a channel for cross selling security services, insurance, merchandise like prints &amp; gifts, and other carrier services, leading to a significant increase in ARPU. As a result, we’re fostering new partnerships, building exciting new capabilities, and now enabling subscribers to protect the home. Giving subscribers the ability protect hardware investments with insurance plans, their family from cyber threats with network-based security services, and their personal content with cloud will differentiate the value proposition of 5G service plans and deliver significant brand value for our customers.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Competition across our markets is incredibly diverse, dynamic and nuanced in an increasingly interconnected landscape of rapidly changing technologies, evolving industry standards, new product introductions and converging spaces and services.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face the following categories of competitors: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Personal Cloud</w:t>
      </w:r>
    </w:p>
    <w:p>
      <w:pPr>
        <w:spacing w:after="0" w:line="65" w:lineRule="exact"/>
        <w:rPr>
          <w:sz w:val="20"/>
          <w:szCs w:val="20"/>
          <w:color w:val="auto"/>
        </w:rPr>
      </w:pPr>
    </w:p>
    <w:p>
      <w:pPr>
        <w:jc w:val="both"/>
        <w:ind w:left="640" w:hanging="315"/>
        <w:spacing w:after="0" w:line="250"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OTT Service &amp; Platform Providers</w:t>
      </w:r>
      <w:r>
        <w:rPr>
          <w:rFonts w:ascii="Arial" w:cs="Arial" w:eastAsia="Arial" w:hAnsi="Arial"/>
          <w:sz w:val="18"/>
          <w:szCs w:val="18"/>
          <w:color w:val="auto"/>
        </w:rPr>
        <w:t xml:space="preserve"> - Apple, Google, Dropbox, Box, Microsoft and Amazon all provide personal cloud services closely integrated to their respective technology or service platforms; however, Synchronoss differentiates from these OTT Service and Platform Providers by offering operator-grade white label solutions.</w:t>
      </w:r>
    </w:p>
    <w:p>
      <w:pPr>
        <w:spacing w:after="0" w:line="2" w:lineRule="exact"/>
        <w:rPr>
          <w:rFonts w:ascii="Arial" w:cs="Arial" w:eastAsia="Arial" w:hAnsi="Arial"/>
          <w:sz w:val="18"/>
          <w:szCs w:val="18"/>
          <w:color w:val="auto"/>
        </w:rPr>
      </w:pPr>
    </w:p>
    <w:p>
      <w:pPr>
        <w:jc w:val="both"/>
        <w:ind w:left="640" w:hanging="315"/>
        <w:spacing w:after="0" w:line="271"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White Label Platform Providers</w:t>
      </w:r>
      <w:r>
        <w:rPr>
          <w:rFonts w:ascii="Arial" w:cs="Arial" w:eastAsia="Arial" w:hAnsi="Arial"/>
          <w:sz w:val="17"/>
          <w:szCs w:val="17"/>
          <w:color w:val="auto"/>
        </w:rPr>
        <w:t xml:space="preserve"> - The field of platform-independent, white label personal cloud providers has consolidated in recent years with Funambol and others competing for Operator distribution deals. However, these providers target second and third tier regional operators with low-risk, revenue share business models and do not generally pose a real threat to Tier 1 world-wide Operators.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Messaging</w:t>
      </w:r>
    </w:p>
    <w:p>
      <w:pPr>
        <w:spacing w:after="0" w:line="65" w:lineRule="exact"/>
        <w:rPr>
          <w:sz w:val="20"/>
          <w:szCs w:val="20"/>
          <w:color w:val="auto"/>
        </w:rPr>
      </w:pPr>
    </w:p>
    <w:p>
      <w:pPr>
        <w:jc w:val="both"/>
        <w:ind w:left="640" w:hanging="315"/>
        <w:spacing w:after="0" w:line="25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emerging RCS marketplace is intensely competitive across the globe. Leading OTT device and OS platform providers led by Google and Samsung, along with prominent online platform providers such as Facebook, WhatsApp, Instagram, WeChat and LINE have created a radically new market for communication and monetization that is turning “messaging” into a new, virtual OS.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Digital Products</w:t>
      </w:r>
    </w:p>
    <w:p>
      <w:pPr>
        <w:spacing w:after="0" w:line="65" w:lineRule="exact"/>
        <w:rPr>
          <w:sz w:val="20"/>
          <w:szCs w:val="20"/>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System Integrators</w:t>
      </w:r>
      <w:r>
        <w:rPr>
          <w:rFonts w:ascii="Arial" w:cs="Arial" w:eastAsia="Arial" w:hAnsi="Arial"/>
          <w:sz w:val="18"/>
          <w:szCs w:val="18"/>
          <w:color w:val="auto"/>
        </w:rPr>
        <w:t xml:space="preserve"> –</w:t>
      </w:r>
    </w:p>
    <w:p>
      <w:pPr>
        <w:spacing w:after="0" w:line="16" w:lineRule="exact"/>
        <w:rPr>
          <w:rFonts w:ascii="Arial" w:cs="Arial" w:eastAsia="Arial" w:hAnsi="Arial"/>
          <w:sz w:val="18"/>
          <w:szCs w:val="18"/>
          <w:color w:val="auto"/>
        </w:rPr>
      </w:pPr>
    </w:p>
    <w:p>
      <w:pPr>
        <w:jc w:val="both"/>
        <w:ind w:left="1280" w:hanging="316"/>
        <w:spacing w:after="0" w:line="261" w:lineRule="auto"/>
        <w:tabs>
          <w:tab w:leader="none" w:pos="1276" w:val="left"/>
        </w:tabs>
        <w:numPr>
          <w:ilvl w:val="1"/>
          <w:numId w:val="11"/>
        </w:numPr>
        <w:rPr>
          <w:rFonts w:ascii="Arial" w:cs="Arial" w:eastAsia="Arial" w:hAnsi="Arial"/>
          <w:sz w:val="17"/>
          <w:szCs w:val="17"/>
          <w:color w:val="auto"/>
        </w:rPr>
      </w:pPr>
      <w:r>
        <w:rPr>
          <w:rFonts w:ascii="Arial" w:cs="Arial" w:eastAsia="Arial" w:hAnsi="Arial"/>
          <w:sz w:val="17"/>
          <w:szCs w:val="17"/>
          <w:color w:val="auto"/>
        </w:rPr>
        <w:t>Accenture and Amdocs engage telecommunication customers in long term contracts for services focused on digital transformation. These two organizations have large consulting teams and various digital products focused on the Communication Service Provider (CSP) vertical, and each of these products typically has a service integration contract attached.</w:t>
      </w: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Customer Relationship Management (CRM) and Business Process Management (BPM) Providers</w:t>
      </w:r>
      <w:r>
        <w:rPr>
          <w:rFonts w:ascii="Arial" w:cs="Arial" w:eastAsia="Arial" w:hAnsi="Arial"/>
          <w:sz w:val="18"/>
          <w:szCs w:val="18"/>
          <w:color w:val="auto"/>
        </w:rPr>
        <w:t xml:space="preserve"> –</w:t>
      </w:r>
    </w:p>
    <w:p>
      <w:pPr>
        <w:spacing w:after="0" w:line="5" w:lineRule="exact"/>
        <w:rPr>
          <w:rFonts w:ascii="Arial" w:cs="Arial" w:eastAsia="Arial" w:hAnsi="Arial"/>
          <w:sz w:val="18"/>
          <w:szCs w:val="18"/>
          <w:color w:val="auto"/>
        </w:rPr>
      </w:pPr>
    </w:p>
    <w:p>
      <w:pPr>
        <w:ind w:left="1280" w:hanging="316"/>
        <w:spacing w:after="0" w:line="216" w:lineRule="auto"/>
        <w:tabs>
          <w:tab w:leader="none" w:pos="1276" w:val="left"/>
        </w:tabs>
        <w:numPr>
          <w:ilvl w:val="1"/>
          <w:numId w:val="11"/>
        </w:numPr>
        <w:rPr>
          <w:rFonts w:ascii="Arial" w:cs="Arial" w:eastAsia="Arial" w:hAnsi="Arial"/>
          <w:sz w:val="18"/>
          <w:szCs w:val="18"/>
          <w:color w:val="auto"/>
        </w:rPr>
      </w:pPr>
      <w:r>
        <w:rPr>
          <w:rFonts w:ascii="Arial" w:cs="Arial" w:eastAsia="Arial" w:hAnsi="Arial"/>
          <w:sz w:val="18"/>
          <w:szCs w:val="18"/>
          <w:color w:val="auto"/>
        </w:rPr>
        <w:t>Salesforce / Vlocity have created a CRM platform and marketplace that offers digital workflow management add-ons, both direct and via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apps.</w:t>
      </w:r>
    </w:p>
    <w:p>
      <w:pPr>
        <w:spacing w:after="0" w:line="1" w:lineRule="exact"/>
        <w:rPr>
          <w:rFonts w:ascii="Arial" w:cs="Arial" w:eastAsia="Arial" w:hAnsi="Arial"/>
          <w:sz w:val="18"/>
          <w:szCs w:val="18"/>
          <w:color w:val="auto"/>
        </w:rPr>
      </w:pPr>
    </w:p>
    <w:p>
      <w:pPr>
        <w:ind w:left="1280" w:hanging="316"/>
        <w:spacing w:after="0" w:line="246" w:lineRule="auto"/>
        <w:tabs>
          <w:tab w:leader="none" w:pos="13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Pega Systems is built on a work-flow management engine, and they surround their core product with customer experience apps and capabilities, albeit in a more closed ecosystem.</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Telecom Expense Management (TEM) Providers</w:t>
      </w:r>
      <w:r>
        <w:rPr>
          <w:rFonts w:ascii="Arial" w:cs="Arial" w:eastAsia="Arial" w:hAnsi="Arial"/>
          <w:sz w:val="18"/>
          <w:szCs w:val="18"/>
          <w:color w:val="auto"/>
        </w:rPr>
        <w:t xml:space="preserve"> –</w:t>
      </w:r>
    </w:p>
    <w:p>
      <w:pPr>
        <w:spacing w:after="0" w:line="5" w:lineRule="exact"/>
        <w:rPr>
          <w:rFonts w:ascii="Arial" w:cs="Arial" w:eastAsia="Arial" w:hAnsi="Arial"/>
          <w:sz w:val="18"/>
          <w:szCs w:val="18"/>
          <w:color w:val="auto"/>
        </w:rPr>
      </w:pPr>
    </w:p>
    <w:p>
      <w:pPr>
        <w:jc w:val="both"/>
        <w:ind w:left="1280" w:hanging="316"/>
        <w:spacing w:after="0" w:line="246" w:lineRule="auto"/>
        <w:tabs>
          <w:tab w:leader="none" w:pos="127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TEOCO and Tangoe are two major providers that offer wholesale and retail TEM software and services. Each of these vendors have large customers/contracts to better account, reconcile and pay out on vendor contracts, network circuits, roaming agreements and other complex expense areas.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Telecom Service Order Management Providers</w:t>
      </w:r>
      <w:r>
        <w:rPr>
          <w:rFonts w:ascii="Arial" w:cs="Arial" w:eastAsia="Arial" w:hAnsi="Arial"/>
          <w:sz w:val="18"/>
          <w:szCs w:val="18"/>
          <w:color w:val="auto"/>
        </w:rPr>
        <w:t xml:space="preserve"> –</w:t>
      </w:r>
    </w:p>
    <w:p>
      <w:pPr>
        <w:spacing w:after="0" w:line="5" w:lineRule="exact"/>
        <w:rPr>
          <w:rFonts w:ascii="Arial" w:cs="Arial" w:eastAsia="Arial" w:hAnsi="Arial"/>
          <w:sz w:val="18"/>
          <w:szCs w:val="18"/>
          <w:color w:val="auto"/>
        </w:rPr>
      </w:pPr>
    </w:p>
    <w:p>
      <w:pPr>
        <w:ind w:left="1280" w:hanging="316"/>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Neustar supports major providers with software that handles the full order lifecycle of telecommunications service orders.</w:t>
      </w:r>
    </w:p>
    <w:p>
      <w:pPr>
        <w:spacing w:after="0" w:line="5" w:lineRule="exact"/>
        <w:rPr>
          <w:rFonts w:ascii="Arial" w:cs="Arial" w:eastAsia="Arial" w:hAnsi="Arial"/>
          <w:sz w:val="18"/>
          <w:szCs w:val="18"/>
          <w:color w:val="auto"/>
        </w:rPr>
      </w:pPr>
    </w:p>
    <w:p>
      <w:pPr>
        <w:ind w:left="1280" w:hanging="316"/>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Order management applications and processes developed/utilized by Operators also present competition.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Geospatial Network Planning Providers</w:t>
      </w:r>
      <w:r>
        <w:rPr>
          <w:rFonts w:ascii="Arial" w:cs="Arial" w:eastAsia="Arial" w:hAnsi="Arial"/>
          <w:sz w:val="18"/>
          <w:szCs w:val="18"/>
          <w:color w:val="auto"/>
        </w:rPr>
        <w:t xml:space="preserve"> –</w:t>
      </w:r>
    </w:p>
    <w:p>
      <w:pPr>
        <w:spacing w:after="0" w:line="5" w:lineRule="exact"/>
        <w:rPr>
          <w:rFonts w:ascii="Arial" w:cs="Arial" w:eastAsia="Arial" w:hAnsi="Arial"/>
          <w:sz w:val="18"/>
          <w:szCs w:val="18"/>
          <w:color w:val="auto"/>
        </w:rPr>
      </w:pPr>
    </w:p>
    <w:p>
      <w:pPr>
        <w:ind w:left="1280" w:hanging="316"/>
        <w:spacing w:after="0" w:line="253"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Major providers of software that manage the planning and design of physical communication networks include Bentley, GE Smallworld, and 3-GIS.</w:t>
      </w:r>
    </w:p>
    <w:p>
      <w:pPr>
        <w:spacing w:after="0" w:line="21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To compete against global platform providers, we offer a collection of products that help keep subscribers, systems, networks, and content in sync to enable a better, more engaging experience. Our white label products enable subscribers to connect with one another, the networks they rely on, the brands they love and the services they need. We believe we compete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favorably through our differentiated product capabilities, vast reach across global markets, and our 20+ years of experience building carrier grade solutions that are proven to scale.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and Certifications</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We obtain third-party reviews of our controls relating to security. Our Synchronoss white label Personal Cloud™ has been certified to be compliant with the Service Organization Controls (SOC) 2 type II audit that tests the design and operating effectiveness of controls over time. An independent auditor tests these controls annually and addresses, among other areas, the environmental and physical safeguards for production data centers, legal controls, change management and logical security. In addition, our Financial Analytics hosted solution is certified to be compliant with a SOC 1 type II audit that tests the design and effectiveness of controls related to our customers’ use of this service in financial reporting.</w:t>
      </w:r>
    </w:p>
    <w:p>
      <w:pPr>
        <w:spacing w:after="0" w:line="194" w:lineRule="exact"/>
        <w:rPr>
          <w:sz w:val="20"/>
          <w:szCs w:val="20"/>
          <w:color w:val="auto"/>
        </w:rPr>
      </w:pPr>
    </w:p>
    <w:p>
      <w:pPr>
        <w:jc w:val="both"/>
        <w:ind w:firstLine="319"/>
        <w:spacing w:after="0" w:line="226" w:lineRule="auto"/>
        <w:rPr>
          <w:sz w:val="20"/>
          <w:szCs w:val="20"/>
          <w:color w:val="auto"/>
        </w:rPr>
      </w:pPr>
      <w:r>
        <w:rPr>
          <w:rFonts w:ascii="Arial" w:cs="Arial" w:eastAsia="Arial" w:hAnsi="Arial"/>
          <w:sz w:val="18"/>
          <w:szCs w:val="18"/>
          <w:color w:val="auto"/>
        </w:rPr>
        <w:t>Additionally, we complete an independent assessment ensuring compliance with the Payment Card Industry Data Security Standards (PCI-DSS) for our DXP and activation products. The PCI-DSS standards focus on application and network security relating to the storage of credit card data on behalf of our customers. Finally, our operations in Bangalore are certified under ISO27000, ensuring best practices for information security management, and ISO9000, ensuring quality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At Synchronoss, we believe that our growth and success are attributable in large part to our diverse employee base and an experienced management team, with a mission to make Synchronoss a great place to work. We continue to invest in our employees, as well as developing and promoting our team-oriented culture, and believe that these efforts provide us with a sustainable competitive advantage.</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December 31, 2021 we had 1,536 full-time employees located in India, North America, Europe, and Asia Pacific regions. None of our employees are covered by any collective bargaining agreements.</w:t>
      </w:r>
    </w:p>
    <w:p>
      <w:pPr>
        <w:spacing w:after="0" w:line="193" w:lineRule="exact"/>
        <w:rPr>
          <w:sz w:val="20"/>
          <w:szCs w:val="20"/>
          <w:color w:val="auto"/>
        </w:rPr>
      </w:pPr>
    </w:p>
    <w:p>
      <w:pPr>
        <w:jc w:val="both"/>
        <w:ind w:firstLine="319"/>
        <w:spacing w:after="0" w:line="226" w:lineRule="auto"/>
        <w:rPr>
          <w:sz w:val="20"/>
          <w:szCs w:val="20"/>
          <w:color w:val="auto"/>
        </w:rPr>
      </w:pPr>
      <w:r>
        <w:rPr>
          <w:rFonts w:ascii="Arial" w:cs="Arial" w:eastAsia="Arial" w:hAnsi="Arial"/>
          <w:sz w:val="18"/>
          <w:szCs w:val="18"/>
          <w:color w:val="auto"/>
        </w:rPr>
        <w:t>We have a purpose-driven culture, with a focus on employee input and well-being, which we believe enables us to attract and retain exceptional talent. We have moved to a flexible work policy, providing the majority of our employees the flexibility to work remotely from off-site locations at their election. We offer learning and development programs for all employees. Employees are able to actively voice their questions and thoughts through many internal channels, including our company town hall meetings and employee engagement surveys.</w:t>
      </w:r>
    </w:p>
    <w:p>
      <w:pPr>
        <w:spacing w:after="0" w:line="2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With a continued focus on employee engagement, we formed a global Diversity, Equity, and Inclusion (DE&amp;I) committee, laying the groundwork to embed DE&amp;I as part of our corporate culture and pave the way for a more comprehensive program. We took initial steps in this space through formal trainings, employee communications, and updating our technology terminology to ensure that the language we use is inclusive, aligned with industry best practices, and compatible with our DE&amp;I philosophy. More recently, we launched a series of employee initiatives, SyncSmiles, SyncCheers, and Coffee Talks, designed to strengthen employee morale, with more to come in this area.</w:t>
      </w:r>
    </w:p>
    <w:p>
      <w:pPr>
        <w:spacing w:after="0" w:line="22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From a total rewards perspective, Synchronoss offers a competitive compensation and benefits package, which we review and update each year. Our annual compensation planning coincides with our feedback cycle where employees and managers have performance conversations to facilitate learning and career development. As part of our compensation review program, we conduct pay equity analyses annually.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32"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8"/>
          <w:szCs w:val="18"/>
          <w:color w:val="auto"/>
        </w:rPr>
        <w:t>We were incorporated in Delaware in 2000. Our principal offices are located at 200 Crossing Boulevard Bridgewater NJ. We completed our initial public offering in 2006, and our common stock is listed on the NASDAQ Global Select Market under the symbol “SNCR” and our Senior Notes as listed on the NASDAQ Global Select Market under the symbol “SNCRL.”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u w:val="single" w:color="auto"/>
          <w:color w:val="3051F2"/>
        </w:rPr>
        <w:t>www.synchronoss.com</w:t>
      </w:r>
      <w:r>
        <w:rPr>
          <w:rFonts w:ascii="Arial" w:cs="Arial" w:eastAsia="Arial" w:hAnsi="Arial"/>
          <w:sz w:val="17"/>
          <w:szCs w:val="17"/>
          <w:color w:val="auto"/>
        </w:rPr>
        <w:t xml:space="preserve"> and our investor relations website is located at </w:t>
      </w:r>
      <w:r>
        <w:rPr>
          <w:rFonts w:ascii="Arial" w:cs="Arial" w:eastAsia="Arial" w:hAnsi="Arial"/>
          <w:sz w:val="17"/>
          <w:szCs w:val="17"/>
          <w:u w:val="single" w:color="auto"/>
          <w:color w:val="3051F2"/>
        </w:rPr>
        <w:t>www.synchronosstechnologiesinc.gcs-web.com</w:t>
      </w:r>
      <w:r>
        <w:rPr>
          <w:rFonts w:ascii="Arial" w:cs="Arial" w:eastAsia="Arial" w:hAnsi="Arial"/>
          <w:sz w:val="17"/>
          <w:szCs w:val="17"/>
          <w:color w:val="auto"/>
          <w:highlight w:val="white"/>
        </w:rPr>
        <w:t>.</w:t>
      </w:r>
      <w:r>
        <w:rPr>
          <w:rFonts w:ascii="Arial" w:cs="Arial" w:eastAsia="Arial" w:hAnsi="Arial"/>
          <w:sz w:val="17"/>
          <w:szCs w:val="17"/>
          <w:color w:val="auto"/>
        </w:rPr>
        <w:t xml:space="preserve"> We have used, and intend to continue to use, our investor relations website as a means of disclosing material non-public information and for complying with our disclosure obligations under Regulation FD. The following filings are available through our investor relations website after we file them with the Securities and Exchange Commission ("SEC"): Annual Report on Form 10-K, Quarterly Reports on Form 10-Q, current reports on Form 8-K, and our Proxy Statement for our annual meeting of stockholders. These filings are also available for download free of charge on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investor relations website. The SEC also maintains an Internet website that contains reports, proxy statements and other information about issuers, like us, that file electronically with the SEC. The address of that website is </w:t>
      </w:r>
      <w:r>
        <w:rPr>
          <w:rFonts w:ascii="Arial" w:cs="Arial" w:eastAsia="Arial" w:hAnsi="Arial"/>
          <w:sz w:val="17"/>
          <w:szCs w:val="17"/>
          <w:u w:val="single" w:color="auto"/>
          <w:color w:val="3051F2"/>
        </w:rPr>
        <w:t>www.sec.gov</w:t>
      </w:r>
      <w:r>
        <w:rPr>
          <w:rFonts w:ascii="Arial" w:cs="Arial" w:eastAsia="Arial" w:hAnsi="Arial"/>
          <w:sz w:val="17"/>
          <w:szCs w:val="17"/>
          <w:color w:val="auto"/>
        </w:rPr>
        <w:t>. The contents of these websites are not incorporated into this filing. Further, the Company’s references to the URLs for these websites are intended to be inactive textual references only.</w:t>
      </w:r>
    </w:p>
    <w:p>
      <w:pPr>
        <w:spacing w:after="0" w:line="19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Synchronoss and Synchronoss Personal Cloud and other trademarks of Synchronoss appearing in this Form 10-K are the property of Synchronoss. Other trademarks or service marks that may appear in this Annual Report are the property of their respective holders. Solely for convenience, the trademarks and trade names in this Annual Report are referred to without the ®, ™ and SM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i w:val="1"/>
          <w:iCs w:val="1"/>
          <w:color w:val="auto"/>
        </w:rPr>
        <w:t>An investment in our common stock involves a high degree of risk. The following are certain risk factors that could affect our business, financial results and results of operations. You should carefully consider the following risk factors in connection with evaluating the forward-looking statements contained in this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 could be negatively affected. In that case, the trading price of our stock could decline, and our stockholders may lose part or all of their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3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Risks</w:t>
      </w:r>
    </w:p>
    <w:p>
      <w:pPr>
        <w:spacing w:after="0" w:line="232" w:lineRule="exact"/>
        <w:rPr>
          <w:sz w:val="20"/>
          <w:szCs w:val="20"/>
          <w:color w:val="auto"/>
        </w:rPr>
      </w:pPr>
    </w:p>
    <w:p>
      <w:pPr>
        <w:ind w:left="640" w:hanging="315"/>
        <w:spacing w:after="0" w:line="25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may not generate sufficient cash flows from operations or future borrowings may not be available in amounts sufficient to enable us to fund liquidity needs or capital expenditures.</w:t>
      </w:r>
    </w:p>
    <w:p>
      <w:pPr>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 earnings and profitability are affected by the length of our sales cycle, and a longer sales cycle could adversely affect our results of operations and financial condition.</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 due to certain factors make our future results difficult to predict.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meet our revenue forecasts, we may be unable to avoid harm to our results of operations.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number of customers account for a substantial portion of our revenues.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exposed to our customers’ credit risk.</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or economic changes or other factors in a specific country or region could harm our operating results and financial condition.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foreign currency transaction losses.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existing and any new debt could restrict our ability to operate our business.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make investments in new products and services that may not be profitable.</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must recruit and retain our key personnel and our failure to recruit and retain qualified employees.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complex revenue recognition standards.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performance and growth depend on our ability to generate customer referrals and develop customer relationships.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Many of our products are complex and may contain defects that are detected only after deployment.</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the confidentiality, integrity and availability of our systems, software and solutions could seriously damage our reputation and affect our ability to retain customers and attract new business.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in the industries that we serve can reduce the number of actual and potential customers.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Failures or interruptions of our systems and services could materially harm our revenues, impair our ability to conduct our operations and damage relationships with our customers.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meet our service level obligations or otherwise fail to offer quality support and services would subject us to penalties and we could lose customers.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third-party providers exposes us to a variety of risks we cannot control.</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seek to acquire or make investments in companies or technologies which could disrupt our management, dilute our stockholders’ ownership, increase our debt, and adversely affect our business.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political, market conditions and catastrophic events can adversely affect our business.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insurance policies, including general liability, errors and omissions and cyber insurance, may not totally protect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Industry</w:t>
      </w:r>
    </w:p>
    <w:p>
      <w:pPr>
        <w:spacing w:after="0" w:line="232" w:lineRule="exact"/>
        <w:rPr>
          <w:sz w:val="20"/>
          <w:szCs w:val="20"/>
          <w:color w:val="auto"/>
        </w:rPr>
      </w:pPr>
    </w:p>
    <w:p>
      <w:pPr>
        <w:ind w:left="640" w:hanging="315"/>
        <w:spacing w:after="0" w:line="25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and operating difficulties in the telecommunications sector, including those related to the COVID-19 pandemic, may negatively affect our customers and our business.</w:t>
      </w:r>
    </w:p>
    <w:p>
      <w:pPr>
        <w:ind w:left="640" w:hanging="315"/>
        <w:spacing w:after="0" w:line="24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continue to improve our operational, financial and other internal controls and systems to manage our growth, our business could be adversely affected.</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business depends on the continued growth in demand for connected devices and the continued availability of high-speed access to the Internet.</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SaaS pricing model is evolving and our failure to manage its evolution and demand could lead to lower than expected revenue and profit.</w:t>
      </w:r>
    </w:p>
    <w:p>
      <w:pPr>
        <w:spacing w:after="0" w:line="28" w:lineRule="exact"/>
        <w:rPr>
          <w:rFonts w:ascii="Arial" w:cs="Arial" w:eastAsia="Arial" w:hAnsi="Arial"/>
          <w:sz w:val="16"/>
          <w:szCs w:val="16"/>
          <w:color w:val="auto"/>
        </w:rPr>
      </w:pPr>
    </w:p>
    <w:p>
      <w:pPr>
        <w:ind w:left="640" w:hanging="315"/>
        <w:spacing w:after="0" w:line="24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depends on businesses adopting our products and existing customers renewing and expanding their subscriptions for our services and any decline in these would harm our operating results.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(i) compete successfully with existing or new competitors, (ii) adapt to rapid technological change or achieve or (iii) sustain market acceptance of our services and solutions at desired pricing levels, we could lose customers or market share, which could adversely affect our ability to sustain or grow revenue.</w:t>
      </w:r>
    </w:p>
    <w:p>
      <w:pPr>
        <w:spacing w:after="0" w:line="1"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strategic relationships with third parties to sell and deliver our solutions and the compatibility of our services with third party applications that our customers use.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Regulatory and Compliance Risks</w:t>
      </w:r>
    </w:p>
    <w:p>
      <w:pPr>
        <w:spacing w:after="0" w:line="245" w:lineRule="exact"/>
        <w:rPr>
          <w:sz w:val="20"/>
          <w:szCs w:val="20"/>
          <w:color w:val="auto"/>
        </w:rPr>
      </w:pPr>
    </w:p>
    <w:p>
      <w:pPr>
        <w:ind w:left="640" w:hanging="315"/>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 regulation of the Internet and e-commerce and exchange of certain information is subject to possible unfavorable changes.</w:t>
      </w:r>
    </w:p>
    <w:p>
      <w:pPr>
        <w:spacing w:after="0" w:line="28" w:lineRule="exact"/>
        <w:rPr>
          <w:rFonts w:ascii="Arial" w:cs="Arial" w:eastAsia="Arial" w:hAnsi="Arial"/>
          <w:sz w:val="17"/>
          <w:szCs w:val="17"/>
          <w:color w:val="auto"/>
        </w:rPr>
      </w:pPr>
    </w:p>
    <w:p>
      <w:pPr>
        <w:ind w:left="640" w:hanging="315"/>
        <w:spacing w:after="0" w:line="24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regulations or governmental policy applicable to our customers or potential customers may decrease the demand for our solutions or increase our costs.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expansion into new markets may be subject to uncertainties that could increase our costs to comply with foreign regulatory requirements, disrupt our operations and require increased focus from our management.</w:t>
      </w:r>
    </w:p>
    <w:p>
      <w:pPr>
        <w:spacing w:after="0" w:line="1" w:lineRule="exact"/>
        <w:rPr>
          <w:rFonts w:ascii="Arial" w:cs="Arial" w:eastAsia="Arial" w:hAnsi="Arial"/>
          <w:sz w:val="18"/>
          <w:szCs w:val="18"/>
          <w:color w:val="auto"/>
        </w:rPr>
      </w:pPr>
    </w:p>
    <w:p>
      <w:pPr>
        <w:ind w:left="640" w:right="20" w:hanging="315"/>
        <w:spacing w:after="0" w:line="24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rights, we could be required to incur significant expenses to enforce our rights and defend claims by others that we infringe their proprietary technology.</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collect, process, store and use personal information and other data, and our failure to protect this information and data could damage our reputation and brand and harm our business and operating results.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Compliance with changing data protection and privacy laws could require us to incur significant costs or experience significant business disruption.</w:t>
      </w:r>
    </w:p>
    <w:p>
      <w:pPr>
        <w:spacing w:after="0" w:line="28" w:lineRule="exact"/>
        <w:rPr>
          <w:rFonts w:ascii="Arial" w:cs="Arial" w:eastAsia="Arial" w:hAnsi="Arial"/>
          <w:sz w:val="16"/>
          <w:szCs w:val="16"/>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by other parties that we infringe their technology could harm our business.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“open source” software could negatively affect our ability to sell our services.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result of being a public company, we continue to incur significant costs and devote management time to compliance initiatives.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regulations could adversely affect our effective tax rates and if we are required to collect sales taxes on the services we sell in additional jurisdictions, we may be subject to liability for past sales.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accounting principles, or interpretations thereof, could have a significant impact on our financial position and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Series B Preferred Stock, Senior Notes and Common Stock</w:t>
      </w:r>
    </w:p>
    <w:p>
      <w:pPr>
        <w:spacing w:after="0" w:line="232" w:lineRule="exact"/>
        <w:rPr>
          <w:sz w:val="20"/>
          <w:szCs w:val="20"/>
          <w:color w:val="auto"/>
        </w:rPr>
      </w:pPr>
    </w:p>
    <w:p>
      <w:pPr>
        <w:ind w:left="640" w:hanging="31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 price may continue to experience significant fluctuations and could subject us to litigation.</w:t>
      </w:r>
    </w:p>
    <w:p>
      <w:pPr>
        <w:spacing w:after="0" w:line="16" w:lineRule="exact"/>
        <w:rPr>
          <w:rFonts w:ascii="Arial" w:cs="Arial" w:eastAsia="Arial" w:hAnsi="Arial"/>
          <w:sz w:val="18"/>
          <w:szCs w:val="18"/>
          <w:color w:val="auto"/>
        </w:rPr>
      </w:pPr>
    </w:p>
    <w:p>
      <w:pPr>
        <w:ind w:left="640" w:right="20" w:hanging="315"/>
        <w:spacing w:after="0" w:line="24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Delaware law and provisions in our restated certificate of incorporation and bylaws could make a merger, tender offer or proxy contest difficult, therefore depressing the trading price of our common stock.</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investigations relating to certain transactions in 2015 and 2016 that resulted in the restatement of our financial statements in 2018, and the Securities and Exchange Commission staff has preliminarily determined to recommend the initiation of an enforcement action against us in connection with that matter.</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or future debt securities or preferred equity securities, which would be senior to our common stock, may adversely affect the market price of our common stock.</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 Riley Financial, Inc. and its affiliates (“BRF”) have significant influence over us and may have conflicts of interest that arise out of future contractual relationships it or its affiliates may have with us.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active trading market for the Senior Notes may not develop, which could limit the market price of the Senior Notes or your ability to sell them.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Risks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may not generate sufficient cash flows from operations, or future borrowings which may not be available to us, in amounts sufficient to enable us to fund our liquidity needs and capital expenditure requirements necessary to expand our operations and invest in new products which could reduce our ability to compete and could harm our business.</w:t>
      </w:r>
    </w:p>
    <w:p>
      <w:pPr>
        <w:spacing w:after="0" w:line="215"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7"/>
          <w:szCs w:val="17"/>
          <w:color w:val="auto"/>
        </w:rPr>
        <w:t>We cannot guarantee that we will be able to generate sufficient revenue or obtain enough capital to fund our planned capital expenditures, service our debt and execute on our business strategy. We may be more vulnerable to adverse economic conditions than our leveraged competitors and thus less able to withstand competitive pressures. We intend to continue to make investments to support our business growth and may require additional funds to respond to business challenges, including the need to develop new products and enhancements to our platforms or acquire complementary businesses and technologies. Accordingly, we may need to engage in equity or debt financings to secure additional funds. If we raise additional capital, our stockholders may experience significant dilution of their ownership interests, and the per share value of our common stock could decline. In addition, the terms of any future issued equity securities could entitle the holders of those equity securities to rights, preferences and privileges superior to those of holders of our common stock. Furthermore, if we engage in additional debt financings, the holders of debt might have priority over the holders of common stock, and we may be required to accept terms that restrict our ability to incur additional indebtedness, including restrictive covenants relating to our capital raising activities and other financial and operational matters, including restricting our ability to pay dividends or make certain other restricted payment, sell assets, make certain investments and grant liens, which may make it more difficult for us to obtain additional capital and to pursue business opportunities. We may also be required to take other actions that would otherwise be in the interests of the debt holders and force us to maintain specified liquidity or other ratios, including limitations to our total leverage ratio, any of which could harm our business, results of operations, and financial condition. If we need additional capital and cannot raise it on acceptable terms, we may not be able to, among other things, (i) develop or enhance our products and platforms, (ii) acquire complementary technologies, products or businesses, (iii) expand operations in the United States or internationally or (iv) respond to competitive pressures or unanticipated working capital requirements.</w:t>
      </w:r>
    </w:p>
    <w:p>
      <w:pPr>
        <w:spacing w:after="0" w:line="216"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our ability to continue to support our business growth and to respond to business challenges could be significantly limited which may also require us to delay, scale back or eliminate some or all of our activities which could have a material adverse effect on our business, results of operations and financial condition.</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207"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Our business is directly affected by the length of our sales cycles. Our customers’ businesses are relatively complex and their purchase of the types of services that we offer generally involve a significant financial commitment, with attendant delays, frequently associated with large financial commitments and procurement procedures within an organization. In addition, as we continue to further penetrate the enterprise, and the size and complexity of our sales opportunities continue to expand, we have seen an increase in the average length of time in our sales cycles. The purchase of the types of services that we offer typically requires coordination and agreement across many departments within a potential customer’s organization. Delays associated with such timing factors could have a material adverse effect on our results of operations and financial condition. In periods of economic slowdown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an increased cost of sales, thereby reducing our profitability.</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 our future results difficult to predict and could cause our operating results to fall below expectations or our guidance.</w:t>
      </w:r>
    </w:p>
    <w:p>
      <w:pPr>
        <w:spacing w:after="0" w:line="206"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As a result of a variety of factors discussed in this report, many of which are out of our control, our revenue for a particular quarter is difficult to predict, especially in light of a challenging and inconsistent global macroeconomic environment and related market uncertainty. Our revenue may grow at a slower rate than in past periods or decline, as it has in the past, on a year-over-year basis. Our ability to meet financial expectations could also be adversely affected if</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nonlinear sales pattern seen in some of our past quarters recurs in future periods. The timing of large orders can also have a significant effect on our business and operating results from quarter to quarter. From time to time, we receive large orders that have a significant effect on our operating results in the period in which the order is recognized as revenue. The timing of such orders is difficult to predict, and the timing of revenue recognition from such orders may affect period to period changes in revenue. As a result, our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operating results could vary materially from quarter to quarter based on the receipt of such orders and their ultimate recognition as revenue. We plan our operating expense levels based primarily on forecasted revenue levels. These expenses and the impact of long-term commitments are relatively fixed in the short term. A shortfall in revenue could lead to operating results being below expectations because we may not be able to quickly reduce these fixed expenses</w:t>
      </w:r>
    </w:p>
    <w:p>
      <w:pPr>
        <w:spacing w:after="0" w:line="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response to short-term business changes. As a result, comparing our operating results on a period-to-period basis may not be meaningful. Our past results should not be relied on as an indication of our future performance. Non-GAAP financial measures should not be considered in isolation from, or as a</w:t>
      </w:r>
    </w:p>
    <w:p>
      <w:pPr>
        <w:spacing w:after="0" w:line="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substitute for, financial information prepared in accordance with GAAP. In addition, non-GAAP metrics we may disclose, such as EBITDA, and any corresponding trends in such metrics should not be relied on as an indication that our GAAP results, such as income (loss), will be similar or will follow the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same trends. If our revenue or operating results fall below the expectations of investors or securities analysts or below any guidance we may provide to the market, the price of our common stock could decline substantially. Any of the above factors could have a material adverse impact on our operations and financial results.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If we do not meet our revenue forecasts, we may be unable to reduce our expenses in a timely fashion to avoid or minimize harm to our results of operations.</w:t>
      </w:r>
    </w:p>
    <w:p>
      <w:pPr>
        <w:spacing w:after="0" w:line="207"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Our revenues are difficult to forecast and are likely to fluctuate significantly from period to period, particularly as we continue to implement our business strategy. We base our operating expense and capital investment budgets on expected sales and revenue trends, and many of our expenses, such as office and equipment leases and personnel costs, will be relatively fixed in the short term and will increase over time as we make investments in our business. Our estimates of sales trends may not correlate with actual revenues in a particular quarter or over a longer period of time. Variations in the rate and timing of conversion of our sales prospects into sales and actual revenues could cause us to plan or budget inaccurately and those variations could adversely affect our financial results. In particular, delays, reductions in amount or cancellation of customers’ contracts would adversely affect the overall level and timing of our revenues, and our business, results of operations and financial condition could be harmed. Due to the relatively fixed nature of many of our expenses, we may</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 unable to adjust spending quickly enough to offset any unexpected revenue shortfall. In the course of our sales to customers, we may encounter difficulty collecting accounts receivable and could be exposed to risks associated with uncollectible accounts receivable. In the event we are unable to collect on our accounts receivable, it could negatively affect our cash flows, operating results and business.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traditionally have had substantial customer concentration, with a limited number of customers accounting for a substantial portion of our revenues.</w:t>
      </w:r>
    </w:p>
    <w:p>
      <w:pPr>
        <w:spacing w:after="0" w:line="278"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The Company’s top five customers accounted for 68.2%, 68.0% and 69.2% of net revenues for the years ended December 31, 2021, 2020 and 2019, respectively. Of these customers, Verizon accounted for more than 10% of our revenues in 2021, 2020, and 2019. 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Any such development could have an adverse effect on our margins and financial position and would negatively affect our revenues and results of operations and/or trading price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our customers’ credit risk.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We are subject to the credit risk of our customers, and customers with liquidity issues may lead to credit losses for us. Most of our sales are on an open credit basis, with typical payment terms between 45 and 60 days in the United States and, because of local customs or conditions, longer payment terms in some markets outside the United States. We use various methods to screen potential customers and establish appropriate credit limits, but these methods cannot eliminate all potential bad credit risks and may not prevent us from approving applications that are fraudulently completed. Moreover, businesses that are good credit risks at the time of application may become bad credit risks over time and we may fail to detect this change. We maintain reserves we believe are adequate to cover exposure for doubtful accounts. If we fail to adequately assess and monitor our credit risks, we could experience longer payment cycles, increased collection costs and higher bad debt expense. A decrease in accounts receivable resulting from an increase in bad debt expense could adversely affect our liquidity. Our exposure to credit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risks may increase if our customers are adversely affected by a difficult macroeconomic environment, or if there is a continuation or worsening of the economic environment. Although we have programs in place that are designed to monitor and mitigate the associated risk, including monitoring of particular risks in certain geographic areas, there can be no assurance, especially during the COVID-19 pandemic, that these programs will be effective in reducing our credit risks or preventing us from incurring additional losses. Future losses, if incurred, could harm our business and have a material adverse effect on our business operating results and financial condition. Additionally, to the degree that the current or future credit markets make it more difficult for some customers to obtain financing, those customers’ ability to pay could be adversely impacted, which in turn could have a material adverse impact on our business, operating results, and financial condition.</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207"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Emerging countries in the aggregate experienced a decline in orders during fiscal 2021 and certain prior periods.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business interruptions resulting from regional or larger scale conflicts or geo-political actions; the impact of the COVID-19 or other public health epidemics or concerns on our customer’s component suppliers, and the challenging and inconsistent global macroeconomic environment, any or all of which could have a material adverse effect on our operating results and financial condition, including, among others things:</w:t>
      </w:r>
    </w:p>
    <w:p>
      <w:pPr>
        <w:spacing w:after="0" w:line="197" w:lineRule="exact"/>
        <w:rPr>
          <w:sz w:val="20"/>
          <w:szCs w:val="20"/>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or future supply chain interruptions;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Political or social unrest;</w:t>
      </w:r>
    </w:p>
    <w:p>
      <w:pPr>
        <w:spacing w:after="0" w:line="28"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6"/>
        </w:numPr>
        <w:rPr>
          <w:rFonts w:ascii="Arial" w:cs="Arial" w:eastAsia="Arial" w:hAnsi="Arial"/>
          <w:sz w:val="21"/>
          <w:szCs w:val="21"/>
          <w:color w:val="auto"/>
        </w:rPr>
      </w:pPr>
      <w:r>
        <w:rPr>
          <w:rFonts w:ascii="Arial" w:cs="Arial" w:eastAsia="Arial" w:hAnsi="Arial"/>
          <w:sz w:val="18"/>
          <w:szCs w:val="18"/>
          <w:color w:val="auto"/>
        </w:rPr>
        <w:t>Economic instability or weakness or natural disasters in a specific country or region, including the current economic or health challenges in China and global economic ramifications of Chinese economic difficulties;</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16"/>
        </w:numPr>
        <w:rPr>
          <w:rFonts w:ascii="Arial" w:cs="Arial" w:eastAsia="Arial" w:hAnsi="Arial"/>
          <w:sz w:val="21"/>
          <w:szCs w:val="21"/>
          <w:color w:val="auto"/>
        </w:rPr>
      </w:pPr>
      <w:r>
        <w:rPr>
          <w:rFonts w:ascii="Arial" w:cs="Arial" w:eastAsia="Arial" w:hAnsi="Arial"/>
          <w:sz w:val="18"/>
          <w:szCs w:val="18"/>
          <w:color w:val="auto"/>
        </w:rPr>
        <w:t>Environmental and trade protection measures and other legal and regulatory requirements, some of which may affect our ability to import our products, to export our products from, or sell our products in various countries;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Political considerations that affect service provider and government spending patterns;</w:t>
      </w:r>
    </w:p>
    <w:p>
      <w:pPr>
        <w:spacing w:after="0" w:line="28" w:lineRule="exact"/>
        <w:rPr>
          <w:rFonts w:ascii="Arial" w:cs="Arial" w:eastAsia="Arial" w:hAnsi="Arial"/>
          <w:sz w:val="21"/>
          <w:szCs w:val="21"/>
          <w:color w:val="auto"/>
        </w:rPr>
      </w:pPr>
    </w:p>
    <w:p>
      <w:pPr>
        <w:ind w:left="640" w:hanging="31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6"/>
          <w:szCs w:val="16"/>
          <w:color w:val="auto"/>
        </w:rPr>
        <w:t>Health or similar issues and the responses thereto, such as a pandemic or epidemic, including the COVID-19 pandemic and responses taken thereto;</w:t>
      </w:r>
    </w:p>
    <w:p>
      <w:pPr>
        <w:spacing w:after="0" w:line="8" w:lineRule="exact"/>
        <w:rPr>
          <w:rFonts w:ascii="Arial" w:cs="Arial" w:eastAsia="Arial" w:hAnsi="Arial"/>
          <w:sz w:val="19"/>
          <w:szCs w:val="19"/>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terrorism, war or other military conflict, telecommunication and electrical failures;</w:t>
      </w:r>
    </w:p>
    <w:p>
      <w:pPr>
        <w:spacing w:after="0" w:line="14"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Difficulties in staffing and managing international operations; or</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Adverse tax consequences, including imposition of withholding or other taxes on our global operations.</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foreign currency transaction losses, which could harm our operating results and financial condition.</w:t>
      </w:r>
    </w:p>
    <w:p>
      <w:pPr>
        <w:spacing w:after="0" w:line="206"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We consider the U.S. dollar to be our functional currency. However, given our international operations we currently have, and expect to have in the future, revenue and expenses and related assets and liabilities denominated in foreign currencies. Foreign currency transaction exposure results primarily from transactions with customers or vendors denominated in currencies other than the functional currency of the entity in which we record the transaction. Any</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fluctuation in the exchange rate of these foreign currencies may positively or negatively affect our business and operating results. We face exposure to movements in foreign currency exchange rates due to the fact that we have non-U.S. dollar denominated revenue worldwide. Weakening of foreign currencies relative to the U.S. dollar adversely affects the U.S. dollar value of our foreign currency denominated revenue and positively affects the U.S. dollar value of our foreign currency denominated expenses. If foreign currencies were to weaken or strengthen relative to the U.S. dollar, we might elect to raise or lower our international pricing, which could potentially impact demand for our services. Alternatively, we might opt not to adjust our international pricing as a result of fluctuations in foreign currency exchange rates, which could potentially have a positive or negative impact on our results of operations and financial</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condition. Similarly, our financial performance may be impacted by fluctuations in currency exchange rates when it comes to our non-U.S. dollar denominated expenses. The third-party vendors and suppliers to whom we owe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payments for non-U.S. dollar denominated expenses may or may not decide to adjust their pricing to reflect fluctuations in foreign currency exchange rates. If there continues to be volatility in foreign currency exchange rates, we will continue to experience fluctuations in our operating results due to revaluing our assets and liabilities that are not denominated in the functional currency of the entity that recorded the asset or liability, and the translation of our non-U.S. denominated revenue and expenses into U.S. dollars may affect the year-over-year comparability of our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able to incur substantially more debt, which could have important consequences to investors.</w:t>
      </w:r>
    </w:p>
    <w:p>
      <w:pPr>
        <w:spacing w:after="0" w:line="232"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Senior Notes does not prohibit us from doing so. If we incur any additional indebtedness that ranks equally with the Senior Notes, the holders of that debt will be entitled to share ratably with you in any proceeds distributed in connection with any insolvency, liquidation, reorganization or dissolution. This may have the effect of reducing the amount of proceeds paid to investors.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level of indebtedness could have important consequences to investors, because:</w:t>
      </w:r>
    </w:p>
    <w:p>
      <w:pPr>
        <w:spacing w:after="0" w:line="28" w:lineRule="exact"/>
        <w:rPr>
          <w:sz w:val="20"/>
          <w:szCs w:val="20"/>
          <w:color w:val="auto"/>
        </w:rPr>
      </w:pPr>
    </w:p>
    <w:p>
      <w:pPr>
        <w:ind w:left="640" w:hanging="31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it could affect our ability to satisfy our financial obligations, including those relating to the Senior Notes;</w:t>
      </w:r>
    </w:p>
    <w:p>
      <w:pPr>
        <w:spacing w:after="0" w:line="28" w:lineRule="exact"/>
        <w:rPr>
          <w:rFonts w:ascii="Arial" w:cs="Arial" w:eastAsia="Arial" w:hAnsi="Arial"/>
          <w:sz w:val="21"/>
          <w:szCs w:val="21"/>
          <w:color w:val="auto"/>
        </w:rPr>
      </w:pPr>
    </w:p>
    <w:p>
      <w:pPr>
        <w:ind w:left="640" w:right="220" w:hanging="315"/>
        <w:spacing w:after="0" w:line="233" w:lineRule="auto"/>
        <w:tabs>
          <w:tab w:leader="none" w:pos="635" w:val="left"/>
        </w:tabs>
        <w:numPr>
          <w:ilvl w:val="0"/>
          <w:numId w:val="17"/>
        </w:numPr>
        <w:rPr>
          <w:rFonts w:ascii="Arial" w:cs="Arial" w:eastAsia="Arial" w:hAnsi="Arial"/>
          <w:sz w:val="21"/>
          <w:szCs w:val="21"/>
          <w:color w:val="auto"/>
        </w:rPr>
      </w:pPr>
      <w:r>
        <w:rPr>
          <w:rFonts w:ascii="Arial" w:cs="Arial" w:eastAsia="Arial" w:hAnsi="Arial"/>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it may impair our ability to obtain additional debt or equity financing in the future;</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it may limit our ability to refinance all or a portion of our indebtedness on or before maturity;</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it may limit our flexibility in planning for, or reacting to, changes in our business and industry; and</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it may make us more vulnerable to downturns in our business, our industry or the economy in general.</w:t>
      </w:r>
    </w:p>
    <w:p>
      <w:pPr>
        <w:spacing w:after="0" w:line="22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Our operations may not generate sufficient cash to enable us to service our debt. If we fail to make a payment on the Senior Notes, we could be in default on the Senior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However, no event of default under the Senior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Senior Notes having any rights to such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make investments in new products and services that may not be profitable or align with our company vision.</w:t>
      </w:r>
    </w:p>
    <w:p>
      <w:pPr>
        <w:spacing w:after="0" w:line="232"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We intend to continue to make investments to support our business growth, including expenditures to develop new services or enhance our existing services, enhance our operating infrastructure, market and sell our product offerings and acquire complementary businesses and technologies. These endeavors may involve significant risks and uncertainties, including failures to align new initiatives with our established corporate vision and direction, which could lead to a misapplication of our resources. These new investments are inherently risky and may involve distracting management from current operations, create greater than expected liabilities and expenses, provide us with an inadequate return on capital, include other unidentified risks and, ultimately, may generally not be successful. Further, our ability to effectively integrate new services and investments into our business may affect our profitability. Significant delays in new releases or significant problems in creating new products or services could adversely affect our revenue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must recruit and retain our key management and other key personnel and our failure to recruit and retain qualified employees could have a negative impact on our business.</w:t>
      </w:r>
    </w:p>
    <w:p>
      <w:pPr>
        <w:spacing w:after="0" w:line="206"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 retention and hiring may be adversely impacted by immigration restrictions and related factors.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Competition for skilled personnel is intense in our industry and any failure on our part to hire and retain appropriately skilled employees could harm our business. Our ability to hire and retain skilled employees is impacted, at least in part, by the fact that a portion of our professional workforce in the United States is comprised of foreign nationals who are not United States citizens. In order to be legally allowed to work for us, these individuals generally hold immigrant visas (which may or may not be tied to their employment with us) or green cards, the latter of which makes them permanent residents in the United</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States. The ability of these foreign nationals to remain and work in the United States is impacted by a variety of laws and regulations, as well as the processing procedures of various government agencies. Changes in applicable laws, regulations or procedures could adversely affect our ability to hire or retain these skilled employees and could affect our costs of doing business and our ability to deliver services to our customers. In addition, if the laws, rules or procedures governing the ability of foreign nationals to work in the United States were to change or if the number of visas available for foreign nationals permitted to work in the United States were to be reduced, our business could be adversely affected, if, for example, we were unable to hire or no longer able</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retain a skilled worker who is a foreign national. Employing foreign nationals may require significant time and expense and our foreign national employees may choose to leave after we have made this investment. While a foreign national who is working under an immigrant visa tied to his or her employment by us may be less likely to choose to leave our Company than a similarly situated employee who is a United States national or a green card holder (as leaving our employ could mean also having to leave the United States), this may not always be the case. Additionally, many of our foreign national employees hold green cards, which means that they have greater flexibility to leave our Company without facing the risk of also having to leave the United States.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revenue recognitions standards and because we recognize revenue for certain products and services ratably over the term of customer agreements upturns or downturns in the value of signed contracts will not be fully and immediately reflected in our operating results and any changes in the standards could impact our business.</w:t>
      </w:r>
    </w:p>
    <w:p>
      <w:pPr>
        <w:spacing w:after="0" w:line="21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offer certain of our products and services primarily through fixed or variable commitment contracts and recognize revenue ratably over the related service period, which typically ranges from twelve to twenty-four months. As a result, some portion of the revenue we report in each quarter is revenue from contracts entered into during prior periods. Consequently, a decline in signed contracts in any quarter will not be fully and immediately reflected in revenue for that quarter but may instead negatively affect our revenue in future quarters. In addition, we may be unable to adjust our cost structure to offset this reduced revenue. Similarly, revenue attributable to an increase in contracts signed in a particular quarter will not be fully and immediately recognized, as revenue from new or renewed contracts is recognized ratably over the applicable service period. Because we incur certain sales costs at the time of sale, we may not recognize revenues from some customers despite incurring considerable expense related to our sales processes. Timing differences of this nature</w:t>
      </w:r>
    </w:p>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could cause our margins and profitability to fluctuate significantly from quarter to quarter. As we introduce new services or products, revenue recognition could become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increasingly complex and require additional analysis and judgment. Additionally, for new contracts with existing customers, we may negotiate and revise previously used terms and conditions of our contracts with these customers and channel partners, which may also cause us to revise our revenue recognition policies. As our arrangements with customers change, we may be required to defer a greater portion of revenue into future periods, which could materially and adversely affect our financial results.</w:t>
      </w:r>
    </w:p>
    <w:p>
      <w:pPr>
        <w:spacing w:after="0" w:line="2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performance and growth depend on our ability to generate customer referrals and to develop referenceable customer relationships that will enhance our sales and marketing efforts. A failure to accomplish these objectives could materially harm our business.</w:t>
      </w:r>
    </w:p>
    <w:p>
      <w:pPr>
        <w:spacing w:after="0" w:line="183"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In our business, we depend on end-users of our solutions to generate customer referrals for our services. We also depend on members of the communications industry, financial institutions, legal service providers and other third parties who use our services to recommend them to a larger customer base than we can reach through our direct sales and internal marketing efforts. These referrals are an important source of new customers for our services and generally are made without expectation of compensation. We intend to continue to focus our marketing efforts on these referral partners in order to expand</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reach and improve the efficiency of our sales efforts. We also recognize that having respected, well known, market-leading customers who have committed to deploy our solutions within their organizations will support our marketing and sales efforts, as these customers can act as references for us and our product offerings. Our ability to establish and maintain these customer relationships is important to our future profitability. The willingness of these types of customers to provide referrals or serve as anchor or reference customers depends on a number of factors, including the performance, ease of use, reliability, reputation and cost-effectiveness of our services as compared to those offered by our competitors, as well as the internal policies of these customers. We may not be able to cultivate or maintain the relationships with customers that are necessary to develop those customer relationships into referenceable accounts.</w:t>
      </w:r>
    </w:p>
    <w:p>
      <w:pPr>
        <w:spacing w:after="0" w:line="19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loss of any of our significant referral sources, including our anchor customers, or a decline in the number of referrals we receive or anchor customers that we generate could require us to devote substantially more resources to the sales and marketing of our services, which would increase our costs, potentially lead to a decline in our revenue, slow our growth and generally have a material adverse effect on our business, results of operations and financial condition. In addition, the revenue we generate from our referral and anchor relationships may vary from period to period.</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Many of our current and planned products are highly complex and may contain defects or errors that are detected only after deployment in telecommunications networks. If that occurs, our reputation or market acceptance of our products and services may be harmed.</w:t>
      </w:r>
    </w:p>
    <w:p>
      <w:pPr>
        <w:spacing w:after="0" w:line="183"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Our products are highly complex, and we cannot assure customers that our extensive product development, production and integration testing is, or will be, adequate to detect all defects, errors, failures and quality issues that could affect customer satisfaction or result in claims against us. Our products and services may contain undetected errors or scalability limitations at any point in their lives, but particularly when first introduced or as new versions are released. As a result, we might have to replace certain components and/or provide remediation in response to the discovery of defects in products that have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been supplied to customers. The occurrence of any defects, errors, failures or quality issues could result in cancellation of orders, product returns, diversion of our resources, legal actions by customers or customers’ end users and other losses to us or to our customers or end users. These occurrences could also result in the loss of or delay in market acceptance of our products, in the loss of sales, or in the need to create provisions, which would harm our business and adversely affect our revenues and profitability.</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Failure to maintain the confidentiality, integrity and availability of our systems, software and solutions could seriously damage our reputation and affect our ability to retain customers and attract new business.</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Maintaining the confidentiality, integrity and availability of our systems, software and solutions is an issue of critical importance for us and for our customers and users who rely on our systems to store and exchange large volumes of information, much of which is proprietary and confidential. There appears to be an increasing number of individuals, governments, groups and computer “hackers” developing and deploying a variety of destructive software programs (such as viruses, worms and other malicious software) that could attack our computer systems or solutions or attempt to infiltrate our systems. We make significant efforts to maintain the confidentiality, integrity and availability of our systems, solutions and source code. Despite significant efforts to create security barriers, it is virtually impossible for us to mitigate this risk entirely because techniques used to obtain unauthorized access or sabotage systems change frequently and generally are not recognized until launched against a target. Like all software solutions, our software is vulnerable to these types of attacks. An attack of this type could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disrupt the proper functioning of our software solutions, cause errors in the output of our customers’ work, allow unauthorized access to sensitive, proprietary or confidential information of ours or our customers and other destructive outcomes. If an actual or perceived breach of our security were to occur, our reputation could suffer, customers could stop buying our solutions and we could face lawsuits and potential liability, any of which could cause our financial performance to be negatively impacted. Though we maintain professional liability insurance that may be available to provide coverage if a cybersecurity incident were to occur, there can be no assurance that insurance coverage will be available or that available coverage will be sufficient to cover losses and claims related to any cybersecurity incidents we may experience.</w:t>
      </w:r>
    </w:p>
    <w:p>
      <w:pPr>
        <w:spacing w:after="0" w:line="222"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There is also a danger of industrial espionage, cyber-attacks, misuse or theft of information or assets (including source code), or damage to assets by people who have gained unauthorized access to our facilities, systems or information, which could lead to the disclosure of portions of our source code or other confidential information, improper usage and distribution of our solutions without compensation, illegal or inappropriate usage of our systems and solutions, jeopardizing of the security of information stored in and transmitted through our computer systems, manipulation and destruction of data, defects in our software and downtime issues. More generally, the COVID-19 pandemic has increased attack opportunities available to criminals, as they attempt to profit from disruptions and the resulting shift in companies and individuals working remotely and online, as well as the increase in electronic payments, e-commerce, and other online activity. While the Company does not currently have operations in areas experiencing rising political conflict and uncertainty, there is an increased likelihood that escalation of tensions could result in cyber-attacks or cybersecurity incidents that could either directly or indirectly impact our operations. As such, the risk of cybersecurity incidents is increasing, and we cannot provide assurances that our preventative efforts will be successful. Although we actively employ measures to combat unlicensed copying, access and use of our facilities, systems, software and intellectual property through a variety of techniques, preventing unauthorized use or infringement of our rights is inherently difficult. The occurrence of an event of this nature could adversely affect our financial results or could result in significant claims against us for damages. Further, participating in either a lawsuit to protect against unauthorized access to, usage of or disclosure of any of our solutions or any portion of our source code or the prosecution of an individual in connection with a cybersecurity breach could be costly and time-consuming and could divert management’s attention and adversely affect the market’s perception of us and</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solutions. A number of core processes, such as software development, sales and marketing, customer service and financial transactions, rely on our IT, infrastructure and applications. Defects or malfunctions in our IT infrastructure and applications could cause our service offerings not to perform as our customers expect, which could harm our reputation and business. In addition, malicious software, sabotage and other cybersecurity breaches of the types described above could cause an outage of our infrastructure, which could lead to a substantial denial of service and ultimately downtimes, recovery costs and customer claims, any of which could have a significant negative impact on our business, financial position, profit and cash flows.</w:t>
      </w:r>
    </w:p>
    <w:p>
      <w:pPr>
        <w:spacing w:after="0" w:line="19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confidentiality, integrity and availability of our systems could also be jeopardized by a breach of our internal controls and policies by our employees, consultants or subcontractors having access to our systems. If our systems fail or are breached as a result of a third-party attack or an error, violation of internal controls or policies or a breach of contract by an employee, consultant or subcontractor that results in the unauthorized use or disclosure of proprietary or confidential information or customer data (including information about the existence and nature of the projects and transactions our customers are engaged in), we could lose business, suffer irreparable damage to our reputation and incur significant costs and expenses relating to the investigation and possible litigation of claims relating to such event. We could be liable for damages, penalties for violation of applicable laws or regulations and costs for remediation and efforts to prevent future occurrences, any of which liabilities could be significant. There can be no assurance that the limitations of liability in our contracts would be enforceable or adequate or would otherwise protect us from liabilities or damages with respect to any particular claim. Furthermore, litigation, regardless of its outcome, could result in a substantial cost to us and divert management’s attention from our operations. Any significant claim against us or litigation involving us could have a material adverse effect on our business, financial condition and results of operations.</w:t>
      </w:r>
    </w:p>
    <w:p>
      <w:pPr>
        <w:spacing w:after="0" w:line="197"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We have implemented a number of security measures designed to ensure the security of our information, IT resources and other assets. Nonetheless, unauthorized users could gain access to our systems through cyber-attacks and steal, use without authorization and sabotage our intellectual property and confidential data. Any security breach, misuse of our IT systems or theft of our or our customers’ intellectual property or data could lead to customer losses, non-renewal of customer agreements, loss of production, recovery costs or litigation brought by customers or business partners, any of which could adversely impact our cash flows and reputation and could have an adverse impact on our disclosure controls and procedures.</w:t>
      </w:r>
    </w:p>
    <w:p>
      <w:pPr>
        <w:spacing w:after="0" w:line="19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Despite our efforts to protect our intellectual property, unauthorized third parties may attempt to copy our technology or to develop products or solutions with the same or similar functions, which infringe upon our rights. Pursuing these potential violations of Synchronoss’ intellectual property rights is difficult and costly. Our competition may also independently develop technology equivalent to ours and our intellectual property rights may not be sufficient to prevent them from marketing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selling those products which incorporate such technology, which could have a material adverse effect on our ability to compete in the marketplace.</w:t>
      </w: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Consolidation in the communications industry or the other industries that we serve can reduce the number of actual and potential customers and adversely affect our business.</w:t>
      </w:r>
    </w:p>
    <w:p>
      <w:pPr>
        <w:spacing w:after="0" w:line="206"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There has been, and there continues to be, merger, acquisition and consolidation activity among our customers. Mergers, acquisitions or consolidations of companies in the communications industry or other industries that we serve, have reduced and may continue to reduce the number of our customers and potential customers for our solutions, resulting in a smaller market for our services, which could have a material adverse impact on our business and results of operations. In addition, it is possible that the larger institutions that result from mergers or consolidations could themselves perform some or all of the services that we currently provide or could provide in the future. Should one or more of our significant customers acquire, consolidate or enter into an alliance with an entity or decide to either use a different service provider or to manage its transactions internally, this could have a negative material impact on our business. Any such consolidations, alliances or decisions to manage transactions internally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20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Our success depends on our ability to provide reliable services to our customers and process a high volume of transactions in a timely and effective manner. Although we operate disaster recovery solutions and maintain backup systems, our network operations are susceptible to damage or interruption from human error, fire, flood, power loss, telecommunications failure, terrorist attacks, war or other military conflict, including escalation of ongoing political conflicts and similar events. A catastrophic event that results in the destruction or disruption of any of our data centers or our critical business or information technology systems could severely affect our ability to conduct normal business operations and, as a result, our business, operating results and financial condition could be adversely affected. We could also experience failures or interruptions of our systems and services, or other problems in connection with our operations, as a result of, among other things:</w:t>
      </w:r>
    </w:p>
    <w:p>
      <w:pPr>
        <w:spacing w:after="0" w:line="259" w:lineRule="exact"/>
        <w:rPr>
          <w:sz w:val="20"/>
          <w:szCs w:val="20"/>
          <w:color w:val="auto"/>
        </w:rPr>
      </w:pPr>
    </w:p>
    <w:p>
      <w:pPr>
        <w:ind w:left="640" w:hanging="315"/>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17"/>
          <w:szCs w:val="17"/>
          <w:color w:val="auto"/>
        </w:rPr>
        <w:t>damage to, or failure of, our computer software or hardware or our connections and outsourced service arrangements with third parties;</w:t>
      </w:r>
    </w:p>
    <w:p>
      <w:pPr>
        <w:spacing w:after="0" w:line="12" w:lineRule="exact"/>
        <w:rPr>
          <w:rFonts w:ascii="Arial" w:cs="Arial" w:eastAsia="Arial" w:hAnsi="Arial"/>
          <w:sz w:val="20"/>
          <w:szCs w:val="20"/>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errors in the processing of data by our systems;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computer viruses or software defects;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physical or electronic break-ins, sabotage, intentional acts of vandalism and similar events;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fire, cybersecurity attack, terrorist attack or other catastrophic event;</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increased capacity demands or changes in systems requirements of our customers; or</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errors by our employees or third-party service providers.</w:t>
      </w:r>
    </w:p>
    <w:p>
      <w:pPr>
        <w:spacing w:after="0" w:line="22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We rely on various systems and applications to support our internal operations, including our billing, financial reporting and customer contracting functions. The availability of these systems and applications is essential to us and delays, disruptions or performance problems may adversely impact our ability to accurately bill our customers, report financial information and conduct our business, or cause us to suffer reputational harm, delays in product development, lack of products provided to our customers, breaches of data security and loss of critical data. Any failure or interruption of our systems and services could also prevent us from fulfilling customer orders or maintaining certain service level requirements, particularly in respect of our software as a service (“SaaS”) and hosted offerings.</w:t>
      </w:r>
    </w:p>
    <w:p>
      <w:pPr>
        <w:spacing w:after="0" w:line="222"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Additionally, we may choose to replace or implement changes to these systems, including substituting traditional systems with cloud-based solutions, which could be time-consuming and expensive, and which could result in delays in the ongoing operational processes these software solutions support. Further, our cloud-based solutions may experience disruptions and outages that are beyond our control as we rely on third-party vendors to support these solutions and assure their continued availability. We have also acquired a number of companies, products, services and technologies over the last several years. While we make significant efforts to address any IT security issues with respect to our acquisitions, we may still inherit certain risks when we integrate these acquisitions. In addition, our business interruption insurance may be insufficient to compensate us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losses or liabilities that may occur. Any interruptions in our systems or services could damage our reputation and substantially harm our business and results of operations.</w:t>
      </w:r>
    </w:p>
    <w:p>
      <w:pPr>
        <w:spacing w:after="0" w:line="20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The quality of our support and services offerings is important to our customers and if we fail to meet our service level obligations under our service level agreements or otherwise fail to offer quality support and services, we would be subject to penalties and could lose customers.</w:t>
      </w:r>
    </w:p>
    <w:p>
      <w:pPr>
        <w:spacing w:after="0" w:line="16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Our customers generally depend on our service organization to resolve issues relating to the use of our solutions. A high level of support is critical for the successful marketing and sale of our solutions. If we are unable to provide a level of support and service to meet or exceed the expectations of our customers, we could experience (i) loss of customers and market share; (ii) difficulty attracting or the inability to attract new customers, including in new geographic regions; and (iii) increased service and support costs and a diversion of resources.</w:t>
      </w:r>
    </w:p>
    <w:p>
      <w:pPr>
        <w:spacing w:after="0" w:line="21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Any of the above results would likely have a material adverse impact on our business, revenue, results of operations, financial condition and reputation. In addition, we have service level agreements with many of our customers under which we guarantee specified levels of service availability. These arrangements involve the risk that we may not have adequately estimated the level of service we will in fact be able to provide. The importance of high-quality customer support will increase as we expand our business and pursue new enterprise customers. If we fail to meet our service level obligations under these agreements, we would be subject to penalties, which could result in higher than expected costs, decreased revenues and decreased operating margins. We could also lose customers.</w:t>
      </w:r>
    </w:p>
    <w:p>
      <w:pPr>
        <w:spacing w:after="0" w:line="2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Our reliance on third-party providers for communications software, services, hardware and infrastructure exposes us to a variety of risks we cannot control.</w:t>
      </w:r>
    </w:p>
    <w:p>
      <w:pPr>
        <w:spacing w:after="0" w:line="206"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Our success depends on software, equipment, network connectivity and infrastructure hosting services supplied by, or leased from,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 Further, any changes in our third-party vendors could detract from management’s ability to focus on the ongoing operations of our business or could</w:t>
      </w:r>
    </w:p>
    <w:p>
      <w:pPr>
        <w:spacing w:after="0" w:line="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cause delays in the operations of our business. Our business also depends upon the capacity, reliability and security of the infrastructure owned and managed by third parties, including our vendors and customers that are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208"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Any damage to, or failure or capacity limitations of, our systems and our related network could result in interruptions in our service that could cause us to lose revenue, issue credits or refunds or could cause our customers to terminate their subscriptions for our services, in each case adversely affecting our renewal rates. Since our customers use our service for important aspects of their businesses, any errors, defects, disruptions in service or other performance problems could hurt our reputation and may damage our customers’ businesses. As a result, we may lose revenue, issue credits or refunds or customers could elect not to renew our services or delay or withhold payments to us. We could also lose future sales or customers may make claims against us, which could result in an increase in our provision for doubtful accounts, an increase in collection cycles for accounts receivable or the expense or risk of litigation. Additionally, third-party software underlying our services can contain undetected errors or bugs. We may be forced to delay commercial release of our services until any discovered problems are corrected and, in some cases, may need to implement enhancements or modifications to correct errors that we do not detect until after deployment of our services. In addition, problems with the third-party software underlying our services could result in (i) damage to our reputation, (ii) loss of or customers or delayed revenue, (iii) warranty claims or litigation, (iv) loss of or delayed market acceptance of our services or (v) unexpected expenses and diversion of resources to remedy errors.</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Interruptions or delays in our service due to problems with our third-party web hosting facilities or other third-party service providers could adversely affect our business.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rely on third parties for the maintenance of certain of the equipment running our solutions and software at geographically dispersed hosting facilities with third parties. If we are unable to renew, extend or replace our agreements with any of our third-party hosting facilities, we may be unable to arrange for replacement services at a similar cost and in a timely manner, which could cause an interruption in our service. We do not control the operation of these third-party facilities, each of which may be subject to damage or interruption from earthquakes, floods, fires, power loss, telecommunications failures or similar events. These facilities may also be subject to break-ins, sabotage, intentional acts of vandalism or similar misconduct. Despite precautions taken at these facilities, the occurrence of a natural disaster, cessation of operations by our third-party web hosting provider or a third party’s decision to close a facility without adequate notice or other unanticipated problems at any facility could result in lengthy interruptions in our service. In addition, the failure by these facilities to provide our required data communications capacity could result in interruptions in our service.</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seek to acquire companies or technologies, form joint ventures or make investments in other companies or technologies, which could disrupt our ongoing business, disrupt our management and employees, dilute our stockholders’ ownership, increase our debt, and adversely affect our results of operations.</w:t>
      </w:r>
    </w:p>
    <w:p>
      <w:pPr>
        <w:spacing w:after="0" w:line="21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We have made, and in the future intend to form joint ventures, make acquisitions of and investments in companies, technologies or products in existing, related or new markets for us that we believe may enhance our market position or strategic strengths. However, we cannot be sure that any acquisition or investment will ultimately enhance our products or strengthen our competitive position. Acquisitions involve numerous risks, including but not limited to:</w:t>
      </w:r>
    </w:p>
    <w:p>
      <w:pPr>
        <w:spacing w:after="0" w:line="203" w:lineRule="exact"/>
        <w:rPr>
          <w:sz w:val="20"/>
          <w:szCs w:val="20"/>
          <w:color w:val="auto"/>
        </w:rPr>
      </w:pPr>
    </w:p>
    <w:p>
      <w:pPr>
        <w:ind w:left="640" w:hanging="315"/>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diversion of management’s attention from other operational matters;</w:t>
      </w:r>
    </w:p>
    <w:p>
      <w:pPr>
        <w:spacing w:after="0" w:line="22" w:lineRule="exact"/>
        <w:rPr>
          <w:rFonts w:ascii="Arial" w:cs="Arial" w:eastAsia="Arial" w:hAnsi="Arial"/>
          <w:sz w:val="21"/>
          <w:szCs w:val="21"/>
          <w:color w:val="auto"/>
        </w:rPr>
      </w:pPr>
    </w:p>
    <w:p>
      <w:pPr>
        <w:ind w:left="640" w:hanging="315"/>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7"/>
          <w:szCs w:val="17"/>
          <w:color w:val="auto"/>
        </w:rPr>
        <w:t>inability to identify acquisition candidates on terms acceptable to us or at all, or inability to complete acquisitions as anticipated or at all;</w:t>
      </w:r>
    </w:p>
    <w:p>
      <w:pPr>
        <w:spacing w:after="0" w:line="12" w:lineRule="exact"/>
        <w:rPr>
          <w:rFonts w:ascii="Arial" w:cs="Arial" w:eastAsia="Arial" w:hAnsi="Arial"/>
          <w:sz w:val="20"/>
          <w:szCs w:val="20"/>
          <w:color w:val="auto"/>
        </w:rPr>
      </w:pPr>
    </w:p>
    <w:p>
      <w:pPr>
        <w:ind w:left="640" w:hanging="315"/>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inability to realize anticipated benefits or commercialize purchased technologies;</w:t>
      </w:r>
    </w:p>
    <w:p>
      <w:pPr>
        <w:spacing w:after="0" w:line="27" w:lineRule="exact"/>
        <w:rPr>
          <w:rFonts w:ascii="Arial" w:cs="Arial" w:eastAsia="Arial" w:hAnsi="Arial"/>
          <w:sz w:val="21"/>
          <w:szCs w:val="21"/>
          <w:color w:val="auto"/>
        </w:rPr>
      </w:pPr>
    </w:p>
    <w:p>
      <w:pPr>
        <w:ind w:left="640" w:hanging="315"/>
        <w:spacing w:after="0"/>
        <w:tabs>
          <w:tab w:leader="none" w:pos="6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exposure to operational risks, rules and regulations to the extent such activities are located in countries where we have not historically done business;</w:t>
      </w:r>
    </w:p>
    <w:p>
      <w:pPr>
        <w:spacing w:after="0" w:line="17" w:lineRule="exact"/>
        <w:rPr>
          <w:rFonts w:ascii="Arial" w:cs="Arial" w:eastAsia="Arial" w:hAnsi="Arial"/>
          <w:sz w:val="19"/>
          <w:szCs w:val="19"/>
          <w:color w:val="auto"/>
        </w:rPr>
      </w:pPr>
    </w:p>
    <w:p>
      <w:pPr>
        <w:ind w:left="640" w:hanging="315"/>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unknown, underestimated and/or undisclosed commitments or liabilities;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incurrence of debt, contingent liabilities or future write-offs of intangible assets or goodwill;</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dilution of ownership of our current stockholders if we issue shares of our common stock;</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higher than expected transaction costs; and</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ineffective integration of operations, technologies, products or employees of the acquired companies.</w:t>
      </w:r>
    </w:p>
    <w:p>
      <w:pPr>
        <w:spacing w:after="0" w:line="227"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addition, acquisitions may disrupt our ongoing operations, increase our expenses and/or harm our results of operations or financial condition.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market conditions can adversely affect our results of operations, financial condition and business.</w:t>
      </w:r>
    </w:p>
    <w:p>
      <w:pPr>
        <w:spacing w:after="0" w:line="232"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may exacerbate negative trends in consumer spending and may negatively impact the businesses of certain of our customers, which may cause a reduction in their use of our platforms or increase the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and</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may result in a more competitive environment, resulting in possible pricing pressures. Our business could be affected by acts of war, terrorism, natural disasters and the widespread outbreak of infectious diseases. Current world tensions could escalate, and this could have unpredictable consequences on the world economy and on our business.</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COVID-19 pandemic has created significant uncertainty in the global economy. The COVID-19 pandemic and health measures taken by governments and private industry in response to the pandemic, including stay-at-home orders, restrictions 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business operations, and travel restrictions, have had significant negative effects on the economy, including disruptions impacting various supply chains. Continued uncertainty about the pandemic, associated economic consequences, and potential relief measures may have a long-term adverse effect on the economy, our sellers, customers, suppliers, and our business. For example, we are currently subletting some of our office space. An economic downturn or our new work from home practices may cause us to need less office space than we are contractually committed to leasing and prevent us from finding subtenants for such unused office space, causing us to pay for unused office space. Rising tensions in the geopolitical climate have created significant uncertainty in the global economy. These or any further political or governmental developments or health concerns in countries could result in social,</w:t>
      </w:r>
    </w:p>
    <w:p>
      <w:pPr>
        <w:spacing w:after="0" w:line="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207"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including general liability, errors and omissions and cyber insurance may not totally protect us.</w:t>
      </w:r>
    </w:p>
    <w:p>
      <w:pPr>
        <w:spacing w:after="0" w:line="245" w:lineRule="exact"/>
        <w:rPr>
          <w:sz w:val="20"/>
          <w:szCs w:val="20"/>
          <w:color w:val="auto"/>
        </w:rPr>
      </w:pPr>
    </w:p>
    <w:p>
      <w:pPr>
        <w:jc w:val="both"/>
        <w:ind w:firstLine="38"/>
        <w:spacing w:after="0" w:line="251" w:lineRule="auto"/>
        <w:rPr>
          <w:sz w:val="20"/>
          <w:szCs w:val="20"/>
          <w:color w:val="auto"/>
        </w:rPr>
      </w:pPr>
      <w:r>
        <w:rPr>
          <w:rFonts w:ascii="Arial" w:cs="Arial" w:eastAsia="Arial" w:hAnsi="Arial"/>
          <w:sz w:val="18"/>
          <w:szCs w:val="18"/>
          <w:color w:val="auto"/>
        </w:rPr>
        <w:t>We cannot assure that our existing general liability insurance coverage, coverage for errors and omissions and cyber liability insurance will continue to be available on acceptable terms in sufficient amounts to cover one or more large claims, or that the insurer will not deny coverage as to any future claim. The successful assertion of one or more large claims against us that exceeds our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financial and operating difficulties in the telecommunications sector may negatively affect our customers and our company.</w:t>
      </w:r>
    </w:p>
    <w:p>
      <w:pPr>
        <w:spacing w:after="0" w:line="232"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telecommunications sector has at times faced significant challenges resulting from significant changes in technology and consumer behavior, excess capacity, poor operating results and financing difficulties. The sector’s financial status has also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206" w:lineRule="exact"/>
        <w:rPr>
          <w:sz w:val="20"/>
          <w:szCs w:val="20"/>
          <w:color w:val="auto"/>
        </w:rPr>
      </w:pPr>
    </w:p>
    <w:p>
      <w:pPr>
        <w:jc w:val="both"/>
        <w:ind w:firstLine="38"/>
        <w:spacing w:after="0" w:line="250" w:lineRule="auto"/>
        <w:rPr>
          <w:sz w:val="20"/>
          <w:szCs w:val="20"/>
          <w:color w:val="auto"/>
        </w:rPr>
      </w:pPr>
      <w:r>
        <w:rPr>
          <w:rFonts w:ascii="Arial" w:cs="Arial" w:eastAsia="Arial" w:hAnsi="Arial"/>
          <w:sz w:val="18"/>
          <w:szCs w:val="18"/>
          <w:b w:val="1"/>
          <w:bCs w:val="1"/>
          <w:i w:val="1"/>
          <w:iCs w:val="1"/>
          <w:color w:val="auto"/>
        </w:rPr>
        <w:t>The ongoing COVID-19 pandemic and measures intended to prevent its spread may have a material and adverse effect on our business and results of operations.</w:t>
      </w:r>
    </w:p>
    <w:p>
      <w:pPr>
        <w:spacing w:after="0" w:line="207" w:lineRule="exact"/>
        <w:rPr>
          <w:sz w:val="20"/>
          <w:szCs w:val="20"/>
          <w:color w:val="auto"/>
        </w:rPr>
      </w:pPr>
    </w:p>
    <w:p>
      <w:pPr>
        <w:jc w:val="both"/>
        <w:ind w:firstLine="357"/>
        <w:spacing w:after="0" w:line="269"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The pandemic has resulted in government authorities and businesses implementing numerous measures to try to contain the virus, such as travel bans and restrictions, quarantines, shelter in place or total lock-down orders, school closures, and business limitations and shutdowns. As a result, our supply chain, financial condition, revenues, profitability and cash flows could be adversely affected.</w:t>
      </w:r>
    </w:p>
    <w:p>
      <w:pPr>
        <w:spacing w:after="0" w:line="208" w:lineRule="exact"/>
        <w:rPr>
          <w:sz w:val="20"/>
          <w:szCs w:val="20"/>
          <w:color w:val="auto"/>
        </w:rPr>
      </w:pPr>
    </w:p>
    <w:p>
      <w:pPr>
        <w:jc w:val="both"/>
        <w:ind w:firstLine="357"/>
        <w:spacing w:after="0" w:line="266"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our customers, and the communities in which we participate, which could negatively impact our business. These measures include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w:t>
      </w:r>
    </w:p>
    <w:p>
      <w:pPr>
        <w:spacing w:after="0" w:line="215" w:lineRule="exact"/>
        <w:rPr>
          <w:sz w:val="20"/>
          <w:szCs w:val="20"/>
          <w:color w:val="auto"/>
        </w:rPr>
      </w:pPr>
    </w:p>
    <w:p>
      <w:pPr>
        <w:jc w:val="both"/>
        <w:ind w:firstLine="359"/>
        <w:spacing w:after="0" w:line="290" w:lineRule="auto"/>
        <w:rPr>
          <w:sz w:val="20"/>
          <w:szCs w:val="20"/>
          <w:color w:val="auto"/>
        </w:rPr>
      </w:pPr>
      <w:r>
        <w:rPr>
          <w:rFonts w:ascii="Arial" w:cs="Arial" w:eastAsia="Arial" w:hAnsi="Arial"/>
          <w:sz w:val="16"/>
          <w:szCs w:val="16"/>
          <w:color w:val="auto"/>
        </w:rPr>
        <w:t>The extent to which the COVID-19 pandemic impacts our business, results of operations, and financial condition will depend on developments that continue to be highly uncertain and difficult to predict, including, but not limited to, the duration and spread of the pandemic, its severity, the actions to contain the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customers, and recession or economic downturn.</w:t>
      </w:r>
    </w:p>
    <w:p>
      <w:pPr>
        <w:spacing w:after="0" w:line="191"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8"/>
          <w:szCs w:val="18"/>
          <w:color w:val="auto"/>
        </w:rPr>
        <w:t>There are no comparable recent events that provide guidance as to the effect the COVID-19 pandemic may have, and, as a result, the ultimate impact of the pandemic is highly uncertain and subject to change. We do not yet know the full extent of the impacts on our business, our operations, or the global economy as a whole. However, the effects could have a material impact on our results of operations and heighten many of the known risks described throughout this Risk Factors section.</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do not continue to improve our operational, financial and other internal controls and systems to manage our growth and size, our business, results of operations and financial condition could be adversely affected.</w:t>
      </w:r>
    </w:p>
    <w:p>
      <w:pPr>
        <w:spacing w:after="0" w:line="206" w:lineRule="exact"/>
        <w:rPr>
          <w:sz w:val="20"/>
          <w:szCs w:val="20"/>
          <w:color w:val="auto"/>
        </w:rPr>
      </w:pPr>
    </w:p>
    <w:p>
      <w:pPr>
        <w:jc w:val="both"/>
        <w:ind w:firstLine="359"/>
        <w:spacing w:after="0" w:line="329" w:lineRule="auto"/>
        <w:rPr>
          <w:sz w:val="20"/>
          <w:szCs w:val="20"/>
          <w:color w:val="auto"/>
        </w:rPr>
      </w:pPr>
      <w:r>
        <w:rPr>
          <w:rFonts w:ascii="Arial" w:cs="Arial" w:eastAsia="Arial" w:hAnsi="Arial"/>
          <w:sz w:val="16"/>
          <w:szCs w:val="16"/>
          <w:color w:val="auto"/>
        </w:rPr>
        <w:t>Our historic and anticipated growth will continue to place significant demands on our management and other resources and will require us to continue to develop and improve our operational, financial and other internal controls. In particular, our growth will increase the challenges involved in:</w:t>
      </w:r>
    </w:p>
    <w:p>
      <w:pPr>
        <w:spacing w:after="0" w:line="200" w:lineRule="exact"/>
        <w:rPr>
          <w:sz w:val="20"/>
          <w:szCs w:val="20"/>
          <w:color w:val="auto"/>
        </w:rPr>
      </w:pPr>
    </w:p>
    <w:p>
      <w:pPr>
        <w:ind w:left="640" w:hanging="315"/>
        <w:spacing w:after="0" w:line="233"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color w:val="auto"/>
        </w:rPr>
        <w:t>recruiting, training and retaining technical, finance, marketing and management personnel with the knowledge, skills and experience that our business model requires;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maintaining high levels of customer satisfaction;</w:t>
      </w:r>
    </w:p>
    <w:p>
      <w:pPr>
        <w:spacing w:after="0" w:line="28"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color w:val="auto"/>
        </w:rPr>
        <w:t>developing and improving our internal administrative infrastructure, particularly our financial, operational, communications and other internal systems;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preserving our culture, values and entrepreneurial environment; and</w:t>
      </w:r>
    </w:p>
    <w:p>
      <w:pPr>
        <w:spacing w:after="0" w:line="28" w:lineRule="exact"/>
        <w:rPr>
          <w:rFonts w:ascii="Arial" w:cs="Arial" w:eastAsia="Arial" w:hAnsi="Arial"/>
          <w:sz w:val="21"/>
          <w:szCs w:val="21"/>
          <w:color w:val="auto"/>
        </w:rPr>
      </w:pPr>
    </w:p>
    <w:p>
      <w:pPr>
        <w:ind w:left="640" w:hanging="315"/>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6"/>
          <w:szCs w:val="16"/>
          <w:color w:val="auto"/>
        </w:rPr>
        <w:t>effectively managing our personnel and operations and effectively communicating to our personnel worldwide our core values, strategies and goals.</w:t>
      </w:r>
    </w:p>
    <w:p>
      <w:pPr>
        <w:spacing w:after="0" w:line="234" w:lineRule="exact"/>
        <w:rPr>
          <w:sz w:val="20"/>
          <w:szCs w:val="20"/>
          <w:color w:val="auto"/>
        </w:rPr>
      </w:pPr>
    </w:p>
    <w:p>
      <w:pPr>
        <w:jc w:val="both"/>
        <w:ind w:firstLine="359"/>
        <w:spacing w:after="0" w:line="253" w:lineRule="auto"/>
        <w:rPr>
          <w:sz w:val="20"/>
          <w:szCs w:val="20"/>
          <w:color w:val="auto"/>
        </w:rPr>
      </w:pPr>
      <w:r>
        <w:rPr>
          <w:rFonts w:ascii="Arial" w:cs="Arial" w:eastAsia="Arial" w:hAnsi="Arial"/>
          <w:sz w:val="18"/>
          <w:szCs w:val="18"/>
          <w:color w:val="auto"/>
        </w:rPr>
        <w:t>In addition, the increasing size and scope of our operations increase the possibility that a member of our personnel will engage in unlawful or fraudulent activity, breach our contractual obligations, or otherwise expose us to unacceptable business risks, despite our efforts to train our people and maintain internal controls to prevent such instances. If we do not continue to develop and implement the right processes and tools to manage our enterprise, our business, results of operations and financial condition could be adversely affected.</w:t>
      </w:r>
    </w:p>
    <w:p>
      <w:pPr>
        <w:spacing w:after="0" w:line="2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The success of our business depends on the continued growth in demand for connected devices and the continued availability of high-speed access to the Internet.</w:t>
      </w:r>
    </w:p>
    <w:p>
      <w:pPr>
        <w:spacing w:after="0" w:line="206" w:lineRule="exact"/>
        <w:rPr>
          <w:sz w:val="20"/>
          <w:szCs w:val="20"/>
          <w:color w:val="auto"/>
        </w:rPr>
      </w:pPr>
    </w:p>
    <w:p>
      <w:pPr>
        <w:jc w:val="both"/>
        <w:ind w:firstLine="359"/>
        <w:spacing w:after="0" w:line="284" w:lineRule="auto"/>
        <w:rPr>
          <w:sz w:val="20"/>
          <w:szCs w:val="20"/>
          <w:color w:val="auto"/>
        </w:rPr>
      </w:pPr>
      <w:r>
        <w:rPr>
          <w:rFonts w:ascii="Arial" w:cs="Arial" w:eastAsia="Arial" w:hAnsi="Arial"/>
          <w:sz w:val="16"/>
          <w:szCs w:val="16"/>
          <w:color w:val="auto"/>
        </w:rPr>
        <w:t>The future success of our business depends upon the continued growth in demand for connected devices and business transactions on the Internet, and on our customers having high-speed access to the Internet, as well as the continued maintenance and development of the Internet infrastructure. While we believe the market for connected devices will continue to grow for the foreseeable future, we cannot accurately predict the extent to which demand for connected devices will increase, if at all. In particular, the current COVID-19 pandemic has caused disruptions in various supply chains. If the demand for connected devices were to slow down or decline or the supply of connected devices to our customers is impacted for any reason, such as COVID-19 or other public health epidemics or concerns, our business and results of operations may be adversely affected. If for any reason the Internet does not remain a widespread communications medium and commercial platform, the demand for our services would be significantly reduced, which would harm our business,</w:t>
      </w:r>
    </w:p>
    <w:p>
      <w:pPr>
        <w:spacing w:after="0" w:line="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results of operations and financial condition. To the extent the Internet continues to experience increased numbers of users, frequency of use or bandwidth requirements, the Internet may become congested and be unable to support the demands placed on it, and its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performance or reliability may decline. Any future Internet outages or delays could adversely affect our business, results of operation and financial condition.</w:t>
      </w:r>
    </w:p>
    <w:p>
      <w:pPr>
        <w:spacing w:after="0" w:line="268" w:lineRule="exact"/>
        <w:rPr>
          <w:sz w:val="20"/>
          <w:szCs w:val="20"/>
          <w:color w:val="auto"/>
        </w:rPr>
      </w:pPr>
    </w:p>
    <w:p>
      <w:pPr>
        <w:jc w:val="both"/>
        <w:ind w:firstLine="359"/>
        <w:spacing w:after="0" w:line="249" w:lineRule="auto"/>
        <w:rPr>
          <w:sz w:val="20"/>
          <w:szCs w:val="20"/>
          <w:color w:val="auto"/>
        </w:rPr>
      </w:pPr>
      <w:r>
        <w:rPr>
          <w:rFonts w:ascii="Arial" w:cs="Arial" w:eastAsia="Arial" w:hAnsi="Arial"/>
          <w:sz w:val="18"/>
          <w:szCs w:val="18"/>
          <w:color w:val="auto"/>
        </w:rPr>
        <w:t>Our business growth would be impeded if the performance or perception of the Internet was harmed by security problems such as “viruses,” “worms” or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the growth of our business and operating results may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SaaS pricing model is evolving and our failure to manage its evolution and demand could lead to lower than expected revenue and profit.</w:t>
      </w:r>
    </w:p>
    <w:p>
      <w:pPr>
        <w:spacing w:after="0" w:line="268"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We derive a portion of our revenue growth from subscription offerings and specifically SaaS offerings. This business model depends heavily on achieving economics of scale due to the initial upfront investment, and the associated revenue is recognized on a ratable basis. Our customers typically have no contractual obligation to renew their subscriptions after completion of their then-current subscription term. We may be unable to predict future customer renewal rates accurately. Our renewal rates may decline or fluctuate as a result of a number of actors, including our customers’ level of satisfaction with our offerings, our offerings’ inability to integrate with new or changing technologies, the prices of our offerings, competing products, reductions in our customers’ spending levels or general, industry-specific or local economic conditions. If we fail to achieve appropriate economics of scale or if we fail to manage or anticipate the evolution and demand of the SaaS pricing model, then our business and operating results could be adversely affected.</w:t>
      </w:r>
    </w:p>
    <w:p>
      <w:pPr>
        <w:spacing w:after="0" w:line="194"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Because subscription revenue related to our SaaS offerings is typically recognized ratably over time, we expect to experience near-term revenue growth as more customers move to our SaaS subscriptions. If the Company does not achieve near term growth, we may not be able to adjust our cost structure in response to changes in subscription agreements in a period. Also, since revenue from SaaS subscriptions is recognized over the term of their subscriptions, it is difficult for us to rapidly increase revenue through additional sales in any period. We forecast our future revenue and operating results and provide financial projections based on a number of assumptions, including a forecasted rate of subscription bookings. In addition, our subscription based offerings may be invoiced over multiple reporting periods, which could subject us to additional collection and credit risks, particularly if a customer does not plan to renew these subscriptions. If any of our assumptions about our business model or the estimated subscriptions are incorrect, our revenue and operating results may be impacted and could vary materially from those we provide as guidance or from those anticipated by investors and analysts. If we are unable to manage our SaaS pricing model in light of the foregoing risks and uncertainties, our business, results of operations and financial condition would be negatively impacted.</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business depends substantially on customers renewing and expanding their subscriptions for our services. Any decline in our customer renewals and expansions would harm our future operating results.</w:t>
      </w:r>
    </w:p>
    <w:p>
      <w:pPr>
        <w:spacing w:after="0" w:line="20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We enter into subscription agreements with certain of our customers that are generally one to two years. As a result, maintaining the renewal rate of those subscription agreements is critical to our future success. We cannot provide assurance that any of our customer agreements will be renewed, as our customers have no obligation to renew their subscriptions for our services after the expiration of the initial term of their agreements. The loss of any customers that individually or collectively account for a significant amount of our revenues would have a material adverse effect on our results of operations or financial condition. If our renewal rates are lower than anticipated or decline for any reason, or if customers renew on terms less favorable to us, our revenue may decrease, and our profitability and gross margin may be harmed, which would have a material adverse effect on our business,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compete successfully with existing or new competitors, our business could be harmed.</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If we fail to compete successfully with established or new competitors, it could have a material adverse effect on our results of operations and financial condition. The industries in which we operate are highly competitive and fragmented, and we expect competition to increase. We compete with independent providers of information systems and services and with the in-house departments of our OEMs and communications services companies’ customers. Rapid technological changes, such as advancements in software integration across multiple and incompatible systems, and economies of scale may make it more economical for CSPs, MSOs or OEMs to develop their own in-house processes and systems, which may render some of our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products and services less valuable or, eventually, obsolete. Our competitors include firms that provide comprehensive information systems and managed services solutions, BYOD providers, systems integrators, clearinghouses and service bureaus. Many of our competitors have long operating histories, large customer bases, substantial financial, technical, sales, marketing and other resources and strong name recognition.</w:t>
      </w:r>
    </w:p>
    <w:p>
      <w:pPr>
        <w:spacing w:after="0" w:line="198"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Current and potential competitors have established, and may establish in the future, cooperative relationships among themselves or with third parties to increase their ability to address the needs of our current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prices of our products and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our customers could result in a substantial reduction in or the outright termination of our contracts with some of our customers, which would have a significant, negative and material impact on our business, results of operations and financial condition.</w:t>
      </w:r>
    </w:p>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markets in which we market and sell our products and services are highly competitive, and if we do not adapt to rapid technological change, we could lose customers or market share, which could adversely affect our ability to sustain or grow revenue.</w:t>
      </w:r>
    </w:p>
    <w:p>
      <w:pPr>
        <w:spacing w:after="0" w:line="183"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The industries we serve are characterized by rapid technological change and frequent new service offerings and are highly competitive with respect to the need for innovation. Significant technological changes could make our technology and services obsolete, less marketable or less competitive. We must adapt to these rapidly changing markets by continually improving the features, functionality, reliability and responsiveness of our products and services, and by developing new features, services and applications to meet changing customer needs and further address the markets we serve. Our ability to take advantage of opportunities in the markets we serve may require us to invest in development and incur other expenses well in advance of our ability to generate revenues from these offerings or services. We may not be able to timely adapt to these challenges or respond successfully or in a cost-effective way. Our failure to do so would adversely affect our ability to compete and retain customers and/or market share and could adversely affect our ability to sustain or grow revenue. In addition, as we expand our service offerings, we may face competition from new and existing competitors. It is also possible that our customers could decide to create, invest in or collaborate in the creation of competitive products that might limit or reduce their need for our products, services and solutions. Further, we may experience delays in the development of one or more features of our offerings, which could materially reduce the potential benefits to us providing these services. In addition, our present or future service offerings may not satisfy the evolving needs of the industry in which we operate. If we are unable to anticipate or respond adequately to these evolving market needs, due to resource, technological or other constraints, our business and results of operations could be harmed. In addition, the arrival of new market entrants could reduce the demand for our services or cause us to reduce our pricing, resulting in a loss of revenue and adversely affecting our business, results of operations and financial condition. Also, the use of internal technologies, developed by our customers or their advisers, could reduce the demand for our services, result in pricing pressures or cause a reduction in our revenue. If we fail to manage these challenges adequately, our business, results of operations and financial condition could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success of our business depends on our ability to achieve or sustain market acceptance of our services and solutions at desired pricing levels.</w:t>
      </w:r>
    </w:p>
    <w:p>
      <w:pPr>
        <w:spacing w:after="0" w:line="29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Our competitors and customers may cause us to reduce the prices we charge for our services and solutions. Our current or future competitors may offer our customers services at reduced prices or bundling and pricing services in a manner that may make it difficult for us to compete. Customers with a significant volume of transactions may attempt to use this leverage in pricing negotiations with us. Also, if our prices are too high, current or potential customers may find it economically advantageous to handle certain functions internally instead of using our services. We may not be able to offset the effects of any price reductions by increasing the number of transactions we handle or the number of customers we serve, by generating higher revenue from enhanced services or by reducing our costs. If these or other sources of pricing pressure cause us to reduce the pricing of our service or solutions below desirable levels, our business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fail to keep pace with technological advances in the industry, or if we pursue technologies that do not become commercially accepted, customers may not buy our products or use our services.</w:t>
      </w:r>
    </w:p>
    <w:p>
      <w:pPr>
        <w:spacing w:after="0" w:line="206"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telecommunications industry uses numerous and varied technologies, and large service providers often invest in several, and sometimes incompatible, technologies. The industry also demands frequent and, at times, significant technology upgrades. Furthermore, enhancing our services revenues requires that we develop and maintain leading tools. We will not have the resources to invest in all existing and potential technologies. As a result, we expect to concentrate our resources on those technologies that we believe have or will achieve substantial customer acceptance and in which we will have appropriate technical expertise. However, existing products often have short product life cycles characterized by declining prices over their lives. In addition, our choices for developing technologies may prove incorrect if customers do not adopt the products that we develop or if those technologies ultimately prove to be unviable. Our revenues and operating results will depend, to a significant extent, on our ability to maintain a product portfolio and service capability that is attractive to our current and future customers; to enhance our existing products; to continue to introduce new products successfully and on a timely basis;</w:t>
      </w:r>
    </w:p>
    <w:p>
      <w:pPr>
        <w:jc w:val="both"/>
        <w:spacing w:after="0" w:line="272" w:lineRule="auto"/>
        <w:rPr>
          <w:sz w:val="20"/>
          <w:szCs w:val="20"/>
          <w:color w:val="auto"/>
        </w:rPr>
      </w:pPr>
      <w:r>
        <w:rPr>
          <w:rFonts w:ascii="Arial" w:cs="Arial" w:eastAsia="Arial" w:hAnsi="Arial"/>
          <w:sz w:val="17"/>
          <w:szCs w:val="17"/>
          <w:color w:val="auto"/>
        </w:rPr>
        <w:t>and to develop new or enhance existing tools for our services offerings. The development of new technologies remains a significant risk to us, due to the efforts that we still need to make to achieve technological feasibility, due to rapidly changing customer markets; and due to significant competitive threats. Our failure to bring these products to market in a timely manner could result in a loss of market share or a lost opportunity to capitalize on new markets for emerging technologies and could have a material adverse impact on our business, operating results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Though acceptance of cloud-based software has advanced in recent years, some businesses may still be hesitant to adopt these types of solutions.</w:t>
      </w:r>
    </w:p>
    <w:p>
      <w:pPr>
        <w:spacing w:after="0" w:line="291"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Our cloud-based service strategy may not be successful. We enable our customers to offer their subscribers the ability to backup, restore and share content across multiple devices through a cloud-based environment. Some businesses may still be uncertain as to whether a cloud-based service like ours is appropriate for their business needs. The success of our offerings is dependent upon continued acceptance by and growth in subscribers of cloud-based services in general and there can be no guarantee of the adoption rate by these subscribers. Many organizations have invested substantial personnel and financial resources to integrate traditional enterprise software into their organizations and, therefore, may be reluctant or unwilling to migrate to a cloud-based model for storing, accessing, sharing and managing their content. Because we derive, and expect to continue to derive, a substantial portion of our revenue and cash flows from sales of our cloud-based solutions, our success will depend to a substantial extent on the widespread adoption of cloud computing for companies in general. Our cloud strategy will continue to evolve, and we may not be able to compete effectively, generate significant revenues or maintain profitability. While we believe our expertise, investments in infrastructure, and the breadth of our cloud-based services provides us with a strong foundation to compete, it is uncertain whether our strategies will attract the users or generate the revenue required to be successful. In addition to software development costs, we incur costs to build and maintain infrastructure to support cloud-based services. It is difficult to predict customer adoption rates and demand for our services, the future growth rate and size of the cloud computing market or the entry of competitive services. The expansion of a cloud-based enterprise software market depends on a number of factors, including the cost, performance and perceived value associated with cloud computing, as well as the ability of companies that provide cloud-based services to address security and privacy concerns. If we or other providers of cloud-based services experience security incidents, loss of customer data, disruptions in delivery or other problems, the market for cloud-based services as a whole, including our services, may be negatively affected. If there is a reduction in demand for cloud-based services caused by a lack of customer acceptance, technological challenges, weakening economic conditions, security or privacy concerns, competing technologies and products, decreases in corporate spending or otherwise, we could experience decreased revenue, which could harm our growth rates and adversely affect our business and operating results.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rely in part on strategic relationships with third parties to sell and deliver our solutions. If we are unable to successfully develop and maintain these relationships, our business may be harmed.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In addition to generating customer referrals through third-party users of our solutions, we intend to pursue relationships with other third parties such as technology and content providers and implementation and distribution partners. Our future growth will depend, at least in part, on our ability to enter into and maintain successful strategic relationships with these third parties. Identifying partners and negotiating and documenting relationships with them requires significant time and resources, as does integrating third-party content and technology. Some of the third parties with whom we have strategic relationships have entered and may continue to enter into strategic relationships with our competitors. Further, these third parties may have multiple strategic relationships and may not regard us as significant for their businesses. As a result, they may choose to offer their services on terms that are unfavorable to us, terminate their respective relationships with us, pursue other partnerships or relationships, or attempt to develop or acquire services or solutions that compete with ours. Our relationships with strategic</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partners could also interfere with our ability to enter into desirable strategic relationships with other potential partners in the future. If we are unsuccessful in establishing or maintaining relationships with strategic partners on favorable economic terms, our ability to compete in the marketplace or to grow our revenue could be impaired, and our business, results of operations and financial condition would suffer. Even if we are successful, we cannot provide assurance that these relationships will result in increased revenue or customer usage of our solutions or that the economic terms of these relationships will not adversely affect our margins.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do not maintain the compatibility of our services with third-party applications that our customers use in their business processes or if we fail to adapt our services to changes in technology or the marketplace, demand for our services could decline.</w:t>
      </w:r>
    </w:p>
    <w:p>
      <w:pPr>
        <w:spacing w:after="0" w:line="206"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Our solutions can be used alongside a wide range of other systems such as email and enterprise software systems used by our customers in their businesses. If we do not support the continued integration of our products and services with third-party applications, including through the provision of application programming interfaces that enable data to be transferred readily between our services and third-party applications, demand for our services could decline and we could lose sales or experience declining renewal rates. We will also be required to make our products and services compatible with new or additional third-party applications that are introduced to the markets that we serve and, if we are not successful, we could experience reduced demand for our services. In addition, prospective customers, especially large enterprise customers, may require heavily customized features and functions unique to their business processes. If prospective customers require customized features or functions that we do not offer and that would be difficult for them to develop and integrate within our services, then the market for our products and services may be adversely affected.</w:t>
      </w:r>
    </w:p>
    <w:p>
      <w:pPr>
        <w:spacing w:after="0" w:line="200"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We may not currently or in the future appropriately leverage advances in technology to achieve or sustain a competitive advantage in products, services, information and processes. Our customers and users regularly adopt new technologies and industry standards continue to evolve. The introduction of products or services and the emergence of new industry standards can render our existing services obsolete and unmarketable in short periods of time. We expect others to continue to develop and introduce new and enhance existing products and services that will compete with our services. Our future success will depend, in part, on our ability to enhance our current services and to develop and introduce new services that keep pace with technological developments, emerging industry standards and the needs of our customers. We cannot assure that we will be successful in cost-effectively developing, marketing and selling new services or service enhancements that meet these changing demands on a timely basis, that we will not experience difficulties that could delay or prevent the successful development, introduction and marketing of these services, or that our new service and service enhancements will adequately meet the demands of the marketplace and achieve market acceptance. We also cannot assure that the features that we believe will drive purchasing decisions will in fact be the features that our current or potential customers consider most significant.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2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Government regulation of the Internet and e-commerce and of the international exchange of certain information is subject to possible unfavorable changes, and our failure to comply with applicable regulations could harm our business and operating results.</w:t>
      </w:r>
    </w:p>
    <w:p>
      <w:pPr>
        <w:spacing w:after="0" w:line="183" w:lineRule="exact"/>
        <w:rPr>
          <w:sz w:val="20"/>
          <w:szCs w:val="20"/>
          <w:color w:val="auto"/>
        </w:rPr>
      </w:pPr>
    </w:p>
    <w:p>
      <w:pPr>
        <w:jc w:val="both"/>
        <w:ind w:firstLine="319"/>
        <w:spacing w:after="0" w:line="336" w:lineRule="auto"/>
        <w:rPr>
          <w:sz w:val="20"/>
          <w:szCs w:val="20"/>
          <w:color w:val="auto"/>
        </w:rPr>
      </w:pPr>
      <w:r>
        <w:rPr>
          <w:rFonts w:ascii="Arial" w:cs="Arial" w:eastAsia="Arial" w:hAnsi="Arial"/>
          <w:sz w:val="14"/>
          <w:szCs w:val="14"/>
          <w:color w:val="auto"/>
        </w:rPr>
        <w:t>As Internet commerce continues to evolve, increasing regulation by federal, state, local and foreign governments become more likely. For example, in recent years, numerous federal, state, local and foreign laws regarding privacy and the collection, processing, storage, sharing, disclosure, use or protection of personal information and other data have been enacted. The scope of these laws is expanding, they are subject to differing interpretations and may be costly to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comply with and may be inconsistent between countries and jurisdictions or conflict with other rules. Further, laws and regulations applying to the solicitation, collection, processing or use of personal or consumer information could affect our customers’ ability to use and share data, potentially reducing demand for our products and services. In addition, taxation of products and services provided over the Internet or other charges imposed by government agencies or by private organizations for accessing the Internet may also be imposed. Any regulation imposing greater fees for Internet use or restricting the exchange of information over the Internet could result in reduced growth or a decline in the use of the Internet and could diminish the viability of our Internet-based services, which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w:t>
      </w:r>
    </w:p>
    <w:p>
      <w:pPr>
        <w:spacing w:after="0" w:line="207"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antitrust laws, workplace safety, product safety, environmental laws, consumer protection laws, anti-bribery laws, import/export controls, federal securities laws and tax laws and regulations. In certain jurisdictions, these regulatory requirements may be more stringent than in the United States. Noncompliance with applicable regulations or requirements could subject us to investigations, sanctions, mandatory product recalls, enforcement actions, disgorgement of profits, fines, damages and civil and criminal penalties or injunctions. If any governmental sanctions are imposed, or if we do not prevail in any possible civil or criminal litigation, our business, reputation, operating results and financial condition could be adversely affected. In addition, responding to any action will likely result in a significant diversion of management’s attention and resources and an increase in third-party professional fees. Enforcement actions and sanctions could harm our business, operating results and financial condition.</w:t>
      </w:r>
    </w:p>
    <w:p>
      <w:pPr>
        <w:spacing w:after="0" w:line="197"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8"/>
          <w:szCs w:val="18"/>
          <w:color w:val="auto"/>
        </w:rPr>
        <w:t>These laws and regulations impose added costs on our business, and failure to comply with these or other applicable regulations and requirements, could lead to claims for damages from our channel partners, penalties or termination of contracts. Any such damages, penalties, disruptions or limitations in our ability to do business could have an adverse effect on our business and operating results.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Changes in laws, regulations or governmental policy applicable to our customers or potential customers may decrease the demand for our solutions or increase our costs.</w:t>
      </w:r>
    </w:p>
    <w:p>
      <w:pPr>
        <w:spacing w:after="0" w:line="207"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The level of our customers’ and potential customers’ activity in the business processes our services are used to support is sensitive to many factors beyond our control, including governmental regulation and regulatory policies. Many of our customers and potential customers in the telecommunications and other industries are subject to substantial regulation and may be the subject of further regulation in the future. Accordingly, significant new laws or regulations or changes in, or repeals of, existing laws, regulations or governmental policy may change the way these customers do business and could cause the demand for and sales of our solutions to decrease. Any change in the scope of applicable regulations that either decreases the volume of transactions that our customers or potential customers enter into or otherwise negatively impacts their use of our solutions would have a material adverse effect on our revenues or gross margins, or both. Moreover, complying with increased or changed regulations could cause our operating expenses to increase as we may have to reconfigure our existing services or develop new services to adapt to new regulatory rules and policies, either of which would require additional expense and time. Additionally, the information provided by, or residing in, the software or services we provide to our customers could be deemed relevant to a regulatory investigation or other governmental or private legal proceeding involving our customers, which could result in requests for information from us that could be expensive and time consuming for us to address or harm our reputation since our customers rely on us to protect the confidentiality of their information. These types of changes could adversely affect our business, results of operations and financial condition.</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expansion into additional international markets may be subject to uncertainties that could increase our costs to comply with regulatory requirements in foreign jurisdictions, disrupt our operations and require increased focus from our management.</w:t>
      </w:r>
    </w:p>
    <w:p>
      <w:pPr>
        <w:spacing w:after="0" w:line="206"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Our growth strategy includes the growth of our operations in foreign jurisdictions. International operations are subject to numerous additional risks, including economic and political risks in foreign jurisdictions in which we operate or seek to operate, potential additional costs due to localization and other geographic specific costs, difficulty in enforcing contracts and collecting receivables through some foreign legal and financial systems, unexpected changes in legal and regulatory requirements, differing technology standards and pace of adoption, fluctuations in currency exchange rates, varying regional and geopolitical business conditions and demands. The difficulties associated with managing a large organization spread throughout various countries and potential tax issues, including restrictions on repatriating earnings and multiple changing and complex tax laws and regulations, and the differences in foreign laws and regulations, including foreign tax, data privacy requirements, anti-competition, intellectual property, labor, trade and other laws. Additionally, compliance with international and U.S. laws and regulations that apply to our international operations may increase our cost of doing business in foreign jurisdictions. Violation of these laws and regulations could result in fines, criminal sanctions against us, our officers or our employees, or prohibitions on the conduct of our business. Sanctions imposed by the United States and other countries with respect to countries involved in conflict may impact our ability to offer services in the region, and additional sanctions or retaliatory measures could be imposed in the future. Further instability or tension in the geopolitical climate could also cause us to adjust our operating model, which would increase our costs of operations. As we continue to expand our business globally, our success will depend, in large part, on our ability to anticipate and effectively manage these and other risks associated with</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operations. However, any of these factors could adversely affect our international operations and, consequently, our operating results.</w:t>
      </w:r>
    </w:p>
    <w:p>
      <w:pPr>
        <w:spacing w:after="0" w:line="268" w:lineRule="exact"/>
        <w:rPr>
          <w:sz w:val="20"/>
          <w:szCs w:val="20"/>
          <w:color w:val="auto"/>
        </w:rPr>
      </w:pPr>
    </w:p>
    <w:p>
      <w:pPr>
        <w:jc w:val="both"/>
        <w:spacing w:after="0" w:line="391" w:lineRule="auto"/>
        <w:rPr>
          <w:sz w:val="20"/>
          <w:szCs w:val="20"/>
          <w:color w:val="auto"/>
        </w:rPr>
      </w:pPr>
      <w:r>
        <w:rPr>
          <w:rFonts w:ascii="Arial" w:cs="Arial" w:eastAsia="Arial" w:hAnsi="Arial"/>
          <w:sz w:val="14"/>
          <w:szCs w:val="14"/>
          <w:b w:val="1"/>
          <w:bCs w:val="1"/>
          <w:i w:val="1"/>
          <w:iCs w:val="1"/>
          <w:color w:val="auto"/>
        </w:rPr>
        <w:t>Failure to comply with anticorruption and anti-money laundering laws, including the U.S. Foreign Corrupt Practices Act of 1977, as amended ("FCPA"), and similar laws associated with our activities outside of the United States could subject us to penalties and other adverse consequences.</w:t>
      </w:r>
    </w:p>
    <w:p>
      <w:pPr>
        <w:spacing w:after="0" w:line="114"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6"/>
          <w:szCs w:val="16"/>
          <w:color w:val="auto"/>
        </w:rPr>
        <w:t>We are subject to the FCPA, the U.S. domestic bribery statute contained in 18 U.S.C. § 201, the U.S. Travel Act, the USA PATRIOT Act, the United Kingdom Bribery Act of 2010 ("U.K. Bribery Act") and possibly other anti-bribery and anti-money laundering laws in countries in which we conduct activities. We face significant risks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In addition, we use various third parties to sell our solutions and conduct our business abroad. We or our third-party intermediaries may have direct or indirect interactions with officials and employees of government agencies or state-owned or affiliated entities and we can be held liable for the corrupt or other illegal activities of these third-party intermediaries, our employees, representatives, contractors, partners and agents, even if we do not explicitly authorize such activities. We continue to update and implement our FCPA/anti-corruption compliance program and no assurance can be given that all of our employees and agents, as well as those companies to which we outsource certain of our business operations, will not take actions in violation of our policies and applicable law, for which we may be ultimately held responsible.</w:t>
      </w:r>
    </w:p>
    <w:p>
      <w:pPr>
        <w:spacing w:after="0" w:line="204" w:lineRule="exact"/>
        <w:rPr>
          <w:sz w:val="20"/>
          <w:szCs w:val="20"/>
          <w:color w:val="auto"/>
        </w:rPr>
      </w:pPr>
    </w:p>
    <w:p>
      <w:pPr>
        <w:jc w:val="both"/>
        <w:ind w:firstLine="319"/>
        <w:spacing w:after="0" w:line="236" w:lineRule="auto"/>
        <w:rPr>
          <w:sz w:val="20"/>
          <w:szCs w:val="20"/>
          <w:color w:val="auto"/>
        </w:rPr>
      </w:pPr>
      <w:r>
        <w:rPr>
          <w:rFonts w:ascii="Arial" w:cs="Arial" w:eastAsia="Arial" w:hAnsi="Arial"/>
          <w:sz w:val="18"/>
          <w:szCs w:val="18"/>
          <w:color w:val="auto"/>
        </w:rPr>
        <w:t>Any violation of the FCPA, other applicable anticorruption laws and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reputation, brand, business, operating results and prospects. In addition, responding to any enforcement action may result in a materially significant diversion of management’s attention and resources and significant defense costs and other third-party professional fees.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207"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Our success depends to a significant degree upon the protection of our software and other proprietary technology rights. We rely on trade secret, copyright and trademark laws and confidentiality agreements with employees and third parties, all of which offer only limited protection. We also regularly file patent applications to protect inventions arising from our research and development and have obtained a number of patents in the United States and other countries. There can be no assurance that our patent applications will be approved, that any issued patents will adequately protect our intellectual property, or that our patents will not be challenged by third parties. Also, much of our business and many of our solutions rely on key technologies developed or licensed by third or other parties and we may not be able to obtain or continue to obtain licenses and technologies from these third parties at all or on reasonable terms.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This type of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collect, process, store, disclose and use personal information and other data, and our actual or perceived failure to protect this information and data could damage our reputation and harm our business and operating results.</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collect, process, store, disclose and use personal information and other data provided by our customers and their end users. We rely on encryption and authentication technology licensed from third parties to effectively secure transmission of this information. There are numerous federal, state, local and foreign laws regarding privacy and the collection, processing, storage, sharing, disclosure, use or protection of personal information and other data. The scope of these laws is changing, they are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subject to differing interpretations and they may be costly to comply with and may be inconsistent between countries and jurisdictions or conflict with other rules.</w:t>
      </w:r>
    </w:p>
    <w:p>
      <w:pPr>
        <w:spacing w:after="0" w:line="206"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 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and the Health Insurance Portability and Accountability Act,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203"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laws and regulations relating to privacy and data security are evolving, can be subject to significant change, and may result in ever-increasing regulatory and public scrutiny and escalating levels of enforcement and sanctions. The CCPA, in particular, appears to have marked the beginning of a trend toward more stringent state privacy legislation in the United States, which could in certain circumstances increase our potential liability and adversely affect our business. For instance, Virginia enacted the Virginia Consumer Data Protection Act, or the CDPA, and, most recently, Colorado passed the Colorado Privacy Act, or CPA, both comprehensive state privacy laws with an effective date of July 1, 2023. The CCPA, CPRA, CDPA, and CPA may increase our compliance costs and potential liability, particularly in the event of a data breach, and could have a material adverse effect on our business, including how we use personal information, our financial condition, the results of our operations or prospects. This trend, further,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97"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Many of the foreign jurisdictions where we or our customers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Synchronoss has multiple offices in Europe and serves clients and their customers throughout the European Union (“EU”), where the GDPR went into effect in 2018. The GDPR, which also is the law in Iceland, Norway, and Liechtenstein, has an extensive global reach and imposes robust obligations relating to the processing of personal information, including documentation requirements, greater control for data subjects (e.g., the rights to be forgotten and to data portability), security requirements, notice requirements, restrictions on sharing personal information, data governance obligations, data breach notification requirements, and restrictions on the export of personal information to other countries (discussed in further detail below).The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20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European Economic Area (“EEA”) to locations where we or our customers operate or conduct business, including the United States and potentially Singapore, particularly with respect to cross-border transfers. Under the GDPR, such transfers can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take place only if certain conditions apply or if certain data transfer mechanisms are in place. In July 2020, the Court of Justice of the European Union ruled in its “Schrems II” decision (C-311/18), that the Privacy Shield was invalid and could no longer be relied upon as a basis for international transfers due to the breadth of United States surveillance laws. In September 2020, the Federal Data Protection and Information Commissioner of Switzerland (where the law has a similar restriction on the export of personal information) issued an opinion concluding that the Swiss-U.S. Privacy Shield Framework, similarly, does not provide an adequate level of protection for data transfers from Switzerland to the United States pursuant to Switzerland’s Federal Act on Data Protection. Synchronoss and our customers continue to use alternative transfer strategies, including the European Commission’s Standard Contractual Clauses (“SCCs”), while the authorities interpret the Schrems II decision and the validity of alternative data transfer mechanisms. Use of such data transfer mechanisms must now be assessed on a case-by-case basis taking into account the legal regime applicable in the destination country, in particular applicable surveillance laws and rights of individuals, and additional measures and/or contractual provisions may need to be put in place. As a result, we may experience hesitancy, reluctance, or refusal by European or multi-national customers to continue to use our products due to the potential risk exposure to such customers arising from shifting business sentiment in the EEA regarding international data transfers and the data protection obligations imposed on them. We may, further, find it necessary to establish systems to maintain personal data originating from the EEA in the EEA, which may involve substantial expense and may cause us to need to divert resources from other aspects of our business, all of which may adversely affect our business. The SCCs, moreover, though previously approved by the European Commission, have faced challenges in European courts (including being called into question in the Schrems II decision), and may be further challenged, suspended or invalidated for transfers to some or all countries. For example, guidance regarding Schrems II issued by the European Data Protection Board (which is comprised of representatives from every EU member state’s top data protection authority) have cast serious doubt on the validity of SCCs for most transfers of personal information to the United States. Further, the European Commission published new versions of the SCCs on June 4, 2021, which required implementation by September 27, 2021 for new transfers, and by December 2022 for all existing transfers. These recent developments require us to review and amend our uses of SCCs involving the transfer of EEA data outside of the EEA, which could increase our compliance costs and adversely affect our business, and we and our customers may face a risk of enforcement actions taken by European data protection authorities until the time, if any, that personal data transfers to us and by us from the EEA are legitimized under European law. At present, there are few viable alternatives to the Privacy Shield and the SCCs, so such developments may necessitate further expenditures on local infrastructure, changes to internal business processes, changes to products, or may otherwise affect or restrict our sales and operations.</w:t>
      </w:r>
    </w:p>
    <w:p>
      <w:pPr>
        <w:spacing w:after="0" w:line="213"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225"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In addition, further to the United Kingdom's (“UK”) exit from the EU on January 31, 2020, the GDPR ceased to apply in the UK at the end of the transition period on December 31, 2020. However, as of January 1, 2021, the UK’s European Union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The EU issued an adequacy decision in June 2021 in favor of the UK permitting data transfers from the EEA to the UK. However, this adequacy decision is subject to a four-year term, and the EU could intervene during the term if it determines that the data protection laws in the UK are not sufficient. If the adequacy decision is not renewed after its term, or the EU intervenes during the term, data may not be able to flow freely from the EEA to the UK unless additional measures are taken. In which case, we may be required to find alternative solutions for the compliant transfer of personal data into the UK from the EEA. Non-compliance with the UK GDPR may result in monetary penalties of up to £17.5 million or 4% of worldwide revenue, whichever is higher. Like the EU GDPR, the UK GDPR restricts personal data transfers outside the UK to countries not regarded by the UK as providing adequate protection (this means that personal data transfers from the UK to the EEA remain free flowing).</w:t>
      </w:r>
    </w:p>
    <w:p>
      <w:pPr>
        <w:spacing w:after="0" w:line="214"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could become less aligned with the EU General Data Protection Regulation, or GDPR, which could require us to implement different compliance measures for the UK and the European Union and result in potentially enhanced compliance obligations for EU personal data.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In addition to the EU and UK, a growing number of other global jurisdictions are considering or have passed legislation implementing data protection requirements or requiring local storage and processing of data or similar requirements that could increase the cost and complexity of delivering our offerings.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offerings, harm to our reputation, and become subject to investigations, claims, and other remedies, which would expose us to significant fines, penalties, and other damages, all of which would harm our business.</w:t>
      </w:r>
    </w:p>
    <w:p>
      <w:pPr>
        <w:spacing w:after="0" w:line="22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also depend on a number of third parties in relation to the operation of our business, a number of which process personal data on our behalf or as our sub-processor. To the extent required by applicable law, we attempt to mitigate the associated risks of using third parties by performing security assessments and detailed due diligence, entering into contractual arrangements to ensure that providers only process personal data according to our instructions or equivalent instructions to the instructions of our customer (as applicable), and that they have sufficient technical and organizational security measures in place. Where we transfer personal data outside the EEA or the UK to such third parties, we do so in compliance with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under the GDPR, UK GDPR, or other laws outlined above.</w:t>
      </w:r>
    </w:p>
    <w:p>
      <w:pPr>
        <w:spacing w:after="0" w:line="200"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As noted above, 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to preserve and protect our data and our clients’ and client customers’ data against loss, misuse, corruption, misappropriation caused by systems failures, or unauthorized access. If our policies, procedures, or measures relating to privacy, data protection, marketing, or client communications fail to comply with laws, regulations, policies, legal obligations, or industry standards, we may be subject to governmental enforcement actions, litigation, regulatory investigations, fines, penalties, and negative publicity, and could cause our application providers, clients and partners to lose trust in us, and have an adverse effect on our business, operating results, and financial condition.</w:t>
      </w:r>
    </w:p>
    <w:p>
      <w:pPr>
        <w:spacing w:after="0" w:line="194"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In addition to government regulation, privacy advocates and industry groups may propose new and different self-regulatory standards that, if adopted, may apply to us, or which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products.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products, possibly in a material manner, and could limit our ability to develop new functionality.</w:t>
      </w:r>
    </w:p>
    <w:p>
      <w:pPr>
        <w:spacing w:after="0" w:line="199"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Compromises to our privacy safeguards or disclosure of confidential information could impact our reputation.</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Names, addresses, telephone numbers, credit card data and other personal identification information are collected, processed and stored in our systems. Our treatment of this kind of information is subject to contractual restrictions and federal, state and foreign data privacy laws and regulations. Advances in technology, the expertise of criminals, new discoveries in the field of cryptography, acts or omissions by our employees, contractors or service providers or other events or developments could result in a compromise or breach in the security of confidential or sensitive information. Our security measures and those of our service providers may be breached or compromised by individuals or groups of hackers, including sophisticated organizations and nation states, or compromised by personnel error or malfeasance. Techniques used to compromise or sabotage systems change frequently and generally are not recognized until launched against a target. As a result, we may be unable to anticipate these techniques or to implement adequate preventative measures. We and our service providers, therefore, may not be able to prevent third parties, including criminals, competitors or others, from breaking into or altering our systems, conducting denial-of-service attacks, attempting to gain access to our systems, information or monetary funds through phishing or social engineering campaigns, installing viruses or malicious software on our website or devices used by our employees or contractors, or carrying out other activity intended to disrupt our systems or gain access to confidential or sensitive information in our or our service providers’ systems. Furthermore, such third parties may further engage in various other illegal activities using such information, including credit card fraud, which may cause additional harm to us, our users and our brand. Third parties may attempt to fraudulently induce our or our service providers’ employees to misdirect funds or to disclose information in order to gain access to personal data we maintain about our users or website users.</w:t>
      </w:r>
    </w:p>
    <w:p>
      <w:pPr>
        <w:spacing w:after="0" w:line="202"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Any accidental unauthorized access to or disclosure, loss, disablement or encryption of, acquisition, use or misuse of or modification of confidential or sensitive information, processing or destruction of this information, or unavailability of information that we or our partners could experience or the perception that one has occurred or may occur, could expose us to regulatory actions, litigation, investigations, remediation obligations, damage to our reputation and brand, supplemental disclosure obligations, loss of customer, consumer and partner confidence in the security of our applications, destruction of information, indemnity obligations, impairment to our business and resulting fees, costs, expenses, loss of revenues and other potential liabilities. Moreover, there could be public announcements regarding any such incidents and any steps we take to respond to or remediate such incidents. Security incidents could disrupt operation of our products or result in unauthorized access to, unauthorized use or disclosure of, the inaccessibility of or loss of our or our partners’ and users’ sensitive and confidential information (including intellectual property and personal information). Consequences of these incidents can include damage to our reputation, early termination of our contracts, loss of business, litigation, regulatory investigations and other liabilities. Even a perceived security incident could damage the market perception of our business and adversely impact our results of operations and financial condition. Our efforts to detect, prevent and remediate known or potential security vulnerabilities may result in additional direct and indirect costs. Finally, if a high profile security breach occurs with respect to other similarly situated services, our users and potential users may lose trust in the security of such services generally, which could adversely impact our ability to retain existing users or attract new ones.</w:t>
      </w:r>
    </w:p>
    <w:p>
      <w:pPr>
        <w:spacing w:after="0" w:line="20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We devote financial and personnel resources to implement and maintain security measures. While we have security measures in place that are designed to protect against these risks, preserve the integrity of customer and personal information and prevent information loss, misappropriation and other security breaches, our security measures may be compromised as a result of intentional misconduct, including by computer hackers, employees, contractors or service providers, as well as software bugs, human error, technical malfunctions or other malfeasance.</w:t>
      </w:r>
    </w:p>
    <w:p>
      <w:pPr>
        <w:spacing w:after="0" w:line="204"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If any breach of information security were to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For example, any such event that leads to unauthorized access, use, or disclosure of personal information, including personal information regarding our customers or employees, could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 Actual or anticipated attacks may cause us to incur increasing costs, including costs to deploy additional personnel and protection technologies, train employees and engage third-party experts and consultants. Any compromise or breach of our security measures, or those of our third-party service providers, may violate applicable privacy, data security and other laws, and cause significant legal and financial exposure, adverse publicity and a loss of confidence in our security measures, which could have a material adverse effect on our business, financial condition and results of operations. We may need to devote significant resources to protect against security breaches or to address problems caused by breaches, diverting resources from the growth and expansion of our business.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Finally, the impacts of the COVID-19 pandemic and the shift to a remote workforce may exacerbate these risks. With our employees primarily working from their homes or other locations outside of the office, there is increased potential that unauthorized third parties may have access to sensitive company or customer information. For instance, if our employees were to use a non-secure internet network, conduct their work in a non-secure environment or even fail to take appropriate precautions within their own home, there is a greater likelihood that an unauthorized person or entity could obtain access to ours or our clients’ sensitive information.</w:t>
      </w:r>
    </w:p>
    <w:p>
      <w:pPr>
        <w:spacing w:after="0" w:line="22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Any or all of these issues could negatively affect our ability to attract new customers, cause existing customers to elect to terminate or not renew their subscriptions, result in reputational damage, cause us to pay remediation costs, or require us to compensate our customers or other users for certain losses or result in lawsuits, regulatory fines or other action or liabilities, which could adversely affect our business and operating results. These risks may increase as we continue to grow and collect, process, store and transmit increasingly large amounts of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Internet transactions could negatively impact our business.</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customers currently bear the risk for a fraudulent credit card transaction, in the future we may be forced to share some of that risk and the associated costs with our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our customers and our business could be adversely affected.</w:t>
      </w:r>
    </w:p>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Third-party claims that we are infringing intellectual property, whether successful or not, could subject us to costly and time-consuming litigation or expensive licenses, and our business could be harmed.</w:t>
      </w:r>
    </w:p>
    <w:p>
      <w:pPr>
        <w:spacing w:after="0" w:line="206"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a claim of this nature, if successful, could secure a judgment that requires us to pay substantial damages. A judgment could also include an injunction or other court order that could prevent us from offering our products or services. Any of these events could seriously harm our business.</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We are generally obligated to indemnify our customers if our services infringe the proprietary rights of third parties and certain of our agreements with customers and partners include indemnification provisions under which we have agreed to indemnify the counter-party for losses suffered or incurred as a result of claims of intellectual property infringement and, in some cases, for financial and other damages caused by us to property or persons. Third parties may assert infringement claims against our customers or partners. These claims may require us to initiate or defend protracted and costly litigation on behalf of our customers or partners, regardless of the merits of these claims. If any of these claims succeed, we may be forced to pay damages on behalf of our customers or partners.</w:t>
      </w:r>
    </w:p>
    <w:p>
      <w:pPr>
        <w:spacing w:after="0" w:line="22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232"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A portion of the technologies licensed by us incorporates “open source” software, and we may incorporate open source software in the future. Open source software is generally licensed by its authors or other third parties under open source licenses. If we fail to comply with these licenses, we may be subject to certain conditions, including requirements that we offer any of our services that incorporate the open source software at no cost. Additionally, we may be required to make publicly available any source code for modifications or derivative works we create based upon, incorporating or using the open source software and/or license those modifications or alterations on terms that are unfavorable to us. If an author or other third party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selling those of our services that contained the open source software and required to comply with the foregoing conditions, which could disrupt the distribution and sale of some of our</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services. In addition to risks related to license requirements, usage of open source software can lead to greater risks than use of third-party commercial software, as open source licensors generally do not provide technology support, maintenance, warranties or assurance of title or controls on the origin of the software.</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continue to incur significant costs as a result of operating as a public company, and our management is required to devote substantial time to new and ongoing compliance initiatives.</w:t>
      </w:r>
    </w:p>
    <w:p>
      <w:pPr>
        <w:spacing w:after="0" w:line="206"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We operate as a public company, and will continue to incur significant legal, accounting and other expenses as we comply with the Sarbanes-Oxley Act of 2002 (the “Sarbanes-Oxley Act” or “SOX”), the Dodd-Frank Wall Street Reform and Consumer Protection Act and other public company disclosure and corporate governance requirements, as well as any new rules that may subsequently be implemented by the Securities and Exchange Commission and/or Nasdaq, the exchange on which our common stock is listed These rules impose various requirements on public companies, including requirements related to disclosures, corporate governance and internal controls. We expect that the requirements of these rules and regulations will continue to increase our legal, accounting and financial compliance costs, make some activities more difficult, time consuming and costly and place significant strain on our personnel,</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systems and resources. Our management and other personnel will continue to devote a substantial amount of time to these compliance initiatives. Moreover, these rules and regulations increase our legal and financial compliance costs and make some activities more time-consuming and costlier. For example, we expect these rules and regulations may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19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controls over financial reporting to allow management to report on, and our independent registered public accounting firm potentially to attest to, the effectiveness of our internal controls over financial reporting. Our independent registered public accounting firm is required to undertake an assessment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interpretations of, tax rules and regulations, could adversely affect our effective tax rates.</w:t>
      </w:r>
    </w:p>
    <w:p>
      <w:pPr>
        <w:spacing w:after="0" w:line="232"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Global tax developments applicable to multinational businesses may have a material impact to our business, cash flow from operating activities, or financial results. The Biden administration has proposed increases to the U.S. corporate income tax rate, minimum tax on book income, and increased taxation of international business operations. International organizations such as the Organization for Economic Cooperation and Development, have published Base Erosion and Profit Shifting action plans that, if adopted by countries where we do business, could increase our tax obligations in these countries. In addition, several countries have proposed or enacted Digital Services Taxes ("DST"), many of which would apply to revenues derived from digital services. We will continue to assess the ongoing impact of these current and pending changes to global tax legislation and the impact on the Company's future financial statements upon the finalization of laws, regulations and additional guidance. In addition, as we continue to evaluate our corporate structure, any changes to the taxation of undistributed foreign earnings could also change our plans regarding reinvestment of such earnings. Due to the large scale of our U.S. and international business activities, many of these enacted and proposed changes to the taxation of our activities could increase our worldwide effective tax rate and have an adverse effect on our operating results, cash flow or financial condition.</w:t>
      </w:r>
    </w:p>
    <w:p>
      <w:pPr>
        <w:spacing w:after="0" w:line="197"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Certain EU and other jurisdictions have introduced anti-hybrid provisions, which came into force in EU member states on January 1, 2020 (subject to relevant derogations). The scope of these rules is wide-reaching and can apply to disallow certain deductions for corporate tax purposes where hybrid entities exist within a company structure. These provisions may place additional burden on our management to assess the impact of the rules and potentially create additional tax costs. EU countries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other jurisdictions will continue to interpret or issue additional guidance on how provisions of the anti-hybrid will be applied, which, if applicable, may materially impact our financial statements and cash flow. Separately, as a result of the complexity of, and lack of clear precedent or authority with respect to, the application of various income tax laws to our corporate structure, tax authorities may challenge how we report our transactions, which may increase our costs and impact our operations.</w:t>
      </w:r>
    </w:p>
    <w:p>
      <w:pPr>
        <w:spacing w:after="0" w:line="218"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We are subject to income taxes as well as non-income-based taxes, in both the U.S. and various foreign jurisdictions. Many judgments are required in determining our worldwide provision for income taxes and other tax liabilities, and we are under audit by various tax authorities, which often do not agree with positions taken by us on our income and non-income-based tax returns. Although we believe that our estimates are reasonable, the ultimate tax outcome may differ from the amounts recorded in our consolidated financial statements and may materially affect our financial results in the period or periods for</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which such determination is made. Unanticipated changes in our tax rates could affect our future results of operations. Our future effective tax rates could be unfavorably affected by changes in tax laws or the interpretation of tax laws or by changes in the valuation of our deferred tax assets and liabilities. It is possible that future requirements, including the recently proposed implementation of International Financial Reporting Standards (“IFRS”) could change our current application of U.S. GAAP, resulting in a material adverse impact on our financial position or results of operations. In addition, we are subject to the continued examination of our income tax returns by the Internal Revenue Service (“IRS”), and other tax authorities. We regularly assess the likelihood of outcomes resulting from these examinations, if any, to determine the adequacy of our provision for income taxes. We believe our estimates to be reasonable, but there can be no assurance that the final determination of any of these examinations will not have an adverse effect on our operating results and financial position.</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are required to collect sales and use taxes on the services we sell in additional jurisdictions, we may be subject to liability for past sales and our future sales could decrease.</w:t>
      </w:r>
    </w:p>
    <w:p>
      <w:pPr>
        <w:spacing w:after="0" w:line="206" w:lineRule="exact"/>
        <w:rPr>
          <w:sz w:val="20"/>
          <w:szCs w:val="20"/>
          <w:color w:val="auto"/>
        </w:rPr>
      </w:pPr>
    </w:p>
    <w:p>
      <w:pPr>
        <w:jc w:val="both"/>
        <w:ind w:firstLine="319"/>
        <w:spacing w:after="0" w:line="327" w:lineRule="auto"/>
        <w:rPr>
          <w:sz w:val="20"/>
          <w:szCs w:val="20"/>
          <w:color w:val="auto"/>
        </w:rPr>
      </w:pPr>
      <w:r>
        <w:rPr>
          <w:rFonts w:ascii="Arial" w:cs="Arial" w:eastAsia="Arial" w:hAnsi="Arial"/>
          <w:sz w:val="14"/>
          <w:szCs w:val="14"/>
          <w:color w:val="auto"/>
        </w:rPr>
        <w:t>We currently collect sales or use tax on our services in most states. Historically, with a few exceptions, we have not charged or collected value added tax on our services anywhere in the world. We may lose sales or incur significant expenses should tax authorities in other jurisdictions where we do business be successful in imposing sales and use taxes, value added taxes or similar taxes on the services we provide. A successful assertion by one or more tax authorities that we should collect sales or other taxes on the sale of our services could result in substantial tax liabilities for past sales, including interest and penalty charges, and could discourage customers from purchasing our services and otherwise harm our business. Further, we may conclude based on our own review that our services may be subject to sales and use taxes in other areas where we do business. Under these circumstances, we may voluntarily disclose</w:t>
      </w:r>
    </w:p>
    <w:p>
      <w:pPr>
        <w:jc w:val="both"/>
        <w:spacing w:after="0" w:line="283" w:lineRule="auto"/>
        <w:rPr>
          <w:sz w:val="20"/>
          <w:szCs w:val="20"/>
          <w:color w:val="auto"/>
        </w:rPr>
      </w:pPr>
      <w:r>
        <w:rPr>
          <w:rFonts w:ascii="Arial" w:cs="Arial" w:eastAsia="Arial" w:hAnsi="Arial"/>
          <w:sz w:val="16"/>
          <w:szCs w:val="16"/>
          <w:color w:val="auto"/>
        </w:rPr>
        <w:t>our estimated liability to the respective tax authorities and initiate activities to collect taxes going forward. It is not clear that our services are subject to sales and use tax in certain jurisdictions. States and certain municipalities in the United States, as well as countries outside the United States, have different rules and regulations governing sales and use taxes. These rules and regulations are subject to varying interpretations that may change over time and, in the future, our services may be subject to such taxes. Although our customer contracts typically provide that our customers are responsible for the payment of all taxes associated with the provision and use of our services, customers may decline to pay back taxes and may refuse responsibility for interest or penalties associated with those taxes. In certain cases, we may elect not to request customers to pay back taxes. If we are required to collect and pay back taxes and associated interest and penalties, and if our customers fail or refuse to reimburse us for all or a portion of these amounts, or if we elect not to seek payment of these amounts, we will incur unplanned expenses that may be substantial. Moreover, imposition of such taxes on our services going forward will effectively increase the cost of our services to our customers and may adversely affect our ability to retain existing customers or gain new customers in jurisdictions in which such taxes are imposed. Any of the foregoing could have a material adverse effect on our business, results of operation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principles, or the interpretation thereof, could have a significant impact on our financial position and results of operation.</w:t>
      </w:r>
    </w:p>
    <w:p>
      <w:pPr>
        <w:spacing w:after="0" w:line="25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6"/>
          <w:szCs w:val="16"/>
          <w:color w:val="auto"/>
        </w:rPr>
        <w:t>We prepare our Consolidated Financial Statements in accordance with GAAP. A change in these principles can have a significant impact on our reported results and may even retroactively affect previously reported transactions. The adoption of new or revised accounting principles may require that we make significant changes to our systems, processes and controls and could have a significant impact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Series B Preferred Stock, Senior Notes and our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continue to experience significant fluctuations and could subject us to litigation.</w:t>
      </w:r>
    </w:p>
    <w:p>
      <w:pPr>
        <w:spacing w:after="0" w:line="232"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other military conflict or due to a variety of company specific factors, including quarter to quarter variations in our operating results, shortfalls in revenue, gross margin or earnings from levels projected by securities analysts and the other factors discussed in these risk factors. In addition, if the market for technology stocks or the stock market in general experiences uneven investor confidence, the 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were previously, and may in the future be, the subject of lawsuits that could require us to incur substantial costs defending against those lawsuits and divert the time and attention of our management.</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246"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We have, and in the future may be, the target of stockholder derivative complaints or other securities related legal actions. We were subject to stockholder derivative litigation relating to certain of our previous public disclosures and may result in additional litigation. For additional discussion of this litigation, see Item 3. “Legal Proceedings” contained in this Form 10-K. The existence of any litigation may have an adverse effect on our reputation with referral sources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Although we maintain insurance for claims of this nature, our insurance coverage does not apply in all circumstances and may be denied or insufficient to cover the costs related to the class action and stockholder derivative lawsuits.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Other than payment of dividends on our previous Series A Preferred Stock and our current Series B Preferred Stock, 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20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Other than the payment of dividends, either in-kind or in cash, on our previous Series A Preferred Stock and our current Series B Preferred Stock in accordance with the Series A Certificate and Series B Certificate, we have not paid dividends on any of our classes of capital stock and we currently intend to retain our future earnings, if any, to fund the development and growth of our business. In addition, the terms of our current credit agreement and any future indebtedness that we may incur could preclude us from paying dividends. As a result, capital appreciation, if any, of our common stock will be a shareholder’s sole source of gain for the foreseeable future. Consequently, in the foreseeable future, a shareholder will likely only experience a gain from an investment in our common stock if the price of our common stock increases.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206"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and credit agreements may discourage, delay or prevent a change in our management or control over us that stockholders may consider favorable. Our amended and restated certificate of incorporation and bylaws:</w:t>
      </w:r>
    </w:p>
    <w:p>
      <w:pPr>
        <w:spacing w:after="0" w:line="230"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28"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prohibit cumulative voting in the election of directors, which would otherwise allow holders of less than a majority of the stock to elect some directors;</w:t>
      </w:r>
    </w:p>
    <w:p>
      <w:pPr>
        <w:spacing w:after="0" w:line="29"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establish a classified board of directors as a result of which successor to a director whose term has expired will be elected to serve from the time of election and qualification until the third annual meeting following election;</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require that directors only be removed from office for cause;</w:t>
      </w:r>
    </w:p>
    <w:p>
      <w:pPr>
        <w:spacing w:after="0" w:line="28" w:lineRule="exact"/>
        <w:rPr>
          <w:rFonts w:ascii="Arial" w:cs="Arial" w:eastAsia="Arial" w:hAnsi="Arial"/>
          <w:sz w:val="21"/>
          <w:szCs w:val="21"/>
          <w:color w:val="auto"/>
        </w:rPr>
      </w:pPr>
    </w:p>
    <w:p>
      <w:pPr>
        <w:ind w:left="640" w:right="20" w:hanging="315"/>
        <w:spacing w:after="0" w:line="233"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provide that vacancies on the board of directors, including newly created directorships, may be filled only by a majority vote of directors then in office;</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limit who may call special meetings of stockholders;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prohibit stockholder action by written consent, requiring all actions to be taken at a stockholder meeting; and</w:t>
      </w:r>
    </w:p>
    <w:p>
      <w:pPr>
        <w:spacing w:after="0" w:line="27" w:lineRule="exact"/>
        <w:rPr>
          <w:rFonts w:ascii="Arial" w:cs="Arial" w:eastAsia="Arial" w:hAnsi="Arial"/>
          <w:sz w:val="21"/>
          <w:szCs w:val="21"/>
          <w:color w:val="auto"/>
        </w:rPr>
      </w:pPr>
    </w:p>
    <w:p>
      <w:pPr>
        <w:ind w:left="640" w:hanging="315"/>
        <w:spacing w:after="0" w:line="233"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establish advance notice requirements for nominating candidates for election to the board of directors or for proposing matters that can be acted upon by stockholders at stockholder meetings.</w:t>
      </w:r>
    </w:p>
    <w:p>
      <w:pPr>
        <w:spacing w:after="0" w:line="229"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affirmative vote of the holders of at least two-thirds of all of the then outstanding shares of our capital stock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 majority of our shares of capital stock entitled to</w:t>
      </w:r>
    </w:p>
    <w:p>
      <w:pPr>
        <w:spacing w:after="0" w:line="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vote. In addition, we are subject to the provisions of Section 203 of the Delaware General Corporation Law, which limits business combination transactions with stockholders of 15% or more of our outstanding voting stock that our board of directors has not approved. These provisions and other similar provisions make it more difficult for stockholders or potential acquirers to acquire us. These provisions may apply even if some stockholders may consider the</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transaction beneficial to them. As a result, these provisions could limit the price that investors are willing to pay in the future for shares of our common stock. These provisions might also discourage a potential acquisition proposal or tender offer, even if the acquisition proposal or tender offer is at a premium over the then current market price for our common stock.</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i w:val="1"/>
          <w:iCs w:val="1"/>
          <w:color w:val="auto"/>
        </w:rPr>
        <w:t>We are subject to investigations relating to certain transactions in 2015 and 2016 that resulted in the restatement of our financial statements in 2018, and the Securities and Exchange Commission staff has preliminarily determined to recommend the initiation of an enforcement action against us in connection with that matter.</w:t>
      </w:r>
    </w:p>
    <w:p>
      <w:pPr>
        <w:spacing w:after="0" w:line="203"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6"/>
          <w:szCs w:val="16"/>
          <w:color w:val="auto"/>
        </w:rPr>
        <w:t>On June 22, 2021, the SEC staff verbally notified us that it has made a preliminary determination to recommend that the SEC initiate an enforcement action against us in connection with certain financial transactions that we effected in 2015 and 2016 and our disclosure of and accounting for such transactions, which we restated in the third quarter of 2018 in our restated annual and quarterly financial statements for 2015 and 2016. That restatement followed our announcement on June 13, 2017 (the “June 2017 Announcement”), that certain of our prior financial statements would need to be restated. Certain individuals, including current and former members of our management team, received similar notifications. We remain in discussions with the SEC staff regarding the prospect of resolving this matter through settlement. If we are unable to resolve this matter through settlement then we would expect to receive a “Wells notice” from the SEC staff in connection with this matter. Although a Wells notice is neither a formal charge of wrongdoing nor a final determination that the recipient has violated any law, it is a formal notice that the SEC intends to bring an enforcement action against the recipient. Upon receipt of a Wells notice, the recipient has the opportunity to respond to the SEC staff’s position before any formal enforcement action is taken.</w:t>
      </w:r>
    </w:p>
    <w:p>
      <w:pPr>
        <w:spacing w:after="0" w:line="21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the third quarter of 2017, the SEC and Department of Justice initiated investigations in connection with the June 2017 Announcement and certain transactions that we restated in the third quarter of 2018. We have received subpoenas, produced documents, and provided additional information to the government in connection with those investigations.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At this time, we cannot predict with certainty what the outcome of these government investigations or the SEC staff’s preliminary determination might be, but they could have a material adverse impact on our financial position, prospects and results of operations, however, we have reserved to the best of our ability to account for these potential liabilities.</w:t>
      </w:r>
    </w:p>
    <w:p>
      <w:pPr>
        <w:spacing w:after="0" w:line="189"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b w:val="1"/>
          <w:bCs w:val="1"/>
          <w:i w:val="1"/>
          <w:iCs w:val="1"/>
          <w:color w:val="auto"/>
        </w:rPr>
        <w:t>Our current or future debt securities or preferred equity securities, which are and would be senior to our common stock, may adversely affect the market price of our common stock.</w:t>
      </w:r>
    </w:p>
    <w:p>
      <w:pPr>
        <w:spacing w:after="0" w:line="24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Our Senior Notes and Series B Preferred Stock are senior to our common stock. In addition, in the future, we may attempt to increase our capital resources by offering debt or preferred equity securities, including medium term notes, senior or subordinated notes and classes of preferred stock. Debt securities or shares of preferred stock will generally be entitled to receive interest payments or distributions, both current and in connection with any liquidation or sale, prior to the holders of our common stock. We are not required to offer any such additional debt or preferred equity securities to existing common stockholders on a preemptive basis, and we may generally issue any such debt or preferred equity securities in the future without obtaining the consent of our common stockholders. As a result, any such future offerings of debt securities or preferred equity securities may adversely affect the market price of the common stock.</w:t>
      </w:r>
    </w:p>
    <w:p>
      <w:pPr>
        <w:spacing w:after="0" w:line="19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b w:val="1"/>
          <w:bCs w:val="1"/>
          <w:i w:val="1"/>
          <w:iCs w:val="1"/>
          <w:color w:val="auto"/>
        </w:rPr>
        <w:t>B. Riley Financial, Inc. and its affiliates (“BRF”) have significant influence over us and may have conflicts of interest that arise out of future contractual relationships it or its affiliates may have with us.</w:t>
      </w:r>
    </w:p>
    <w:p>
      <w:pPr>
        <w:spacing w:after="0" w:line="202"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As of December 31, 2021 BRF owned 19.2% of our outstanding common stock and all of our Series B Preferred Stock. As a result, BRF holds significant influence over us as a significant shareholder and may have conflicts of interest that arise out of current or future contractual relationships it or its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affiliates may have with us. In addition, for so long as BRF and its affiliates beneficially own at least 10% of our outstanding common stock, BRF will have the right to nominate one member of our board of directors pursuant to an investor rights agreement.</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a result of the foregoing arrangements, BRF has significant influence over our management and policies and over all matters requiring shareholder approval, including the election of directors, amendment of our certificate of incorporation and approval of significant corporate transactions. Further, if BRF and other significant shareholders of the Company were to act together on any matter presented for shareholder approval, they could have the ability to control the outcome of that matter. BRF can take actions that have the effect of delaying or preventing a change of control of us or discouraging others from making tender offers for our shares, which could prevent shareholders from receiving a premium for their shares. These actions may be taken even if other shareholders oppose them.</w:t>
      </w:r>
    </w:p>
    <w:p>
      <w:pPr>
        <w:spacing w:after="0" w:line="196" w:lineRule="exact"/>
        <w:rPr>
          <w:sz w:val="20"/>
          <w:szCs w:val="20"/>
          <w:color w:val="auto"/>
        </w:rPr>
      </w:pPr>
    </w:p>
    <w:p>
      <w:pPr>
        <w:jc w:val="both"/>
        <w:ind w:right="20"/>
        <w:spacing w:after="0" w:line="222" w:lineRule="auto"/>
        <w:rPr>
          <w:sz w:val="20"/>
          <w:szCs w:val="20"/>
          <w:color w:val="auto"/>
        </w:rPr>
      </w:pPr>
      <w:r>
        <w:rPr>
          <w:rFonts w:ascii="Arial" w:cs="Arial" w:eastAsia="Arial" w:hAnsi="Arial"/>
          <w:sz w:val="18"/>
          <w:szCs w:val="18"/>
          <w:b w:val="1"/>
          <w:bCs w:val="1"/>
          <w:i w:val="1"/>
          <w:iCs w:val="1"/>
          <w:color w:val="auto"/>
        </w:rPr>
        <w:t>The Senior Notes are unsecured and therefore are effectively subordinated to any secured indebtedness that we currently have or that we may incur in the future.</w:t>
      </w:r>
    </w:p>
    <w:p>
      <w:pPr>
        <w:spacing w:after="0" w:line="202"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Senior Notes are not secured by any of our assets or any of the assets of our subsidiaries. As a result, the Senior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Senior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Senior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Notes are structurally subordinated to the indebtedness and other liabilities of our subsidiaries.</w:t>
      </w:r>
    </w:p>
    <w:p>
      <w:pPr>
        <w:spacing w:after="0" w:line="21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The Senior Notes are obligations exclusively of Synchronoss Technologies, Inc. and not of any of our subsidiaries. None of our subsidiaries is a guarantor of the Senior Notes, and the Senior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Senior Notes are structurally subordinated to all indebtedness and other liabilities (including trade payables) of any of our subsidiaries and any subsidiaries that we may in the future acquire or establish as financing vehicles or otherwise. The indenture governing the Senior Notes does not prohibit us or our subsidiaries from incurring additional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Senior Notes were issued contains limited protection for holders of the Senior Notes.</w:t>
      </w:r>
    </w:p>
    <w:p>
      <w:pPr>
        <w:spacing w:after="0" w:line="23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indenture under which the Senior Notes were issued offers limited protection to holders of the Senior Notes. The terms of the indenture and the Senior Notes does not restrict our or any of our subsidiaries’ ability to engage in, or otherwise be a party to, a variety of corporate transactions, circumstances or events that could have an adverse impact on your investment in the Senior Notes. In particular, the terms of the indenture and the Senior Notes do not place any restrictions on our or our subsidiaries’ ability to:</w:t>
      </w:r>
    </w:p>
    <w:p>
      <w:pPr>
        <w:spacing w:after="0" w:line="257" w:lineRule="exact"/>
        <w:rPr>
          <w:sz w:val="20"/>
          <w:szCs w:val="20"/>
          <w:color w:val="auto"/>
        </w:rPr>
      </w:pPr>
    </w:p>
    <w:p>
      <w:pPr>
        <w:jc w:val="both"/>
        <w:ind w:left="640" w:hanging="315"/>
        <w:spacing w:after="0" w:line="257" w:lineRule="auto"/>
        <w:tabs>
          <w:tab w:leader="none" w:pos="635" w:val="left"/>
        </w:tabs>
        <w:numPr>
          <w:ilvl w:val="0"/>
          <w:numId w:val="22"/>
        </w:numPr>
        <w:rPr>
          <w:rFonts w:ascii="Arial" w:cs="Arial" w:eastAsia="Arial" w:hAnsi="Arial"/>
          <w:sz w:val="20"/>
          <w:szCs w:val="20"/>
          <w:color w:val="auto"/>
        </w:rPr>
      </w:pPr>
      <w:r>
        <w:rPr>
          <w:rFonts w:ascii="Arial" w:cs="Arial" w:eastAsia="Arial" w:hAnsi="Arial"/>
          <w:sz w:val="17"/>
          <w:szCs w:val="17"/>
          <w:color w:val="auto"/>
        </w:rPr>
        <w:t>issue debt securities or otherwise incur additional indebtedness or other obligations, including (1) any indebtedness or other obligations that would be equal in right of payment to the Senior Notes, (2) any indebtedness or other obligations that would be secured and therefore rank effectively senior in right of payment to the Senior Notes to the extent of the values of the assets securing such debt, (3) indebtedness of ours that is guaranteed by one or more of our subsidiaries and which therefore is structurally senior to the Senior Notes and (4) securities, indebtedness or obligations issued or incurred by our subsidiaries that would be senior to our equity interests in our subsidiaries and therefore rank structurally senior to the Senior Notes with respect to the assets of our subsidiaries;</w:t>
      </w:r>
    </w:p>
    <w:p>
      <w:pPr>
        <w:spacing w:after="0" w:line="23" w:lineRule="exact"/>
        <w:rPr>
          <w:rFonts w:ascii="Arial" w:cs="Arial" w:eastAsia="Arial" w:hAnsi="Arial"/>
          <w:sz w:val="20"/>
          <w:szCs w:val="20"/>
          <w:color w:val="auto"/>
        </w:rPr>
      </w:pPr>
    </w:p>
    <w:p>
      <w:pPr>
        <w:ind w:left="640" w:hanging="315"/>
        <w:spacing w:after="0" w:line="233"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Senior Notes;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2" w:lineRule="exact"/>
        <w:rPr>
          <w:rFonts w:ascii="Arial" w:cs="Arial" w:eastAsia="Arial" w:hAnsi="Arial"/>
          <w:sz w:val="21"/>
          <w:szCs w:val="21"/>
          <w:color w:val="auto"/>
        </w:rPr>
      </w:pPr>
    </w:p>
    <w:p>
      <w:pPr>
        <w:ind w:left="640" w:hanging="315"/>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enter into transactions with affiliates;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make investments; or</w:t>
      </w:r>
    </w:p>
    <w:p>
      <w:pPr>
        <w:spacing w:after="0" w:line="11" w:lineRule="exact"/>
        <w:rPr>
          <w:rFonts w:ascii="Arial" w:cs="Arial" w:eastAsia="Arial" w:hAnsi="Arial"/>
          <w:sz w:val="21"/>
          <w:szCs w:val="21"/>
          <w:color w:val="auto"/>
        </w:rPr>
      </w:pPr>
    </w:p>
    <w:p>
      <w:pPr>
        <w:ind w:left="640" w:hanging="315"/>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create restrictions on the payment of dividends or other amounts to us from our subsidiaries.</w:t>
      </w:r>
    </w:p>
    <w:p>
      <w:pPr>
        <w:spacing w:after="0" w:line="22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Senior Notes will not protect holders of the Senior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Senior Notes.</w:t>
      </w:r>
    </w:p>
    <w:p>
      <w:pPr>
        <w:spacing w:after="0" w:line="22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Senior Notes may have important consequences for you as a holder of the Senior Notes, including making it more difficult for us to satisfy our obligations with respect to the Senior Notes or negatively affecting the trading value of the Senior Notes.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Senior Notes, including additional covenants and events of default. The issuance or incurrence of any such debt with incremental protections could affect the market for and trading levels and prices of the Senior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Senior Notes.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general, as market interest rates rise, notes bearing interest at a fixed rate decline in value. We cannot predict the future level of market interest rates.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Senior Notes may not develop, which could limit the market price of the Senior Notes or your ability to sell them.</w:t>
      </w:r>
    </w:p>
    <w:p>
      <w:pPr>
        <w:spacing w:after="0" w:line="24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Senior Notes are listed on Nasdaq under the symbol “SNCRL”. We cannot provide any assurances that an active trading market will develop for the Senior Notes or that holders of our Senior Notes will be able to sell their Notes. If the Senior Notes are traded after their initial issuance, they may trade at a discount from their initial offering price depending on prevailing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interest rates, the market for similar securities, our credit ratings, general economic conditions, our financial condition, performance and prospects and other factors. The underwriters of our Senior Note offering have advised us that they may make a market in the Senior Notes, but they are not obligated to do so. The underwriters may discontinue any market-making in the Senior Notes at any time at their sole discretion. Accordingly, we cannot assure you that a liquid trading market will develop for the Senior Notes, that holders of our Senior Notes will be able to sell their Senior Notes at a particular time or that the price the holders receive when they sell will be favorable. To the extent an active trading market does not develop, the liquidity and trading price for the Senior Notes may be harmed. Accordingly, holders of our Senior Notes may be required to bear the financial risk of an investment in the Senior Notes for an indefinite period of time.</w:t>
      </w:r>
    </w:p>
    <w:p>
      <w:pPr>
        <w:spacing w:after="0" w:line="22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addition, there may be a limited number of buyers when a holder decides to sell their Senior Notes. This may affect the price, if any, offered for such notes or the holders’ ability to sell them when desired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Senior Notes.</w:t>
      </w:r>
    </w:p>
    <w:p>
      <w:pPr>
        <w:spacing w:after="0" w:line="23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Under the terms of the indenture governing the Senior Notes, we may from time to time without notice to, or the consent of, the holders of the Senior Notes, create and issue additional notes which will be equal in rank to the Senior Notes. On October 25, 2021, we entered into an At Market Issuance Sales Agreement (the “Sales Agreement”) between us and BRF, which provides that we may from time to time issue and sell, by means of “at the market” offerings, up to $18 million of our Senior Notes. We will not issue any such additional Notes unless such issuance would constitute a “qualified reopening”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rating for the Senior Notes could at any time be revised downward or withdrawn entirely at the discretion of the issuing rating agency.</w:t>
      </w:r>
    </w:p>
    <w:p>
      <w:pPr>
        <w:spacing w:after="0" w:line="230"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We have obtained a rating for the Senior Notes. Ratings only reflect the views of the issuing rating agency or agencies and such ratings could at any time be revised downward or withdrawn entirely at the discretion of the issuing rating agency. A rating is not a recommendation to purchase, sell or hold the Senior Notes. Ratings do not reflect market prices or suitability of a security for a particular investor and the rating of the Senior Notes may not reflect all risks related to us and our business, or the structure or market value of the Senior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Senior Notes.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78" w:lineRule="exact"/>
        <w:rPr>
          <w:sz w:val="20"/>
          <w:szCs w:val="20"/>
          <w:color w:val="auto"/>
        </w:rPr>
      </w:pPr>
    </w:p>
    <w:p>
      <w:pPr>
        <w:jc w:val="both"/>
        <w:ind w:firstLine="319"/>
        <w:spacing w:after="0" w:line="260" w:lineRule="auto"/>
        <w:rPr>
          <w:sz w:val="20"/>
          <w:szCs w:val="20"/>
          <w:color w:val="auto"/>
        </w:rPr>
      </w:pPr>
      <w:r>
        <w:rPr>
          <w:rFonts w:ascii="Arial" w:cs="Arial" w:eastAsia="Arial" w:hAnsi="Arial"/>
          <w:sz w:val="16"/>
          <w:szCs w:val="16"/>
          <w:color w:val="auto"/>
        </w:rPr>
        <w:t>We lease approximately 120,000 square feet of office space for our corporate headquarters in Bridgewater, New Jersey. We also lease approximately 72,000 square foot facility in Bangalore, India. In addition to the above office space, we lease offices in certain countries including Australia, Ireland, Germany, England, Italy, Japan and in various states in the United States including Arizona and Virginia. Lease terms for our locations expire in the years between 2022 and 2028. We believe that the facilities we now lease are sufficient to meet our needs through at least the next twelve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For a discussion of our material pending legal proceedings that could impact our results of operations, financial condition or cash flows see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20.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color w:val="auto"/>
        </w:rPr>
        <w:t>included in Part II, Item 8. “Notes to Consolidated Financial Statements” of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our common stock was traded and listed on The Nasdaq Global Select Market under the symbol “SNCR.”</w:t>
      </w:r>
    </w:p>
    <w:p>
      <w:pPr>
        <w:spacing w:after="0" w:line="12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As of December 31, 2021, there were approximately 50 named holders of record of our common stock as according to our transfer agent. The actual number of stockholders is greater than this number of record holders, and includes stockholders who are beneficial owners, but whose shares are held in street name by banks, brokers and other nominees. On December 31, 2021, the last reported sale price of our common stock as reported on The Nasdaq Global Select Market was $2.44 per share.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We have never declared or paid cash dividends on our common equity. We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Non-Convertible Preferred Stock</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4"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2021, the Liquidation Value and Redemption Value of the Series B Preferred Shares was $78.6 million.</w:t>
      </w:r>
    </w:p>
    <w:p>
      <w:pPr>
        <w:spacing w:after="0" w:line="197"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 paid the following Series B Preferred Dividends during the year ended December 31, 2021 and accrued the following Preferred Dividends in the fourth quarter of fiscal year 2021:</w:t>
      </w:r>
    </w:p>
    <w:p>
      <w:pPr>
        <w:ind w:left="1280" w:hanging="316"/>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Quarter - paid $1.8 million preferred dividends in the form of cash.</w:t>
      </w:r>
    </w:p>
    <w:p>
      <w:pPr>
        <w:spacing w:after="0" w:line="5" w:lineRule="exact"/>
        <w:rPr>
          <w:rFonts w:ascii="Arial" w:cs="Arial" w:eastAsia="Arial" w:hAnsi="Arial"/>
          <w:sz w:val="18"/>
          <w:szCs w:val="18"/>
          <w:color w:val="auto"/>
        </w:rPr>
      </w:pPr>
    </w:p>
    <w:p>
      <w:pPr>
        <w:ind w:left="1280" w:hanging="316"/>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Fourth Quarter - accrued $1.8 million preferred dividends which was paid in the form of cash on January 3,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February 15, 2018, the Company issued to Silver Private Holdings I, LLC (“Silver”), an affiliate of Siris Capital Group, LLC (“Siris”) 185,000 shares of our newly issued Series A Preferred Stock, par value $0.0001 per share. Under the Series A Certificate, the holders of the Series A Preferred Stock were entitled to receive, on each share of Series A Preferred Stock on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quarterly basis, an amount equal to the dividend rate of 14.5% divided by four and multiplied by the then-applicable Liquidation Preference (as defined in the Series A Certificate) per share of Series A Preferred Stock (collectively, the “Preferred Dividends”). The Preferred Dividends were due on January 1, April 1, July 1 and October 1 of each year (each, a “Series A Dividend Payment Date”). The Company may choose to pay the Preferred Dividends in cash or in additional shares of Series A Preferred Stock.</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paid the following Series A Preferred Dividends during the year ended December 31, 2021:</w:t>
      </w:r>
    </w:p>
    <w:p>
      <w:pPr>
        <w:spacing w:after="0" w:line="17" w:lineRule="exact"/>
        <w:rPr>
          <w:sz w:val="20"/>
          <w:szCs w:val="20"/>
          <w:color w:val="auto"/>
        </w:rPr>
      </w:pPr>
    </w:p>
    <w:p>
      <w:pPr>
        <w:ind w:left="1280" w:hanging="316"/>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First Quarter - paid 9,078 shares of preferred dividends in the form of shares of Series A Preferred Stock.</w:t>
      </w:r>
    </w:p>
    <w:p>
      <w:pPr>
        <w:spacing w:after="0" w:line="5" w:lineRule="exact"/>
        <w:rPr>
          <w:rFonts w:ascii="Arial" w:cs="Arial" w:eastAsia="Arial" w:hAnsi="Arial"/>
          <w:sz w:val="18"/>
          <w:szCs w:val="18"/>
          <w:color w:val="auto"/>
        </w:rPr>
      </w:pPr>
    </w:p>
    <w:p>
      <w:pPr>
        <w:ind w:left="1280" w:hanging="316"/>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Second Quarter - paid 9,407 shares of preferred dividends in the form of shares of Series A Preferred Stock.</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2021.</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 xml:space="preserve">For a discussion of our stockholder’s equity refer to </w:t>
      </w:r>
      <w:r>
        <w:rPr>
          <w:rFonts w:ascii="Arial" w:cs="Arial" w:eastAsia="Arial" w:hAnsi="Arial"/>
          <w:sz w:val="18"/>
          <w:szCs w:val="18"/>
          <w:i w:val="1"/>
          <w:iCs w:val="1"/>
          <w:color w:val="auto"/>
        </w:rPr>
        <w:t>Note 13. Capital Structure</w:t>
      </w:r>
      <w:r>
        <w:rPr>
          <w:rFonts w:ascii="Arial" w:cs="Arial" w:eastAsia="Arial" w:hAnsi="Arial"/>
          <w:sz w:val="18"/>
          <w:szCs w:val="18"/>
          <w:color w:val="auto"/>
        </w:rPr>
        <w:t xml:space="preserve"> included in Part II, Item 8. “Notes to Consolidated Financial Statements” of this Annual Report on Form 10-K.</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Information concerning securities authorized for issuance under equity compensation plans is set forth under the heading “Securities Authorized for Issuance Under Equity Compensation Plans” in the Synchronoss Proxy Statement for the 2022 Annual Meeting of Stockholders and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2016 and December 31, 2021, with the cumulative total return of (i) the Nasdaq Computer Index and (ii) the Nasdaq Composite Index, over the same period. This graph assumes the investment of $100 on December 31, 2016 in our common stock, the Nasdaq Computer Index and the Nasdaq Composite Index, and assumes the reinvestment of dividends, if any. The graph assumes the initial value of our common stock on December 31, 2016 was the closing sales price of $38.30 per share.</w:t>
      </w:r>
    </w:p>
    <w:p>
      <w:pPr>
        <w:spacing w:after="0" w:line="22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Information used in the graph was obtained from Nasdaq, a source believed to be reliable, but we are not responsible for any errors or omissions in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357505</wp:posOffset>
            </wp:positionV>
            <wp:extent cx="5175885" cy="4052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75885"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6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6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Synchronoss Technologies, Inc.</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Nasdaq Composite Index</w:t>
            </w: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Computer Index</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1" w:lineRule="exact"/>
        <w:rPr>
          <w:sz w:val="20"/>
          <w:szCs w:val="20"/>
          <w:color w:val="auto"/>
        </w:rPr>
      </w:pPr>
    </w:p>
    <w:p>
      <w:pPr>
        <w:jc w:val="both"/>
        <w:ind w:firstLine="319"/>
        <w:spacing w:after="0" w:line="216" w:lineRule="exact"/>
        <w:rPr>
          <w:sz w:val="20"/>
          <w:szCs w:val="20"/>
          <w:color w:val="auto"/>
        </w:rPr>
      </w:pPr>
      <w:r>
        <w:rPr>
          <w:rFonts w:ascii="Arial" w:cs="Arial" w:eastAsia="Arial" w:hAnsi="Arial"/>
          <w:sz w:val="17"/>
          <w:szCs w:val="17"/>
          <w:color w:val="auto"/>
        </w:rPr>
        <w:t>The following selected financial data should be read in conjunction with our consolidated financial statements and related notes and the “Management’s Discussion and Analysis of Financial Condition and Results of Operations” and other financial data included elsewhere in this Form 10</w:t>
      </w:r>
      <w:r>
        <w:rPr>
          <w:rFonts w:ascii="MS PGothic" w:cs="MS PGothic" w:eastAsia="MS PGothic" w:hAnsi="MS PGothic"/>
          <w:sz w:val="17"/>
          <w:szCs w:val="17"/>
          <w:color w:val="auto"/>
        </w:rPr>
        <w:t>‑</w:t>
      </w:r>
      <w:r>
        <w:rPr>
          <w:rFonts w:ascii="Arial" w:cs="Arial" w:eastAsia="Arial" w:hAnsi="Arial"/>
          <w:sz w:val="17"/>
          <w:szCs w:val="17"/>
          <w:color w:val="auto"/>
        </w:rPr>
        <w:t>K. The selected statements of operations and the selected balance sheet data are derived from our consolidated audited financial statements.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480"/>
              <w:spacing w:after="0"/>
              <w:rPr>
                <w:sz w:val="20"/>
                <w:szCs w:val="20"/>
                <w:color w:val="auto"/>
              </w:rPr>
            </w:pPr>
            <w:r>
              <w:rPr>
                <w:rFonts w:ascii="Arial" w:cs="Arial" w:eastAsia="Arial" w:hAnsi="Arial"/>
                <w:sz w:val="16"/>
                <w:szCs w:val="16"/>
                <w:b w:val="1"/>
                <w:bCs w:val="1"/>
                <w:color w:val="auto"/>
                <w:w w:val="89"/>
              </w:rPr>
              <w:t>Year Ended December 31,</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88"/>
              </w:rPr>
              <w:t>(In thousands, except per share data)</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280,615</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291,670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308,749</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325,839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402,361</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(129,602)</w:t>
            </w:r>
          </w:p>
        </w:tc>
        <w:tc>
          <w:tcPr>
            <w:tcW w:w="0" w:type="dxa"/>
            <w:vAlign w:val="bottom"/>
          </w:tcPr>
          <w:p>
            <w:pPr>
              <w:spacing w:after="0"/>
              <w:rPr>
                <w:sz w:val="1"/>
                <w:szCs w:val="1"/>
                <w:color w:val="auto"/>
              </w:rPr>
            </w:pPr>
          </w:p>
        </w:tc>
      </w:tr>
      <w:tr>
        <w:trPr>
          <w:trHeight w:val="210"/>
        </w:trPr>
        <w:tc>
          <w:tcPr>
            <w:tcW w:w="5260" w:type="dxa"/>
            <w:vAlign w:val="bottom"/>
          </w:tcPr>
          <w:p>
            <w:pPr>
              <w:ind w:left="140"/>
              <w:spacing w:after="0"/>
              <w:rPr>
                <w:sz w:val="20"/>
                <w:szCs w:val="20"/>
                <w:color w:val="auto"/>
              </w:rPr>
            </w:pPr>
            <w:r>
              <w:rPr>
                <w:rFonts w:ascii="Arial" w:cs="Arial" w:eastAsia="Arial" w:hAnsi="Arial"/>
                <w:sz w:val="16"/>
                <w:szCs w:val="16"/>
                <w:color w:val="auto"/>
              </w:rPr>
              <w:t>Net loss from operations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(103,467)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(194,224)</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w:t>
            </w:r>
          </w:p>
        </w:tc>
        <w:tc>
          <w:tcPr>
            <w:tcW w:w="0" w:type="dxa"/>
            <w:vAlign w:val="bottom"/>
          </w:tcPr>
          <w:p>
            <w:pPr>
              <w:spacing w:after="0"/>
              <w:rPr>
                <w:sz w:val="1"/>
                <w:szCs w:val="1"/>
                <w:color w:val="auto"/>
              </w:rPr>
            </w:pPr>
          </w:p>
        </w:tc>
      </w:tr>
      <w:tr>
        <w:trPr>
          <w:trHeight w:val="210"/>
        </w:trPr>
        <w:tc>
          <w:tcPr>
            <w:tcW w:w="5260" w:type="dxa"/>
            <w:vAlign w:val="bottom"/>
          </w:tcPr>
          <w:p>
            <w:pPr>
              <w:ind w:left="140"/>
              <w:spacing w:after="0"/>
              <w:rPr>
                <w:sz w:val="20"/>
                <w:szCs w:val="20"/>
                <w:color w:val="auto"/>
              </w:rPr>
            </w:pPr>
            <w:r>
              <w:rPr>
                <w:rFonts w:ascii="Arial" w:cs="Arial" w:eastAsia="Arial" w:hAnsi="Arial"/>
                <w:sz w:val="16"/>
                <w:szCs w:val="16"/>
                <w:color w:val="auto"/>
              </w:rPr>
              <w:t>Net loss from operations attributable to Synchronoss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(58,451)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(136,727)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(184,933)</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260" w:type="dxa"/>
            <w:vAlign w:val="bottom"/>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64,734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40,277</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44,669</w:t>
            </w:r>
          </w:p>
        </w:tc>
        <w:tc>
          <w:tcPr>
            <w:tcW w:w="0" w:type="dxa"/>
            <w:vAlign w:val="bottom"/>
          </w:tcPr>
          <w:p>
            <w:pPr>
              <w:spacing w:after="0"/>
              <w:rPr>
                <w:sz w:val="1"/>
                <w:szCs w:val="1"/>
                <w:color w:val="auto"/>
              </w:rPr>
            </w:pPr>
          </w:p>
        </w:tc>
      </w:tr>
      <w:tr>
        <w:trPr>
          <w:trHeight w:val="22"/>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As of December 31,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6"/>
        </w:trPr>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2017</w:t>
            </w:r>
          </w:p>
        </w:tc>
      </w:tr>
      <w:tr>
        <w:trPr>
          <w:trHeight w:val="206"/>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5"/>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52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31,504</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33,671</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39,012</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144,748</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249,236</w:t>
            </w:r>
          </w:p>
        </w:tc>
      </w:tr>
      <w:tr>
        <w:trPr>
          <w:trHeight w:val="215"/>
        </w:trPr>
        <w:tc>
          <w:tcPr>
            <w:tcW w:w="5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Working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26,610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(10,499)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178,493</w:t>
            </w:r>
          </w:p>
        </w:tc>
      </w:tr>
      <w:tr>
        <w:trPr>
          <w:trHeight w:val="210"/>
        </w:trPr>
        <w:tc>
          <w:tcPr>
            <w:tcW w:w="5260" w:type="dxa"/>
            <w:vAlign w:val="bottom"/>
          </w:tcPr>
          <w:p>
            <w:pPr>
              <w:ind w:left="12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450,734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482,255</w:t>
            </w:r>
          </w:p>
        </w:tc>
        <w:tc>
          <w:tcPr>
            <w:tcW w:w="36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532,023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703,255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965,411</w:t>
            </w:r>
          </w:p>
        </w:tc>
      </w:tr>
      <w:tr>
        <w:trPr>
          <w:trHeight w:val="215"/>
        </w:trPr>
        <w:tc>
          <w:tcPr>
            <w:tcW w:w="5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financing obligation - long-term</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11,183</w:t>
            </w:r>
          </w:p>
        </w:tc>
      </w:tr>
      <w:tr>
        <w:trPr>
          <w:trHeight w:val="210"/>
        </w:trPr>
        <w:tc>
          <w:tcPr>
            <w:tcW w:w="5260" w:type="dxa"/>
            <w:vAlign w:val="bottom"/>
          </w:tcPr>
          <w:p>
            <w:pPr>
              <w:ind w:left="120"/>
              <w:spacing w:after="0"/>
              <w:rPr>
                <w:sz w:val="20"/>
                <w:szCs w:val="20"/>
                <w:color w:val="auto"/>
              </w:rPr>
            </w:pPr>
            <w:r>
              <w:rPr>
                <w:rFonts w:ascii="Arial" w:cs="Arial" w:eastAsia="Arial" w:hAnsi="Arial"/>
                <w:sz w:val="16"/>
                <w:szCs w:val="16"/>
                <w:color w:val="auto"/>
              </w:rPr>
              <w:t>Long-term debt, net of debt issuance costs</w:t>
            </w:r>
          </w:p>
        </w:tc>
        <w:tc>
          <w:tcPr>
            <w:tcW w:w="2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133,104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227,704</w:t>
            </w:r>
          </w:p>
        </w:tc>
      </w:tr>
      <w:tr>
        <w:trPr>
          <w:trHeight w:val="215"/>
        </w:trPr>
        <w:tc>
          <w:tcPr>
            <w:tcW w:w="5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12,500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25,280</w:t>
            </w:r>
          </w:p>
        </w:tc>
      </w:tr>
      <w:tr>
        <w:trPr>
          <w:trHeight w:val="208"/>
        </w:trPr>
        <w:tc>
          <w:tcPr>
            <w:tcW w:w="5260" w:type="dxa"/>
            <w:vAlign w:val="bottom"/>
          </w:tcPr>
          <w:p>
            <w:pPr>
              <w:ind w:left="120"/>
              <w:spacing w:after="0"/>
              <w:rPr>
                <w:sz w:val="20"/>
                <w:szCs w:val="20"/>
                <w:color w:val="auto"/>
              </w:rPr>
            </w:pPr>
            <w:r>
              <w:rPr>
                <w:rFonts w:ascii="Arial" w:cs="Arial" w:eastAsia="Arial" w:hAnsi="Arial"/>
                <w:sz w:val="16"/>
                <w:szCs w:val="16"/>
                <w:color w:val="auto"/>
              </w:rPr>
              <w:t>Total stockholders’ equity</w:t>
            </w:r>
          </w:p>
        </w:tc>
        <w:tc>
          <w:tcPr>
            <w:tcW w:w="2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90,823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43,282</w:t>
            </w:r>
          </w:p>
        </w:tc>
        <w:tc>
          <w:tcPr>
            <w:tcW w:w="36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76,077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188,909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463,587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MD&amp;A should be read in conjunction with the Financial Statements and Notes to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Although COVID-19 has not significantly affected our results of operations, this disclosure discusses the actions the Company has taken in response to the COVID-19 crisis and the impacts that the situation has had on our business, as well as related known or expected trends.</w:t>
      </w:r>
    </w:p>
    <w:p>
      <w:pPr>
        <w:spacing w:after="0" w:line="206"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continued impact of COVID-19 on the macroeconomy and our business will depend significantly on the effectiveness and distribution of the vaccine, the potential cyclicality and duration of the health crisis and the related public policy actions, market or regulatory needs or demands, the length and severity of the global economic slowdown, and whether and how our customers change their behaviors over the longer term. As a result, the demand for our products and services, as well as our overall results of operations, may be materially and adversely impacted by the pandemic for 2022 and beyond, and we are unable to predict the duration or degree of such impact with any certainty.</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response to the ongoing COVID-19 pandemic, we continue to execute our business continuity plans and evolve our operations to protect the safety of our employees while continuing to provide critical products and services to our customers. Some of the key initiatives the Company continues to execute include:</w:t>
      </w:r>
    </w:p>
    <w:p>
      <w:pPr>
        <w:spacing w:after="0" w:line="215" w:lineRule="exact"/>
        <w:rPr>
          <w:sz w:val="20"/>
          <w:szCs w:val="20"/>
          <w:color w:val="auto"/>
        </w:rPr>
      </w:pPr>
    </w:p>
    <w:p>
      <w:pPr>
        <w:ind w:left="1280" w:hanging="635"/>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Working safely and effectively with new and existing customers to continue to provide our products and services through the pandemic.</w:t>
      </w:r>
    </w:p>
    <w:p>
      <w:pPr>
        <w:spacing w:after="0" w:line="39" w:lineRule="exact"/>
        <w:rPr>
          <w:rFonts w:ascii="Arial" w:cs="Arial" w:eastAsia="Arial" w:hAnsi="Arial"/>
          <w:sz w:val="16"/>
          <w:szCs w:val="16"/>
          <w:color w:val="auto"/>
        </w:rPr>
      </w:pPr>
    </w:p>
    <w:p>
      <w:pPr>
        <w:ind w:left="1280" w:hanging="635"/>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to enhance and modify our safety protocols for our employees.</w:t>
      </w:r>
    </w:p>
    <w:p>
      <w:pPr>
        <w:spacing w:after="0" w:line="5" w:lineRule="exact"/>
        <w:rPr>
          <w:rFonts w:ascii="Arial" w:cs="Arial" w:eastAsia="Arial" w:hAnsi="Arial"/>
          <w:sz w:val="18"/>
          <w:szCs w:val="18"/>
          <w:color w:val="auto"/>
        </w:rPr>
      </w:pPr>
    </w:p>
    <w:p>
      <w:pPr>
        <w:ind w:left="1280" w:hanging="635"/>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Adjusting business operations to address circumstances created by COVID-19.</w:t>
      </w:r>
    </w:p>
    <w:p>
      <w:pPr>
        <w:spacing w:after="0" w:line="5" w:lineRule="exact"/>
        <w:rPr>
          <w:rFonts w:ascii="Arial" w:cs="Arial" w:eastAsia="Arial" w:hAnsi="Arial"/>
          <w:sz w:val="18"/>
          <w:szCs w:val="18"/>
          <w:color w:val="auto"/>
        </w:rPr>
      </w:pPr>
    </w:p>
    <w:p>
      <w:pPr>
        <w:ind w:left="1280" w:hanging="635"/>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effective governance and internal controls in a remote work environment.</w:t>
      </w:r>
    </w:p>
    <w:p>
      <w:pPr>
        <w:spacing w:after="0" w:line="23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the pandemic continues, we may revise our approach to these initiatives or take additional actions to meet the needs of our employees, customers and the Company and to continue to provide our products and services.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subscription or per transaction basis, which is derived from contracts that extend up to 60 months from execution.</w:t>
      </w:r>
    </w:p>
    <w:p>
      <w:pPr>
        <w:spacing w:after="0" w:line="26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Company’s top five customers accounted for 68.2%, 68.0% and 69.2% of net revenues for the years ended December 31, 2021, 2020 and 2019, respectively. Contracts with these customers typically run for three to five years. Of these customers, Verizon accounted for more than 10% of the Company’s revenues in 2021, 2020, and 2019. The loss of Verizon as a customer would have a material negative impact on our company. However, we believe that the costs incurred and subscriber disruption by Verizon to replace Synchronoss’ solutions would be substantial.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a weakening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of foreign currencies relative to the U.S. dollar, which may cause our revenues to decline relative to our costs. We are monitoring the developments relating to rising geopolitical tensions.</w:t>
      </w:r>
    </w:p>
    <w:p>
      <w:pPr>
        <w:spacing w:after="0" w:line="206" w:lineRule="exact"/>
        <w:rPr>
          <w:sz w:val="20"/>
          <w:szCs w:val="20"/>
          <w:color w:val="auto"/>
        </w:rPr>
      </w:pPr>
    </w:p>
    <w:p>
      <w:pPr>
        <w:jc w:val="both"/>
        <w:ind w:firstLine="319"/>
        <w:spacing w:after="0" w:line="236"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contents from these devices to be stored in a common cloud is also expected to drive our business in the longer term.</w:t>
      </w:r>
    </w:p>
    <w:p>
      <w:pPr>
        <w:spacing w:after="0" w:line="192" w:lineRule="exact"/>
        <w:rPr>
          <w:sz w:val="20"/>
          <w:szCs w:val="20"/>
          <w:color w:val="auto"/>
        </w:rPr>
      </w:pPr>
    </w:p>
    <w:p>
      <w:pPr>
        <w:jc w:val="both"/>
        <w:ind w:firstLine="319"/>
        <w:spacing w:after="0" w:line="279"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 w:lineRule="exact"/>
        <w:rPr>
          <w:sz w:val="20"/>
          <w:szCs w:val="20"/>
          <w:color w:val="auto"/>
        </w:rPr>
      </w:pPr>
    </w:p>
    <w:p>
      <w:pPr>
        <w:jc w:val="both"/>
        <w:ind w:firstLine="319"/>
        <w:spacing w:after="0" w:line="277" w:lineRule="auto"/>
        <w:rPr>
          <w:sz w:val="20"/>
          <w:szCs w:val="20"/>
          <w:color w:val="auto"/>
        </w:rPr>
      </w:pPr>
      <w:r>
        <w:rPr>
          <w:rFonts w:ascii="Arial" w:cs="Arial" w:eastAsia="Arial" w:hAnsi="Arial"/>
          <w:sz w:val="16"/>
          <w:szCs w:val="16"/>
          <w:color w:val="auto"/>
        </w:rPr>
        <w:t>Companies in the TMT market all face the dilemma of attempting to pivot their businesses to digital execution in order to create experiences that meet the expectations of their subscribers, generate new revenue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We expect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3" w:lineRule="exact"/>
        <w:rPr>
          <w:sz w:val="20"/>
          <w:szCs w:val="20"/>
          <w:color w:val="auto"/>
        </w:rPr>
      </w:pPr>
    </w:p>
    <w:p>
      <w:pPr>
        <w:jc w:val="both"/>
        <w:ind w:firstLine="319"/>
        <w:spacing w:after="0" w:line="246" w:lineRule="auto"/>
        <w:rPr>
          <w:sz w:val="20"/>
          <w:szCs w:val="20"/>
          <w:color w:val="auto"/>
        </w:rPr>
      </w:pPr>
      <w:r>
        <w:rPr>
          <w:rFonts w:ascii="Arial" w:cs="Arial" w:eastAsia="Arial" w:hAnsi="Arial"/>
          <w:sz w:val="18"/>
          <w:szCs w:val="18"/>
          <w:color w:val="auto"/>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3" w:lineRule="exact"/>
        <w:rPr>
          <w:sz w:val="20"/>
          <w:szCs w:val="20"/>
          <w:color w:val="auto"/>
        </w:rPr>
      </w:pPr>
    </w:p>
    <w:p>
      <w:pPr>
        <w:jc w:val="both"/>
        <w:ind w:firstLine="319"/>
        <w:spacing w:after="0" w:line="271"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Consolidated Statements of Operations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years ended December 31, 2021, 2020 and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20" w:type="dxa"/>
            <w:vAlign w:val="bottom"/>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rPr>
              <w:t>Twelve Months Ended December 31,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2021 vs 2020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1"/>
              </w:rPr>
              <w:t>2020 vs 2019</w:t>
            </w:r>
          </w:p>
        </w:tc>
      </w:tr>
      <w:tr>
        <w:trPr>
          <w:trHeight w:val="204"/>
        </w:trPr>
        <w:tc>
          <w:tcPr>
            <w:tcW w:w="4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 Change</w:t>
            </w:r>
          </w:p>
        </w:tc>
      </w:tr>
      <w:tr>
        <w:trPr>
          <w:trHeight w:val="208"/>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(17,079)</w:t>
            </w:r>
          </w:p>
        </w:tc>
      </w:tr>
      <w:tr>
        <w:trPr>
          <w:trHeight w:val="213"/>
        </w:trPr>
        <w:tc>
          <w:tcPr>
            <w:tcW w:w="4200" w:type="dxa"/>
            <w:vAlign w:val="bottom"/>
          </w:tcPr>
          <w:p>
            <w:pPr>
              <w:ind w:left="140"/>
              <w:spacing w:after="0" w:line="213" w:lineRule="exact"/>
              <w:rPr>
                <w:sz w:val="20"/>
                <w:szCs w:val="20"/>
                <w:color w:val="auto"/>
              </w:rPr>
            </w:pPr>
            <w:r>
              <w:rPr>
                <w:rFonts w:ascii="Arial" w:cs="Arial" w:eastAsia="Arial" w:hAnsi="Arial"/>
                <w:sz w:val="16"/>
                <w:szCs w:val="16"/>
                <w:color w:val="auto"/>
              </w:rPr>
              <w:t>Cost of revenues</w:t>
            </w:r>
            <w:r>
              <w:rPr>
                <w:rFonts w:ascii="Arial" w:cs="Arial" w:eastAsia="Arial" w:hAnsi="Arial"/>
                <w:sz w:val="20"/>
                <w:szCs w:val="20"/>
                <w:color w:val="auto"/>
                <w:vertAlign w:val="superscript"/>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121,817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150,407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(28,590)</w:t>
            </w:r>
          </w:p>
        </w:tc>
      </w:tr>
      <w:tr>
        <w:trPr>
          <w:trHeight w:val="213"/>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10"/>
        </w:trPr>
        <w:tc>
          <w:tcPr>
            <w:tcW w:w="420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84,991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89,292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(23,479)</w:t>
            </w:r>
          </w:p>
        </w:tc>
      </w:tr>
      <w:tr>
        <w:trPr>
          <w:trHeight w:val="215"/>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w:t>
            </w:r>
          </w:p>
        </w:tc>
      </w:tr>
      <w:tr>
        <w:trPr>
          <w:trHeight w:val="210"/>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(33,351)</w:t>
            </w:r>
          </w:p>
        </w:tc>
      </w:tr>
      <w:tr>
        <w:trPr>
          <w:trHeight w:val="20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299,632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339,792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416,537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(40,160)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(76,745)</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59,666</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spacing w:after="0" w:line="58" w:lineRule="exact"/>
        <w:rPr>
          <w:sz w:val="20"/>
          <w:szCs w:val="20"/>
          <w:color w:val="auto"/>
        </w:rPr>
      </w:pPr>
    </w:p>
    <w:p>
      <w:pPr>
        <w:ind w:left="220" w:hanging="214"/>
        <w:spacing w:after="0"/>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13"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decreased $11.1 million to $280.6 million for the year ended December 31, 2021, compared to the same period in 2020. The overall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is due to:</w:t>
      </w:r>
    </w:p>
    <w:p>
      <w:pPr>
        <w:spacing w:after="0" w:line="1" w:lineRule="exact"/>
        <w:rPr>
          <w:sz w:val="20"/>
          <w:szCs w:val="20"/>
          <w:color w:val="auto"/>
        </w:rPr>
      </w:pPr>
    </w:p>
    <w:p>
      <w:pPr>
        <w:ind w:left="640" w:hanging="315"/>
        <w:spacing w:after="0" w:line="24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$3.8 million increase in </w:t>
      </w:r>
      <w:r>
        <w:rPr>
          <w:rFonts w:ascii="Arial" w:cs="Arial" w:eastAsia="Arial" w:hAnsi="Arial"/>
          <w:sz w:val="18"/>
          <w:szCs w:val="18"/>
          <w:b w:val="1"/>
          <w:bCs w:val="1"/>
          <w:color w:val="auto"/>
        </w:rPr>
        <w:t>Cloud</w:t>
      </w:r>
      <w:r>
        <w:rPr>
          <w:rFonts w:ascii="Arial" w:cs="Arial" w:eastAsia="Arial" w:hAnsi="Arial"/>
          <w:sz w:val="18"/>
          <w:szCs w:val="18"/>
          <w:color w:val="auto"/>
        </w:rPr>
        <w:t xml:space="preserve"> revenues is primarily due to increased subscriber growth and a non-recurring license sale in the fourth quarter, partially offset by a decrease in professional services revenue.</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$1.6 million decrease in </w:t>
      </w:r>
      <w:r>
        <w:rPr>
          <w:rFonts w:ascii="Arial" w:cs="Arial" w:eastAsia="Arial" w:hAnsi="Arial"/>
          <w:sz w:val="18"/>
          <w:szCs w:val="18"/>
          <w:b w:val="1"/>
          <w:bCs w:val="1"/>
          <w:color w:val="auto"/>
        </w:rPr>
        <w:t>Digital</w:t>
      </w:r>
      <w:r>
        <w:rPr>
          <w:rFonts w:ascii="Arial" w:cs="Arial" w:eastAsia="Arial" w:hAnsi="Arial"/>
          <w:sz w:val="18"/>
          <w:szCs w:val="18"/>
          <w:color w:val="auto"/>
        </w:rPr>
        <w:t xml:space="preserve"> revenues is primarily driven by a reduction in professional service and transaction business, partially offset by an uptick in subscription services.</w:t>
      </w:r>
    </w:p>
    <w:p>
      <w:pPr>
        <w:spacing w:after="0" w:line="1"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$13.2 million decrease in </w:t>
      </w:r>
      <w:r>
        <w:rPr>
          <w:rFonts w:ascii="Arial" w:cs="Arial" w:eastAsia="Arial" w:hAnsi="Arial"/>
          <w:sz w:val="18"/>
          <w:szCs w:val="18"/>
          <w:b w:val="1"/>
          <w:bCs w:val="1"/>
          <w:color w:val="auto"/>
        </w:rPr>
        <w:t>Messaging</w:t>
      </w:r>
      <w:r>
        <w:rPr>
          <w:rFonts w:ascii="Arial" w:cs="Arial" w:eastAsia="Arial" w:hAnsi="Arial"/>
          <w:sz w:val="18"/>
          <w:szCs w:val="18"/>
          <w:color w:val="auto"/>
        </w:rPr>
        <w:t xml:space="preserve"> revenues was primarily driven by non-recurring Advanced Messaging license and professional services revenue in the prior period.</w:t>
      </w:r>
    </w:p>
    <w:p>
      <w:pPr>
        <w:spacing w:after="0" w:line="217" w:lineRule="exact"/>
        <w:rPr>
          <w:sz w:val="20"/>
          <w:szCs w:val="20"/>
          <w:color w:val="auto"/>
        </w:rPr>
      </w:pPr>
    </w:p>
    <w:p>
      <w:pPr>
        <w:ind w:firstLine="319"/>
        <w:spacing w:after="0" w:line="253" w:lineRule="auto"/>
        <w:rPr>
          <w:sz w:val="20"/>
          <w:szCs w:val="20"/>
          <w:color w:val="auto"/>
        </w:rPr>
      </w:pPr>
      <w:r>
        <w:rPr>
          <w:rFonts w:ascii="Arial" w:cs="Arial" w:eastAsia="Arial" w:hAnsi="Arial"/>
          <w:sz w:val="18"/>
          <w:szCs w:val="18"/>
          <w:color w:val="auto"/>
        </w:rPr>
        <w:t>Net revenues decreased $17.1 million to $291.7 million for the year ended December 31, 2020, compared to the same period in 2019. The overall change is due to:</w:t>
      </w:r>
    </w:p>
    <w:p>
      <w:pPr>
        <w:ind w:left="640" w:hanging="315"/>
        <w:spacing w:after="0" w:line="277" w:lineRule="auto"/>
        <w:tabs>
          <w:tab w:leader="none" w:pos="6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$0.5 million decrease in Cloud revenues was primarily due to the extension of a significant commercial arrangement which extended recognition of deferred revenue across the term of the new contract, partially offset by increased subscriber growth and professional services revenue.</w:t>
      </w:r>
    </w:p>
    <w:p>
      <w:pPr>
        <w:ind w:left="640" w:hanging="315"/>
        <w:spacing w:after="0" w:line="246"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$2.3 million increase in Digital revenues was primarily driven by an uptick in subscription services partially offset by a reduction in professional service business.</w:t>
      </w:r>
    </w:p>
    <w:p>
      <w:pPr>
        <w:spacing w:after="0" w:line="1"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$18.8 million decrease in Messaging revenues was primarily driven by a significant 2019 non-recurring license and professional services revenue deal in advanced messaging. This revenue change was partially offset by favorable license renewals in 2020.</w:t>
      </w:r>
    </w:p>
    <w:p>
      <w:pPr>
        <w:spacing w:after="0" w:line="19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$12.8 million to $109.1 million for the year ended December 31, 2021, compared to the same period in 2020. The decrease</w:t>
      </w:r>
      <w:r>
        <w:rPr>
          <w:rFonts w:ascii="Arial" w:cs="Arial" w:eastAsia="Arial" w:hAnsi="Arial"/>
          <w:sz w:val="17"/>
          <w:szCs w:val="17"/>
          <w:b w:val="1"/>
          <w:bCs w:val="1"/>
          <w:color w:val="auto"/>
        </w:rPr>
        <w:t xml:space="preserve"> </w:t>
      </w:r>
      <w:r>
        <w:rPr>
          <w:rFonts w:ascii="Arial" w:cs="Arial" w:eastAsia="Arial" w:hAnsi="Arial"/>
          <w:sz w:val="17"/>
          <w:szCs w:val="17"/>
          <w:color w:val="auto"/>
        </w:rPr>
        <w:t>in 2021 is primarily attributable to the year over year reduction in variable costs as a result of lower Messaging revenue, partially offset by a favorable shift toward a more profitable revenue mix and cost savings from strategic initiatives implemented throughout the year.</w:t>
      </w:r>
    </w:p>
    <w:p>
      <w:pPr>
        <w:spacing w:after="0" w:line="20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Cost of revenues decreased $28.6 million to $121.8 million for the year ended December 31, 2020, compared to the same period in 2019. The 2020 decrease was primarily attributable to the year over year reduction in revenue and the cost savings from strategic initiatives implemented in the year driven mainly by data center consolidation and operating expense savings.</w:t>
      </w:r>
    </w:p>
    <w:p>
      <w:pPr>
        <w:spacing w:after="0" w:line="209"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$12.7 million to $64.3 million for the year ended December 31, 2021,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2020. The decrease in 2021 is primarily attributable to the implementation of cost savings initiatives to streamline our workforce, increased investment in product development and capitalization of associated labor costs, and the prior year impairment costs.</w:t>
      </w:r>
    </w:p>
    <w:p>
      <w:pPr>
        <w:spacing w:after="0" w:line="21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Research and development expense increased $1.5 million to $77.0 million for the year ended December 31, 2020, compared to the same period in 2019. The increase in 2020 was primarily related to the costs associated with the impairment of the right of use assets. Excluding the impairment charges incurred in 2020, the research and development costs decreased year over year mainly as a result of executed cost savings initiatives to streamline our workforce and reduce vendor spend.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$4.3 million to $85.0 million for the year ended December 31, 2021,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2020. Our selling, general and administrative expense excluding legal reserves and one-time impairment costs, decreased $15.3 million period over period as a result of the continued fixed cost savings initiatives executed in year which included headcount reductions, reduced vendor spending and lower facility costs.</w:t>
      </w:r>
    </w:p>
    <w:p>
      <w:pPr>
        <w:spacing w:after="0" w:line="21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Selling, general and administrative expense decreased $23.5 million to $89.3 million for the year ended December 31, 2020, compared to the same period in 2019. The 2020 decrease was primarily attributable to significant cost cutting initiatives executed in year which included headcount reductions, reduced vendor spending and lower facility costs offset by impairments to our right of use assets.</w:t>
      </w:r>
    </w:p>
    <w:p>
      <w:pPr>
        <w:spacing w:after="0" w:line="209" w:lineRule="exact"/>
        <w:rPr>
          <w:sz w:val="20"/>
          <w:szCs w:val="20"/>
          <w:color w:val="auto"/>
        </w:rPr>
      </w:pPr>
    </w:p>
    <w:p>
      <w:pPr>
        <w:jc w:val="both"/>
        <w:ind w:firstLine="319"/>
        <w:spacing w:after="0" w:line="337" w:lineRule="auto"/>
        <w:rPr>
          <w:sz w:val="20"/>
          <w:szCs w:val="20"/>
          <w:color w:val="auto"/>
        </w:rPr>
      </w:pPr>
      <w:r>
        <w:rPr>
          <w:rFonts w:ascii="Arial" w:cs="Arial" w:eastAsia="Arial" w:hAnsi="Arial"/>
          <w:sz w:val="16"/>
          <w:szCs w:val="16"/>
          <w:b w:val="1"/>
          <w:bCs w:val="1"/>
          <w:color w:val="auto"/>
        </w:rPr>
        <w:t xml:space="preserve">Restructuring charges </w:t>
      </w:r>
      <w:r>
        <w:rPr>
          <w:rFonts w:ascii="Arial" w:cs="Arial" w:eastAsia="Arial" w:hAnsi="Arial"/>
          <w:sz w:val="16"/>
          <w:szCs w:val="16"/>
          <w:color w:val="auto"/>
        </w:rPr>
        <w:t>were $5.2 million, $8.0 million and $0.8 million for the years ended December 31, 2021, 2020 and 2019 respectively. The 2021</w:t>
      </w:r>
      <w:r>
        <w:rPr>
          <w:rFonts w:ascii="Arial" w:cs="Arial" w:eastAsia="Arial" w:hAnsi="Arial"/>
          <w:sz w:val="16"/>
          <w:szCs w:val="16"/>
          <w:b w:val="1"/>
          <w:bCs w:val="1"/>
          <w:color w:val="auto"/>
        </w:rPr>
        <w:t xml:space="preserve"> </w:t>
      </w:r>
      <w:r>
        <w:rPr>
          <w:rFonts w:ascii="Arial" w:cs="Arial" w:eastAsia="Arial" w:hAnsi="Arial"/>
          <w:sz w:val="16"/>
          <w:szCs w:val="16"/>
          <w:color w:val="auto"/>
        </w:rPr>
        <w:t>and 2020 restructuring charges were primarily driven by our strategic cost savings initiatives to streamline our business operations and reduce headcount.</w:t>
      </w:r>
    </w:p>
    <w:p>
      <w:pPr>
        <w:spacing w:after="0" w:line="148"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$7.6 million to $36.1 million for the year ended December 31, 2021,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2020. The 2021 decrease was primarily attributable to the expiration of amortizable acquired assets and a reduction in capital expenditures. These changes were partially offset by the increased amortization of capitalized software.</w:t>
      </w:r>
    </w:p>
    <w:p>
      <w:pPr>
        <w:spacing w:after="0" w:line="21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Depreciation and amortization expense decreased $33.4 million to $43.7 million for the year ended December 31, 2020, compared to the same period in 2019. The 2020 decrease was primarily attributable to the expiration of amortizable acquired assets and a reduction in capital expenditures. These changes were partially offset by the increased amortization of capitalized software.</w:t>
      </w:r>
    </w:p>
    <w:p>
      <w:pPr>
        <w:spacing w:after="0" w:line="209" w:lineRule="exact"/>
        <w:rPr>
          <w:sz w:val="20"/>
          <w:szCs w:val="20"/>
          <w:color w:val="auto"/>
        </w:rPr>
      </w:pPr>
    </w:p>
    <w:p>
      <w:pPr>
        <w:jc w:val="both"/>
        <w:ind w:firstLine="319"/>
        <w:spacing w:after="0" w:line="289" w:lineRule="auto"/>
        <w:rPr>
          <w:sz w:val="20"/>
          <w:szCs w:val="20"/>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color w:val="auto"/>
        </w:rPr>
        <w:t>The Company recognized approximately $7.2 million in related income tax benefit and $27.1 million in related income tax benefit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 ended December 31, 2021 and 2020, respectively. The effective tax rate was approximately 23.7% for the year ended December 31, 2021, which was higher than the U.S. federal statutory rate primarily due to the tax benefit attributable to the CARES Act provision allowing for a 5 year carryback of Net Operating Losses arising in 2018, 2019 and 2020. This tax benefit was partially offset in our effective tax rate by unfavorable permanent book-tax differences. The Company’s effective tax rate was approximately 72.4% for the year ended December 31, 2020, which higher than the U.S. statutory rate primarily due to the benefit of the CARES Act provision allowing for a 5 year carryback of Net Operating Losses arising in 2018, 2019 and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our principal sources of liquidity have been cash provided by operations. Our cash and cash equivalents balance was $31.5 million at December 31, 2021. We anticipate that our principal uses of cash and cash equivalents will be to fund our business, including technology expansion and working capital.</w:t>
      </w:r>
    </w:p>
    <w:p>
      <w:pPr>
        <w:spacing w:after="0" w:line="21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At December 31, 2021, our non-U.S. subsidiaries held approximately $7.5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2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date of filing of this Annual Report on Form 10-K. However, as the impact of the COVID-19 pandemic on the economy and our operations as well as geopolitical developments,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some of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2021 Senior Notes due 2026</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6"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6"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19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During the fourth quarter, the Company sold $16.1 million aggregate principal amount of Senior Notes under the Sales Agreement. The additional Senior Notes sold have terms identical to the initial Senior Notes and are be fungible and vote together with the initial Senior Notes immediately upon issuance. The Senior Notes and initial Senior Notes are listed and trade on The Nasdaq Global Market under the symbol “SNCRL.”</w:t>
      </w:r>
    </w:p>
    <w:p>
      <w:pPr>
        <w:spacing w:after="0" w:line="1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total fair value of the outstanding Senior Notes was $134.1 million as of December 31, 2021. The Company is in compliance with its debt covenants as of December 31, 2021.</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For further details, see </w:t>
      </w:r>
      <w:r>
        <w:rPr>
          <w:rFonts w:ascii="Arial" w:cs="Arial" w:eastAsia="Arial" w:hAnsi="Arial"/>
          <w:sz w:val="18"/>
          <w:szCs w:val="18"/>
          <w:i w:val="1"/>
          <w:iCs w:val="1"/>
          <w:color w:val="auto"/>
        </w:rPr>
        <w:t>Note 11. Debt</w:t>
      </w:r>
      <w:r>
        <w:rPr>
          <w:rFonts w:ascii="Arial" w:cs="Arial" w:eastAsia="Arial" w:hAnsi="Arial"/>
          <w:sz w:val="18"/>
          <w:szCs w:val="18"/>
          <w:color w:val="auto"/>
        </w:rPr>
        <w:t xml:space="preserve"> of the Notes to Consolidated Financial Statements in Item 8 of this Form 10-K.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Convertible Senior Notes due 2019</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 xml:space="preserve">The Company paid off the remaining carrying amount of the convertible senior notes on August 15, 2019. For further details, see </w:t>
      </w:r>
      <w:r>
        <w:rPr>
          <w:rFonts w:ascii="Arial" w:cs="Arial" w:eastAsia="Arial" w:hAnsi="Arial"/>
          <w:sz w:val="18"/>
          <w:szCs w:val="18"/>
          <w:i w:val="1"/>
          <w:iCs w:val="1"/>
          <w:color w:val="auto"/>
        </w:rPr>
        <w:t>Note 11. Debt</w:t>
      </w:r>
      <w:r>
        <w:rPr>
          <w:rFonts w:ascii="Arial" w:cs="Arial" w:eastAsia="Arial" w:hAnsi="Arial"/>
          <w:sz w:val="18"/>
          <w:szCs w:val="18"/>
          <w:color w:val="auto"/>
        </w:rPr>
        <w:t xml:space="preserve"> of the Notes to Consolidated Financial Statements in Item 8 of this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federal funds rate plus 0.5%, the prime commercial lending rate as determined by the Agent, and the daily LIBOR rate plus 1.0%, in each case plus an applicable margin and subject to a floor of 0.0%.</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June 30, 2021, the Company paid off the outstanding balance and closed the Revolving Credit Facility.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Non-Convertible Preferred Stock</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B Preferred Stock</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2021, the Liquidation Value and Redemption Value of the Series B Preferred Shares was $78.6 million.</w:t>
      </w:r>
    </w:p>
    <w:p>
      <w:pPr>
        <w:spacing w:after="0" w:line="197"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20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45"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On June 30, 2021, the Company, B. Riley Financial and BRPI entered into an Investor Rights Agreement (the “Investor Rights Agreement”). Pursuant to the Investor Rights Agreement, for so long as affiliates of B. Riley Financial beneficially own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costs and expenses incurred in connection with the Preferred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net proceeds from the common stock public offering, Senior Note offering and the Series B Transaction were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net cash flows follows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80" w:type="dxa"/>
            <w:vAlign w:val="bottom"/>
            <w:gridSpan w:val="8"/>
          </w:tcPr>
          <w:p>
            <w:pPr>
              <w:ind w:left="540"/>
              <w:spacing w:after="0"/>
              <w:rPr>
                <w:sz w:val="20"/>
                <w:szCs w:val="20"/>
                <w:color w:val="auto"/>
              </w:rPr>
            </w:pPr>
            <w:r>
              <w:rPr>
                <w:rFonts w:ascii="Arial" w:cs="Arial" w:eastAsia="Arial" w:hAnsi="Arial"/>
                <w:sz w:val="18"/>
                <w:szCs w:val="18"/>
                <w:b w:val="1"/>
                <w:bCs w:val="1"/>
                <w:color w:val="auto"/>
              </w:rPr>
              <w:t>Twelve Months Ended December 31,</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20"/>
                <w:szCs w:val="20"/>
                <w:color w:val="auto"/>
              </w:rPr>
            </w:pPr>
          </w:p>
        </w:tc>
        <w:tc>
          <w:tcPr>
            <w:tcW w:w="124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Change</w:t>
            </w:r>
          </w:p>
        </w:tc>
      </w:tr>
      <w:tr>
        <w:trPr>
          <w:trHeight w:val="220"/>
        </w:trPr>
        <w:tc>
          <w:tcPr>
            <w:tcW w:w="36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5"/>
              </w:rPr>
              <w:t>2021 vs 2020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7"/>
              </w:rPr>
              <w:t>2020 vs 2019</w:t>
            </w:r>
          </w:p>
        </w:tc>
      </w:tr>
      <w:tr>
        <w:trPr>
          <w:trHeight w:val="205"/>
        </w:trPr>
        <w:tc>
          <w:tcPr>
            <w:tcW w:w="3660" w:type="dxa"/>
            <w:vAlign w:val="bottom"/>
          </w:tcPr>
          <w:p>
            <w:pPr>
              <w:ind w:left="20"/>
              <w:spacing w:after="0" w:line="205" w:lineRule="exact"/>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7"/>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5,509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(33,147)</w:t>
            </w:r>
          </w:p>
        </w:tc>
      </w:tr>
      <w:tr>
        <w:trPr>
          <w:trHeight w:val="225"/>
        </w:trPr>
        <w:tc>
          <w:tcPr>
            <w:tcW w:w="366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(23,943)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611"/>
              <w:spacing w:after="0"/>
              <w:rPr>
                <w:sz w:val="20"/>
                <w:szCs w:val="20"/>
                <w:color w:val="auto"/>
              </w:rPr>
            </w:pPr>
            <w:r>
              <w:rPr>
                <w:rFonts w:ascii="Arial" w:cs="Arial" w:eastAsia="Arial" w:hAnsi="Arial"/>
                <w:sz w:val="18"/>
                <w:szCs w:val="18"/>
                <w:color w:val="auto"/>
                <w:w w:val="91"/>
              </w:rPr>
              <w:t>(9,604)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620"/>
              <w:spacing w:after="0"/>
              <w:rPr>
                <w:sz w:val="20"/>
                <w:szCs w:val="20"/>
                <w:color w:val="auto"/>
              </w:rPr>
            </w:pPr>
            <w:r>
              <w:rPr>
                <w:rFonts w:ascii="Arial" w:cs="Arial" w:eastAsia="Arial" w:hAnsi="Arial"/>
                <w:sz w:val="18"/>
                <w:szCs w:val="18"/>
                <w:color w:val="auto"/>
                <w:w w:val="89"/>
              </w:rPr>
              <w:t>(33,716)</w:t>
            </w:r>
          </w:p>
        </w:tc>
      </w:tr>
      <w:tr>
        <w:trPr>
          <w:trHeight w:val="227"/>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6,197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131,248</w:t>
            </w:r>
          </w:p>
        </w:tc>
      </w:tr>
    </w:tbl>
    <w:p>
      <w:pPr>
        <w:spacing w:after="0" w:line="3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9"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for the year ended December 31, 2021 was a $4.9 million of cash provided by operating activities,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of cash used by operating activities for the same period in 2020. The increase of cash provided by operating activities of $5.5 million was primarily due to positive operating results partially offset by the continued run-off of the deferred revenue balance, which is in line with our business as our customers shift away from larger prepayments of services.</w:t>
      </w:r>
    </w:p>
    <w:p>
      <w:pPr>
        <w:spacing w:after="0" w:line="217"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Cash flows from operating activities for the year ended December 31, 2020 was a $0.6 million of cash used by operating activities, as compared to $32.6 million of cash provided by operating activities for the same period in 2019. The decrease of cash used by operating activities of $33.1 million was primarily due to favorable changes in cash earnings of $21.4 million offset by an unfavorable change in working capital of $70.2 million. The main driver of the unfavorable movement in working capital was the continued run-off of the deferred revenue balance which is in line with our business as our customers shift away from larger prepayments of services.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7"/>
          <w:szCs w:val="17"/>
          <w:b w:val="1"/>
          <w:bCs w:val="1"/>
          <w:color w:val="auto"/>
        </w:rPr>
        <w:t xml:space="preserve">Cash flows from investing activities </w:t>
      </w:r>
      <w:r>
        <w:rPr>
          <w:rFonts w:ascii="Arial" w:cs="Arial" w:eastAsia="Arial" w:hAnsi="Arial"/>
          <w:sz w:val="17"/>
          <w:szCs w:val="17"/>
          <w:color w:val="auto"/>
        </w:rPr>
        <w:t>for the year ended December 31, 2021 was $23.9 million of cash used by investing activities, as compared to $14.3</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cash used by investing activities during the same period in 2020. The change in cash used for investing activities in the current year was primarily related to increased investment in product development for our Cloud offering and capitalization of associated labor costs.</w:t>
      </w:r>
    </w:p>
    <w:p>
      <w:pPr>
        <w:spacing w:after="0" w:line="19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Cash flows from investing activities for the year ended December 31, 2020 was $14.3 million of cash used by investing activities, as compared to $19.4 million in cash provided by investing activities during the same period in 2019. The cash used for investing in 2020 was primarily related to the $16.7 million investment in capitalized software offset by the sale of certain IP address assets. The net decrease in cash from investing activities from 2019 mainly related to the net proceeds from the purchases and sales of marketable securities in 2019 that were not present in 2020.</w:t>
      </w:r>
    </w:p>
    <w:p>
      <w:pPr>
        <w:spacing w:after="0" w:line="198" w:lineRule="exact"/>
        <w:rPr>
          <w:sz w:val="20"/>
          <w:szCs w:val="20"/>
          <w:color w:val="auto"/>
        </w:rPr>
      </w:pPr>
    </w:p>
    <w:p>
      <w:pPr>
        <w:jc w:val="both"/>
        <w:ind w:firstLine="319"/>
        <w:spacing w:after="0" w:line="271" w:lineRule="auto"/>
        <w:rPr>
          <w:sz w:val="20"/>
          <w:szCs w:val="20"/>
          <w:color w:val="auto"/>
        </w:rPr>
      </w:pPr>
      <w:r>
        <w:rPr>
          <w:rFonts w:ascii="Arial" w:cs="Arial" w:eastAsia="Arial" w:hAnsi="Arial"/>
          <w:sz w:val="17"/>
          <w:szCs w:val="17"/>
          <w:b w:val="1"/>
          <w:bCs w:val="1"/>
          <w:color w:val="auto"/>
        </w:rPr>
        <w:t xml:space="preserve">Cash flows from financing activities </w:t>
      </w:r>
      <w:r>
        <w:rPr>
          <w:rFonts w:ascii="Arial" w:cs="Arial" w:eastAsia="Arial" w:hAnsi="Arial"/>
          <w:sz w:val="17"/>
          <w:szCs w:val="17"/>
          <w:color w:val="auto"/>
        </w:rPr>
        <w:t>for the year ended December 31, 2021 was $16.2 million of cash provided by financing activities,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$10.0 million of cash provided for the same period in 2020. In 2021, the net proceeds from our public offering of common stock, Senior Note offering and Series B Transaction was primarily used to fully redeem all outstanding shares of the Company’s Series A Preferred Stock and repay and close the Revolving Credit Facility on June 30, 2021. The remaining increase in cash provided from financing activities is primarily attributable to the $16.1 million of additional Senior Notes sold in the fourth quarter of 2021 pursuant to the Sales Agreement.</w:t>
      </w:r>
    </w:p>
    <w:p>
      <w:pPr>
        <w:spacing w:after="0" w:line="20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Cash flows from financing activities for the year ended December 31, 2020 was $10.0 million of cash provided, as compared to $121.3 million of cash used by financing activities for the same period in 2019. The cash provided from financing activities was attributable to the $10.0 million drawdown from our Revolving Credit Facility. The net change in cash provided from financing activities from the prior year was primarily attributable to the cash provided from the Revolving Credit Facility offset by repayments for our Convertible Senior Notes in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1"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8"/>
          <w:szCs w:val="18"/>
          <w:color w:val="auto"/>
        </w:rPr>
        <w:t>While inflationary increases in certain input costs, such as occupancy, labor and benefits, and general and administrative costs, have an impact on our operating results, inflation has had minimal net effect on our results of operations during 2021, 2020 and 2019. We cannot assure you, however, that we will not be affected by general inflation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58" w:lineRule="exact"/>
        <w:rPr>
          <w:sz w:val="20"/>
          <w:szCs w:val="20"/>
          <w:color w:val="auto"/>
        </w:rPr>
      </w:pPr>
    </w:p>
    <w:p>
      <w:pPr>
        <w:jc w:val="both"/>
        <w:ind w:right="200" w:firstLine="319"/>
        <w:spacing w:after="0" w:line="199" w:lineRule="exact"/>
        <w:rPr>
          <w:sz w:val="20"/>
          <w:szCs w:val="20"/>
          <w:color w:val="auto"/>
        </w:rPr>
      </w:pPr>
      <w:r>
        <w:rPr>
          <w:rFonts w:ascii="Arial" w:cs="Arial" w:eastAsia="Arial" w:hAnsi="Arial"/>
          <w:sz w:val="18"/>
          <w:szCs w:val="18"/>
          <w:color w:val="auto"/>
        </w:rPr>
        <w:t>Our contractual obligations consist of office and laptop leases, notes payable and related interest as well as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December 31, 2021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6"/>
                <w:szCs w:val="16"/>
                <w:b w:val="1"/>
                <w:bCs w:val="1"/>
                <w:color w:val="auto"/>
                <w:w w:val="89"/>
              </w:rPr>
              <w:t>Payments Due by Period</w:t>
            </w: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6"/>
        </w:trPr>
        <w:tc>
          <w:tcPr>
            <w:tcW w:w="4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2023-2025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2026-2027</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Thereafter</w:t>
            </w:r>
          </w:p>
        </w:tc>
      </w:tr>
      <w:tr>
        <w:trPr>
          <w:trHeight w:val="22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26"/>
        </w:trPr>
        <w:tc>
          <w:tcPr>
            <w:tcW w:w="4040" w:type="dxa"/>
            <w:vAlign w:val="bottom"/>
          </w:tcPr>
          <w:p>
            <w:pPr>
              <w:ind w:left="20"/>
              <w:spacing w:after="0" w:line="22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0"/>
                <w:szCs w:val="20"/>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 Payable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317,469</w:t>
            </w:r>
          </w:p>
        </w:tc>
        <w:tc>
          <w:tcPr>
            <w:tcW w:w="14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48,751</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100,258</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164,183</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4,277</w:t>
            </w:r>
          </w:p>
        </w:tc>
      </w:tr>
      <w:tr>
        <w:trPr>
          <w:trHeight w:val="20"/>
        </w:trPr>
        <w:tc>
          <w:tcPr>
            <w:tcW w:w="4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7" w:lineRule="exact"/>
        <w:rPr>
          <w:sz w:val="20"/>
          <w:szCs w:val="20"/>
          <w:color w:val="auto"/>
        </w:rPr>
      </w:pPr>
    </w:p>
    <w:p>
      <w:pPr>
        <w:ind w:left="240" w:hanging="234"/>
        <w:spacing w:after="0"/>
        <w:tabs>
          <w:tab w:leader="none" w:pos="24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Unrecognized tax positions are $4.5 million at December 31, 2021.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1"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which have been prepared in accordance with U.S. GAAP. The preparation of these consolidated financial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We have discussed the selection and development of the critical accounting policies with the Audit Committee, and the Audit Committee has reviewed our related disclosures in this Form 10-K.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 “Item 1A. Risk Factors” in this Form 10-K for certain matters bearing risks on our future results of operations.</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consolidated financial condition and results of operations and they require critical management judgments and estimates about matters that are uncertain.</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 xml:space="preserve">Significant accounting policies that we employ are presented in the Notes to our Consolidated Financial Statements in Item 8 </w:t>
      </w:r>
      <w:r>
        <w:rPr>
          <w:rFonts w:ascii="Arial" w:cs="Arial" w:eastAsia="Arial" w:hAnsi="Arial"/>
          <w:sz w:val="18"/>
          <w:szCs w:val="18"/>
          <w:i w:val="1"/>
          <w:iCs w:val="1"/>
          <w:color w:val="auto"/>
        </w:rPr>
        <w:t>Note 2.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There were no significant changes in our critical accounting policies and estimates discussed in our Form 10-K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Company generates revenue from the delivery of a range of products, solutions and services for operators, enterprises, OEMs and technology providers. We offer services principally on a Transactional or Subscription basis (SaaS) or in the form of Professional Services or Software Licenses.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2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20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Transaction service arrangements include services such as processing equipment orders, new account setup and activation, number port requests, credit checks and inventory management. 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18" w:lineRule="exact"/>
        <w:rPr>
          <w:sz w:val="20"/>
          <w:szCs w:val="20"/>
          <w:color w:val="auto"/>
        </w:rPr>
      </w:pPr>
    </w:p>
    <w:p>
      <w:pPr>
        <w:jc w:val="both"/>
        <w:ind w:firstLine="319"/>
        <w:spacing w:after="0" w:line="215"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remaining expected customer relationship period. Revenues are presented net of discounts, which are volume level driven.</w:t>
      </w:r>
    </w:p>
    <w:p>
      <w:pPr>
        <w:spacing w:after="0" w:line="22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21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one performance obligation. The Company does not have a history of returns, or refunds of its software licenses, however, in limited instances, the Company may constrain consideration to high-risk customers, until collection is resolved.</w:t>
      </w:r>
    </w:p>
    <w:p>
      <w:pPr>
        <w:spacing w:after="0" w:line="206"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89"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Most of the Company’s contracts with customers contain multiple performance obligations which generally include either 1) a perpetual software license with support and maintenance and sometimes a hosting agreement or 2) a term SaaS agreement, frequently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19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08"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updates these estimates on a quarterly basis.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(“TCJA”), allowing for the carryback of losses arising in tax years 2018, 2019 and 2020, to each of the five taxable years preceding the taxable year of loss.</w:t>
      </w:r>
    </w:p>
    <w:p>
      <w:pPr>
        <w:spacing w:after="0" w:line="20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Since the Company conducts operations on a global basis, its effective tax rate has and will depend upon the geographic distribution of pre-tax earnings among locations with varying tax rates. the Company accounts for the effects of income taxes that result from its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22"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In evaluating our ability to recover the Company’s deferred tax assets within the jurisdiction from which they arise, the Company considered all available positive and negative evidence, including scheduled reversals of deferred tax liabilities, projected future taxable income, tax-planning strategies, and results of recent operations. In projecting future taxable income, the Company begins with historical results and incorporate assumptions including the amount of future state, federal and foreign pretax operating income, the reversal of temporary differences, and the implementation of feasible and prudent tax-</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planning strategies. These assumptions require significant judgment about the forecasts of future taxable income and are consistent with the plans and estimates the Company is using to manage the underlying businesses.</w:t>
      </w:r>
    </w:p>
    <w:p>
      <w:pPr>
        <w:spacing w:after="0" w:line="206"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Company recognizes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the Company expects each of the items to be settled. The Company recorded interest and penalties accrued in relation to uncertain tax benefits as a component of interest expense.</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While the Company believes it has have identified all reasonably identifiable exposures and that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tax reserves. In general, tax returns for the year 2017 and thereafter are subject to future examination by tax authorities. Additionally, to the extent the Company utilizes our NOL carryforwards in the future, the tax years in which the attribute was generated may still be adjusted upon examination by the tax authorities in the future period when the attribute is utilized.</w:t>
      </w:r>
    </w:p>
    <w:p>
      <w:pPr>
        <w:spacing w:after="0" w:line="21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Company’s policy has been to leave its cumulative unremitted foreign earnings invested indefinitely outside the United States, and the Company intends to continue this policy. Although distributions to the U.S. are generally not subject to U.S. federal taxes,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Goodwill represents the excess of the purchase price over the fair value of assets acquired, including other definite-life intangible assets. Our policy is to perform an impairment test of goodwill at least annually, and more frequently if events or circumstances occurred that would indicate a reduced fair value in our reporting units could exist. Typically, we perform a qualitative assessment in the fourth quarter of the fiscal year to determine if it is more likely than not that the fair value of a reporting unit is less than its carrying value. As part of this qualitative assessment, we perform a quantitative assessment where necessary in substantiating our qualitative assessment.</w:t>
      </w:r>
    </w:p>
    <w:p>
      <w:pPr>
        <w:spacing w:after="0" w:line="22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During our qualitative assessment we make significant estimates, assumptions, and judgments, around the financial performance of the Company, changes in our share price, and forecasts of earnings, working capital requirements, and cash flows. We consider each reporting unit's historical results and operating trends as well as any strategic difference from our historical results when determining these assumptions.</w:t>
      </w:r>
    </w:p>
    <w:p>
      <w:pPr>
        <w:spacing w:after="0" w:line="19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If we determine that it is more likely than not that the fair value of a reporting unit is less than its carrying amount, including goodwill, we perform a quantitative goodwill impairment test. 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we recognize an impairment charge for the amount by which the carrying amount exceeds the reporting unit's fair value.</w:t>
      </w:r>
    </w:p>
    <w:p>
      <w:pPr>
        <w:spacing w:after="0" w:line="22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For our 2021 impairment tests, the Company identified one reporting unit, Core. The Company performed a quantitative impairment assessment, as of October 1, 2021, for the Core reporting unit. The amounts below represent the results of our quantitative assessment.</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use the average of our fair values for purposes of our comparison between carrying value and fair value for the quantitative impairment test. The table below depicts the methods employed, assumptions used and percentage fair value in excess of carrying value.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Impairment Test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1340" w:type="dxa"/>
            <w:vAlign w:val="bottom"/>
            <w:tcBorders>
              <w:top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Reporting Unit</w:t>
            </w: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Discount Rate</w:t>
            </w: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Growth rate range</w:t>
            </w:r>
          </w:p>
        </w:tc>
        <w:tc>
          <w:tcPr>
            <w:tcW w:w="14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2"/>
              </w:rPr>
              <w:t>Terminal Growth</w:t>
            </w:r>
          </w:p>
        </w:tc>
        <w:tc>
          <w:tcPr>
            <w:tcW w:w="116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1940" w:type="dxa"/>
            <w:vAlign w:val="bottom"/>
            <w:tcBorders>
              <w:top w:val="single" w:sz="8" w:color="auto"/>
            </w:tcBorders>
            <w:gridSpan w:val="2"/>
          </w:tcPr>
          <w:p>
            <w:pPr>
              <w:jc w:val="center"/>
              <w:spacing w:after="0" w:line="158" w:lineRule="exact"/>
              <w:rPr>
                <w:sz w:val="20"/>
                <w:szCs w:val="20"/>
                <w:color w:val="auto"/>
              </w:rPr>
            </w:pPr>
            <w:r>
              <w:rPr>
                <w:rFonts w:ascii="Arial" w:cs="Arial" w:eastAsia="Arial" w:hAnsi="Arial"/>
                <w:sz w:val="16"/>
                <w:szCs w:val="16"/>
                <w:b w:val="1"/>
                <w:bCs w:val="1"/>
                <w:color w:val="auto"/>
                <w:w w:val="89"/>
              </w:rPr>
              <w:t>Fair Value Exceeds</w:t>
            </w:r>
          </w:p>
        </w:tc>
        <w:tc>
          <w:tcPr>
            <w:tcW w:w="2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Fair Value method</w:t>
            </w:r>
          </w:p>
        </w:tc>
        <w:tc>
          <w:tcPr>
            <w:tcW w:w="0" w:type="dxa"/>
            <w:vAlign w:val="bottom"/>
          </w:tcPr>
          <w:p>
            <w:pPr>
              <w:spacing w:after="0"/>
              <w:rPr>
                <w:sz w:val="1"/>
                <w:szCs w:val="1"/>
                <w:color w:val="auto"/>
              </w:rPr>
            </w:pPr>
          </w:p>
        </w:tc>
      </w:tr>
      <w:tr>
        <w:trPr>
          <w:trHeight w:val="210"/>
        </w:trPr>
        <w:tc>
          <w:tcPr>
            <w:tcW w:w="13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Rate</w:t>
            </w:r>
          </w:p>
        </w:tc>
        <w:tc>
          <w:tcPr>
            <w:tcW w:w="1160" w:type="dxa"/>
            <w:vAlign w:val="bottom"/>
            <w:vMerge w:val="continue"/>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Carrying Value by</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rPr>
              <w:t>Core</w:t>
            </w:r>
          </w:p>
        </w:tc>
        <w:tc>
          <w:tcPr>
            <w:tcW w:w="1240" w:type="dxa"/>
            <w:vAlign w:val="bottom"/>
            <w:tcBorders>
              <w:top w:val="single" w:sz="8" w:color="auto"/>
            </w:tcBorders>
            <w:vMerge w:val="restart"/>
            <w:shd w:val="clear" w:color="auto" w:fill="CCEEFF"/>
          </w:tcPr>
          <w:p>
            <w:pPr>
              <w:jc w:val="right"/>
              <w:ind w:right="316"/>
              <w:spacing w:after="0"/>
              <w:rPr>
                <w:sz w:val="20"/>
                <w:szCs w:val="20"/>
                <w:color w:val="auto"/>
              </w:rPr>
            </w:pPr>
            <w:r>
              <w:rPr>
                <w:rFonts w:ascii="Arial" w:cs="Arial" w:eastAsia="Arial" w:hAnsi="Arial"/>
                <w:sz w:val="18"/>
                <w:szCs w:val="18"/>
                <w:color w:val="auto"/>
              </w:rPr>
              <w:t>13.0%</w:t>
            </w:r>
          </w:p>
        </w:tc>
        <w:tc>
          <w:tcPr>
            <w:tcW w:w="1480" w:type="dxa"/>
            <w:vAlign w:val="bottom"/>
            <w:tcBorders>
              <w:top w:val="single" w:sz="8" w:color="auto"/>
            </w:tcBorders>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0.6% - 11.0%</w:t>
            </w:r>
          </w:p>
        </w:tc>
        <w:tc>
          <w:tcPr>
            <w:tcW w:w="14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2.0%</w:t>
            </w:r>
          </w:p>
        </w:tc>
        <w:tc>
          <w:tcPr>
            <w:tcW w:w="116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$226,840</w:t>
            </w:r>
          </w:p>
        </w:tc>
        <w:tc>
          <w:tcPr>
            <w:tcW w:w="1840" w:type="dxa"/>
            <w:vAlign w:val="bottom"/>
            <w:tcBorders>
              <w:top w:val="single" w:sz="8" w:color="auto"/>
            </w:tcBorders>
            <w:vMerge w:val="restart"/>
            <w:shd w:val="clear" w:color="auto" w:fill="CCEEFF"/>
          </w:tcPr>
          <w:p>
            <w:pPr>
              <w:jc w:val="center"/>
              <w:ind w:left="17"/>
              <w:spacing w:after="0"/>
              <w:rPr>
                <w:sz w:val="20"/>
                <w:szCs w:val="20"/>
                <w:color w:val="auto"/>
              </w:rPr>
            </w:pPr>
            <w:r>
              <w:rPr>
                <w:rFonts w:ascii="Arial" w:cs="Arial" w:eastAsia="Arial" w:hAnsi="Arial"/>
                <w:sz w:val="18"/>
                <w:szCs w:val="18"/>
                <w:color w:val="auto"/>
                <w:w w:val="90"/>
              </w:rPr>
              <w:t>57.1%</w:t>
            </w:r>
          </w:p>
        </w:tc>
        <w:tc>
          <w:tcPr>
            <w:tcW w:w="10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Income Approach, Market</w:t>
            </w:r>
          </w:p>
        </w:tc>
        <w:tc>
          <w:tcPr>
            <w:tcW w:w="0" w:type="dxa"/>
            <w:vAlign w:val="bottom"/>
          </w:tcPr>
          <w:p>
            <w:pPr>
              <w:spacing w:after="0"/>
              <w:rPr>
                <w:sz w:val="1"/>
                <w:szCs w:val="1"/>
                <w:color w:val="auto"/>
              </w:rPr>
            </w:pPr>
          </w:p>
        </w:tc>
      </w:tr>
      <w:tr>
        <w:trPr>
          <w:trHeight w:val="131"/>
        </w:trPr>
        <w:tc>
          <w:tcPr>
            <w:tcW w:w="1340" w:type="dxa"/>
            <w:vAlign w:val="bottom"/>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6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Approach</w:t>
            </w:r>
          </w:p>
        </w:tc>
        <w:tc>
          <w:tcPr>
            <w:tcW w:w="0" w:type="dxa"/>
            <w:vAlign w:val="bottom"/>
          </w:tcPr>
          <w:p>
            <w:pPr>
              <w:spacing w:after="0"/>
              <w:rPr>
                <w:sz w:val="1"/>
                <w:szCs w:val="1"/>
                <w:color w:val="auto"/>
              </w:rPr>
            </w:pPr>
          </w:p>
        </w:tc>
      </w:tr>
      <w:tr>
        <w:trPr>
          <w:trHeight w:val="94"/>
        </w:trPr>
        <w:tc>
          <w:tcPr>
            <w:tcW w:w="1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2021 fair value of the reporting unit was estimated using a combination of the income approach, which incorporates the use of the discounted cash flow method, and the market approach, which incorporates the use of earnings and revenue multiples based on market data. We generally applied an equal weighting to the income and market approaches for our analysis when both are applied.</w:t>
      </w:r>
    </w:p>
    <w:p>
      <w:pPr>
        <w:spacing w:after="0" w:line="21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For the income approach, we used projections, which require the use of significant estimates and assumptions specific to the reporting unit as well as those based on general economic conditions. Factors specific to each reporting unit include revenue and cost growth, profit margins, terminal value growth rates, capital expenditures projections, assumed tax rates, discount rates and other assumptions deemed reasonable by management.</w:t>
      </w:r>
    </w:p>
    <w:p>
      <w:pPr>
        <w:spacing w:after="0" w:line="19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the market approach, we used judgment in identifying the relevant comparable-company market multiples. These estimates and assumptions may vary between each reporting unit depending on the facts and circumstances specific to that unit. If sufficient comparable data is not present, the market approach will not be employed. The discount rate for each reporting unit is influenced by general market conditions as well as factors specific to the reporting unit.</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Factors influencing the revenue growth rates include the nature of the services the reporting unit provides for its clients, the maturity of the reporting unit and any known concentrated customer contract renewals. We believe that the estimates and assumptions we made are reasonable, but they are susceptible to change from period to period. Actual results of operations, cash flows and other factors will likely differ from the estimates used in our valuation, and it is possible that differences and changes could be material.</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 deterioration in profitability, adverse market conditions, significant client losses, changes in spending levels of our existing clients or a different economic outlook than currently estimated by management could have a significant impact on the estimated fair value of our reporting units and could result in an impairment charge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5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Software development costs are accounted for in accordance with either ASC 985-20, “Software - Costs of Software to be Sold, Leased or Marketed,” or ASC 350-40, “Internal-Use Software.”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2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of the Notes to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had no off-balance sheet arrangements as of December 31, 2021 and December 31, 2020.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2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December 31, 2021 and December 31, 2020 were invested in liquid money market accounts, certificates of deposit and government securities. All market-risk sensitive instruments were entered into for non-trading purposes.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1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December 31, 2021 would increase interest income by approximately $0.3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6"/>
                <w:szCs w:val="16"/>
                <w:color w:val="auto"/>
              </w:rPr>
              <w:t>Page No.</w:t>
            </w:r>
          </w:p>
        </w:tc>
      </w:tr>
      <w:tr>
        <w:trPr>
          <w:trHeight w:val="191"/>
        </w:trPr>
        <w:tc>
          <w:tcPr>
            <w:tcW w:w="100" w:type="dxa"/>
            <w:vAlign w:val="bottom"/>
          </w:tcPr>
          <w:p>
            <w:pPr>
              <w:spacing w:after="0"/>
              <w:rPr>
                <w:sz w:val="16"/>
                <w:szCs w:val="16"/>
                <w:color w:val="auto"/>
              </w:rPr>
            </w:pPr>
          </w:p>
        </w:tc>
        <w:tc>
          <w:tcPr>
            <w:tcW w:w="9300" w:type="dxa"/>
            <w:vAlign w:val="bottom"/>
            <w:gridSpan w:val="9"/>
          </w:tcPr>
          <w:p>
            <w:pPr>
              <w:spacing w:after="0" w:line="191" w:lineRule="exact"/>
              <w:rPr>
                <w:rFonts w:ascii="Arial" w:cs="Arial" w:eastAsia="Arial" w:hAnsi="Arial"/>
                <w:sz w:val="18"/>
                <w:szCs w:val="18"/>
                <w:color w:val="0000FF"/>
              </w:rPr>
            </w:pPr>
            <w:hyperlink w:anchor="page60">
              <w:r>
                <w:rPr>
                  <w:rFonts w:ascii="Arial" w:cs="Arial" w:eastAsia="Arial" w:hAnsi="Arial"/>
                  <w:sz w:val="18"/>
                  <w:szCs w:val="18"/>
                  <w:color w:val="0000FF"/>
                </w:rPr>
                <w:t xml:space="preserve">Report of Independent Registered Public Accounting Firm (PCAOB ID No. </w:t>
              </w:r>
            </w:hyperlink>
            <w:r>
              <w:rPr>
                <w:rFonts w:ascii="Arial" w:cs="Arial" w:eastAsia="Arial" w:hAnsi="Arial"/>
                <w:sz w:val="18"/>
                <w:szCs w:val="18"/>
                <w:color w:val="0E32E1"/>
              </w:rPr>
              <w:t>42)</w:t>
            </w:r>
          </w:p>
        </w:tc>
        <w:tc>
          <w:tcPr>
            <w:tcW w:w="1840" w:type="dxa"/>
            <w:vAlign w:val="bottom"/>
            <w:gridSpan w:val="3"/>
          </w:tcPr>
          <w:p>
            <w:pPr>
              <w:jc w:val="right"/>
              <w:ind w:right="60"/>
              <w:spacing w:after="0" w:line="191"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4560" w:type="dxa"/>
            <w:vAlign w:val="bottom"/>
            <w:gridSpan w:val="2"/>
          </w:tcPr>
          <w:p>
            <w:pPr>
              <w:spacing w:after="0"/>
              <w:rPr>
                <w:rFonts w:ascii="Arial" w:cs="Arial" w:eastAsia="Arial" w:hAnsi="Arial"/>
                <w:sz w:val="18"/>
                <w:szCs w:val="18"/>
                <w:color w:val="0000FF"/>
                <w:w w:val="86"/>
              </w:rPr>
            </w:pPr>
            <w:hyperlink w:anchor="page62">
              <w:r>
                <w:rPr>
                  <w:rFonts w:ascii="Arial" w:cs="Arial" w:eastAsia="Arial" w:hAnsi="Arial"/>
                  <w:sz w:val="18"/>
                  <w:szCs w:val="18"/>
                  <w:color w:val="0000FF"/>
                  <w:w w:val="86"/>
                </w:rPr>
                <w:t xml:space="preserve">Consolidated Balance Sheets as of December 31, 2021 and </w:t>
              </w:r>
            </w:hyperlink>
            <w:r>
              <w:rPr>
                <w:rFonts w:ascii="Arial" w:cs="Arial" w:eastAsia="Arial" w:hAnsi="Arial"/>
                <w:sz w:val="18"/>
                <w:szCs w:val="18"/>
                <w:color w:val="0000FF"/>
                <w:w w:val="86"/>
              </w:rPr>
              <w:t>2020</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5"/>
          </w:tcPr>
          <w:p>
            <w:pPr>
              <w:spacing w:after="0"/>
              <w:rPr>
                <w:sz w:val="17"/>
                <w:szCs w:val="17"/>
                <w:color w:val="auto"/>
              </w:rPr>
            </w:pPr>
          </w:p>
        </w:tc>
        <w:tc>
          <w:tcPr>
            <w:tcW w:w="1840" w:type="dxa"/>
            <w:vAlign w:val="bottom"/>
            <w:gridSpan w:val="3"/>
          </w:tcPr>
          <w:p>
            <w:pPr>
              <w:jc w:val="right"/>
              <w:ind w:right="60"/>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930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Operations for the years ended December 31, 2021, 2020 and 2019</w:t>
              </w:r>
            </w:hyperlink>
          </w:p>
        </w:tc>
        <w:tc>
          <w:tcPr>
            <w:tcW w:w="1840" w:type="dxa"/>
            <w:vAlign w:val="bottom"/>
            <w:gridSpan w:val="3"/>
          </w:tcPr>
          <w:p>
            <w:pPr>
              <w:jc w:val="right"/>
              <w:ind w:right="60"/>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8140" w:type="dxa"/>
            <w:vAlign w:val="bottom"/>
            <w:gridSpan w:val="8"/>
          </w:tcPr>
          <w:p>
            <w:pPr>
              <w:spacing w:after="0"/>
              <w:rPr>
                <w:rFonts w:ascii="Arial" w:cs="Arial" w:eastAsia="Arial" w:hAnsi="Arial"/>
                <w:sz w:val="18"/>
                <w:szCs w:val="18"/>
                <w:color w:val="0000FF"/>
                <w:w w:val="87"/>
              </w:rPr>
            </w:pPr>
            <w:hyperlink w:anchor="page64">
              <w:r>
                <w:rPr>
                  <w:rFonts w:ascii="Arial" w:cs="Arial" w:eastAsia="Arial" w:hAnsi="Arial"/>
                  <w:sz w:val="18"/>
                  <w:szCs w:val="18"/>
                  <w:color w:val="0000FF"/>
                  <w:w w:val="87"/>
                </w:rPr>
                <w:t xml:space="preserve">Consolidated Statements of Comprehensive (Loss) Income for the years ended December 31, </w:t>
              </w:r>
            </w:hyperlink>
            <w:r>
              <w:rPr>
                <w:rFonts w:ascii="Arial" w:cs="Arial" w:eastAsia="Arial" w:hAnsi="Arial"/>
                <w:sz w:val="18"/>
                <w:szCs w:val="18"/>
                <w:color w:val="0000FF"/>
                <w:w w:val="87"/>
              </w:rPr>
              <w:t xml:space="preserve">2021, 2020 </w:t>
            </w:r>
            <w:hyperlink w:anchor="page64">
              <w:r>
                <w:rPr>
                  <w:rFonts w:ascii="Arial" w:cs="Arial" w:eastAsia="Arial" w:hAnsi="Arial"/>
                  <w:sz w:val="18"/>
                  <w:szCs w:val="18"/>
                  <w:color w:val="0000FF"/>
                  <w:w w:val="87"/>
                </w:rPr>
                <w:t xml:space="preserve">and </w:t>
              </w:r>
            </w:hyperlink>
            <w:r>
              <w:rPr>
                <w:rFonts w:ascii="Arial" w:cs="Arial" w:eastAsia="Arial" w:hAnsi="Arial"/>
                <w:sz w:val="18"/>
                <w:szCs w:val="18"/>
                <w:color w:val="0000FF"/>
                <w:w w:val="87"/>
              </w:rPr>
              <w:t>2019</w:t>
            </w:r>
          </w:p>
        </w:tc>
        <w:tc>
          <w:tcPr>
            <w:tcW w:w="1160" w:type="dxa"/>
            <w:vAlign w:val="bottom"/>
          </w:tcPr>
          <w:p>
            <w:pPr>
              <w:spacing w:after="0"/>
              <w:rPr>
                <w:sz w:val="17"/>
                <w:szCs w:val="17"/>
                <w:color w:val="auto"/>
              </w:rPr>
            </w:pPr>
          </w:p>
        </w:tc>
        <w:tc>
          <w:tcPr>
            <w:tcW w:w="1840" w:type="dxa"/>
            <w:vAlign w:val="bottom"/>
            <w:gridSpan w:val="3"/>
          </w:tcPr>
          <w:p>
            <w:pPr>
              <w:jc w:val="right"/>
              <w:ind w:right="60"/>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8140" w:type="dxa"/>
            <w:vAlign w:val="bottom"/>
            <w:gridSpan w:val="8"/>
          </w:tcPr>
          <w:p>
            <w:pPr>
              <w:spacing w:after="0"/>
              <w:rPr>
                <w:rFonts w:ascii="Arial" w:cs="Arial" w:eastAsia="Arial" w:hAnsi="Arial"/>
                <w:sz w:val="18"/>
                <w:szCs w:val="18"/>
                <w:color w:val="0000FF"/>
                <w:w w:val="96"/>
              </w:rPr>
            </w:pPr>
            <w:hyperlink w:anchor="page65">
              <w:r>
                <w:rPr>
                  <w:rFonts w:ascii="Arial" w:cs="Arial" w:eastAsia="Arial" w:hAnsi="Arial"/>
                  <w:sz w:val="18"/>
                  <w:szCs w:val="18"/>
                  <w:color w:val="0000FF"/>
                  <w:w w:val="96"/>
                </w:rPr>
                <w:t xml:space="preserve">Consolidated Statements of Stockholders’ Equity for the years ended December 31, </w:t>
              </w:r>
            </w:hyperlink>
            <w:r>
              <w:rPr>
                <w:rFonts w:ascii="Arial" w:cs="Arial" w:eastAsia="Arial" w:hAnsi="Arial"/>
                <w:sz w:val="18"/>
                <w:szCs w:val="18"/>
                <w:color w:val="0000FF"/>
                <w:w w:val="96"/>
              </w:rPr>
              <w:t xml:space="preserve">2021, 2020 </w:t>
            </w:r>
            <w:hyperlink w:anchor="page65">
              <w:r>
                <w:rPr>
                  <w:rFonts w:ascii="Arial" w:cs="Arial" w:eastAsia="Arial" w:hAnsi="Arial"/>
                  <w:sz w:val="18"/>
                  <w:szCs w:val="18"/>
                  <w:color w:val="0000FF"/>
                  <w:w w:val="96"/>
                </w:rPr>
                <w:t xml:space="preserve">and </w:t>
              </w:r>
            </w:hyperlink>
            <w:r>
              <w:rPr>
                <w:rFonts w:ascii="Arial" w:cs="Arial" w:eastAsia="Arial" w:hAnsi="Arial"/>
                <w:sz w:val="18"/>
                <w:szCs w:val="18"/>
                <w:color w:val="0000FF"/>
                <w:w w:val="96"/>
              </w:rPr>
              <w:t>2019</w:t>
            </w:r>
          </w:p>
        </w:tc>
        <w:tc>
          <w:tcPr>
            <w:tcW w:w="1160" w:type="dxa"/>
            <w:vAlign w:val="bottom"/>
          </w:tcPr>
          <w:p>
            <w:pPr>
              <w:spacing w:after="0"/>
              <w:rPr>
                <w:sz w:val="17"/>
                <w:szCs w:val="17"/>
                <w:color w:val="auto"/>
              </w:rPr>
            </w:pPr>
          </w:p>
        </w:tc>
        <w:tc>
          <w:tcPr>
            <w:tcW w:w="1840" w:type="dxa"/>
            <w:vAlign w:val="bottom"/>
            <w:gridSpan w:val="3"/>
          </w:tcPr>
          <w:p>
            <w:pPr>
              <w:jc w:val="right"/>
              <w:ind w:right="60"/>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6780" w:type="dxa"/>
            <w:vAlign w:val="bottom"/>
            <w:gridSpan w:val="6"/>
          </w:tcPr>
          <w:p>
            <w:pPr>
              <w:spacing w:after="0"/>
              <w:rPr>
                <w:rFonts w:ascii="Arial" w:cs="Arial" w:eastAsia="Arial" w:hAnsi="Arial"/>
                <w:sz w:val="18"/>
                <w:szCs w:val="18"/>
                <w:color w:val="0000FF"/>
                <w:w w:val="87"/>
              </w:rPr>
            </w:pPr>
            <w:hyperlink w:anchor="page66">
              <w:r>
                <w:rPr>
                  <w:rFonts w:ascii="Arial" w:cs="Arial" w:eastAsia="Arial" w:hAnsi="Arial"/>
                  <w:sz w:val="18"/>
                  <w:szCs w:val="18"/>
                  <w:color w:val="0000FF"/>
                  <w:w w:val="87"/>
                </w:rPr>
                <w:t xml:space="preserve">Consolidated Statements of Cash Flows for the years ended December 31, </w:t>
              </w:r>
            </w:hyperlink>
            <w:r>
              <w:rPr>
                <w:rFonts w:ascii="Arial" w:cs="Arial" w:eastAsia="Arial" w:hAnsi="Arial"/>
                <w:sz w:val="18"/>
                <w:szCs w:val="18"/>
                <w:color w:val="0000FF"/>
                <w:w w:val="87"/>
              </w:rPr>
              <w:t xml:space="preserve">2021, 2020 </w:t>
            </w:r>
            <w:hyperlink w:anchor="page66">
              <w:r>
                <w:rPr>
                  <w:rFonts w:ascii="Arial" w:cs="Arial" w:eastAsia="Arial" w:hAnsi="Arial"/>
                  <w:sz w:val="18"/>
                  <w:szCs w:val="18"/>
                  <w:color w:val="0000FF"/>
                  <w:w w:val="87"/>
                </w:rPr>
                <w:t xml:space="preserve">and </w:t>
              </w:r>
            </w:hyperlink>
            <w:r>
              <w:rPr>
                <w:rFonts w:ascii="Arial" w:cs="Arial" w:eastAsia="Arial" w:hAnsi="Arial"/>
                <w:sz w:val="18"/>
                <w:szCs w:val="18"/>
                <w:color w:val="0000FF"/>
                <w:w w:val="87"/>
              </w:rPr>
              <w:t>2019</w:t>
            </w:r>
          </w:p>
        </w:tc>
        <w:tc>
          <w:tcPr>
            <w:tcW w:w="660" w:type="dxa"/>
            <w:vAlign w:val="bottom"/>
          </w:tcPr>
          <w:p>
            <w:pPr>
              <w:spacing w:after="0"/>
              <w:rPr>
                <w:sz w:val="17"/>
                <w:szCs w:val="17"/>
                <w:color w:val="auto"/>
              </w:rPr>
            </w:pPr>
          </w:p>
        </w:tc>
        <w:tc>
          <w:tcPr>
            <w:tcW w:w="1860" w:type="dxa"/>
            <w:vAlign w:val="bottom"/>
            <w:gridSpan w:val="2"/>
          </w:tcPr>
          <w:p>
            <w:pPr>
              <w:spacing w:after="0"/>
              <w:rPr>
                <w:sz w:val="17"/>
                <w:szCs w:val="17"/>
                <w:color w:val="auto"/>
              </w:rPr>
            </w:pPr>
          </w:p>
        </w:tc>
        <w:tc>
          <w:tcPr>
            <w:tcW w:w="1840" w:type="dxa"/>
            <w:vAlign w:val="bottom"/>
            <w:gridSpan w:val="3"/>
          </w:tcPr>
          <w:p>
            <w:pPr>
              <w:jc w:val="right"/>
              <w:ind w:right="60"/>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20"/>
        </w:trPr>
        <w:tc>
          <w:tcPr>
            <w:tcW w:w="100" w:type="dxa"/>
            <w:vAlign w:val="bottom"/>
            <w:tcBorders>
              <w:right w:val="single" w:sz="8" w:color="0000FF"/>
            </w:tcBorders>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100" w:type="dxa"/>
            <w:vAlign w:val="bottom"/>
          </w:tcPr>
          <w:p>
            <w:pPr>
              <w:spacing w:after="0"/>
              <w:rPr>
                <w:sz w:val="17"/>
                <w:szCs w:val="17"/>
                <w:color w:val="auto"/>
              </w:rPr>
            </w:pPr>
          </w:p>
        </w:tc>
        <w:tc>
          <w:tcPr>
            <w:tcW w:w="6780" w:type="dxa"/>
            <w:vAlign w:val="bottom"/>
            <w:gridSpan w:val="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Notes to Consolidated Financial Statements</w:t>
              </w:r>
            </w:hyperlink>
          </w:p>
        </w:tc>
        <w:tc>
          <w:tcPr>
            <w:tcW w:w="2520" w:type="dxa"/>
            <w:vAlign w:val="bottom"/>
            <w:gridSpan w:val="3"/>
          </w:tcPr>
          <w:p>
            <w:pPr>
              <w:spacing w:after="0"/>
              <w:rPr>
                <w:sz w:val="17"/>
                <w:szCs w:val="17"/>
                <w:color w:val="auto"/>
              </w:rPr>
            </w:pPr>
          </w:p>
        </w:tc>
        <w:tc>
          <w:tcPr>
            <w:tcW w:w="1840" w:type="dxa"/>
            <w:vAlign w:val="bottom"/>
            <w:gridSpan w:val="3"/>
          </w:tcPr>
          <w:p>
            <w:pPr>
              <w:jc w:val="right"/>
              <w:ind w:right="60"/>
              <w:spacing w:after="0"/>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r>
      <w:tr>
        <w:trPr>
          <w:trHeight w:val="870"/>
        </w:trPr>
        <w:tc>
          <w:tcPr>
            <w:tcW w:w="100" w:type="dxa"/>
            <w:vAlign w:val="bottom"/>
          </w:tcPr>
          <w:p>
            <w:pPr>
              <w:spacing w:after="0"/>
              <w:rPr>
                <w:sz w:val="24"/>
                <w:szCs w:val="24"/>
                <w:color w:val="auto"/>
              </w:rPr>
            </w:pPr>
          </w:p>
        </w:tc>
        <w:tc>
          <w:tcPr>
            <w:tcW w:w="3080" w:type="dxa"/>
            <w:vAlign w:val="bottom"/>
            <w:tcBorders>
              <w:top w:val="single" w:sz="8" w:color="0000FF"/>
            </w:tcBorders>
          </w:tcPr>
          <w:p>
            <w:pPr>
              <w:spacing w:after="0"/>
              <w:rPr>
                <w:sz w:val="24"/>
                <w:szCs w:val="24"/>
                <w:color w:val="auto"/>
              </w:rPr>
            </w:pPr>
          </w:p>
        </w:tc>
        <w:tc>
          <w:tcPr>
            <w:tcW w:w="256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10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audited the accompanying consolidated balance sheets of Synchronoss Technologies, Inc. (the Company) as of December 31, 2021 and 2020, the related consolidated statements of operations, comprehensive (loss) income, stockholders’ equity and cash flows for each of the three years in the period ended December 31, 2021,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15, 2022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71" w:lineRule="exact"/>
        <w:rPr>
          <w:sz w:val="20"/>
          <w:szCs w:val="20"/>
          <w:color w:val="auto"/>
        </w:rPr>
      </w:pPr>
    </w:p>
    <w:p>
      <w:pPr>
        <w:ind w:left="2340" w:right="180"/>
        <w:spacing w:after="0" w:line="250" w:lineRule="auto"/>
        <w:rPr>
          <w:sz w:val="20"/>
          <w:szCs w:val="20"/>
          <w:color w:val="auto"/>
        </w:rPr>
      </w:pPr>
      <w:r>
        <w:rPr>
          <w:rFonts w:ascii="Arial" w:cs="Arial" w:eastAsia="Arial" w:hAnsi="Arial"/>
          <w:sz w:val="18"/>
          <w:szCs w:val="18"/>
          <w:b w:val="1"/>
          <w:bCs w:val="1"/>
          <w:i w:val="1"/>
          <w:iCs w:val="1"/>
          <w:color w:val="auto"/>
        </w:rPr>
        <w:t>New and Modified Revenue Arrangements with Multiple Performance Obligations - Identifying contracts, performance obligations and stand-alone selling price</w:t>
      </w:r>
    </w:p>
    <w:p>
      <w:pPr>
        <w:spacing w:after="0" w:line="21" w:lineRule="exact"/>
        <w:rPr>
          <w:sz w:val="20"/>
          <w:szCs w:val="20"/>
          <w:color w:val="auto"/>
        </w:rPr>
      </w:pPr>
    </w:p>
    <w:p>
      <w:pPr>
        <w:jc w:val="both"/>
        <w:ind w:left="2340" w:right="20" w:hanging="2313"/>
        <w:spacing w:after="0" w:line="265" w:lineRule="auto"/>
        <w:tabs>
          <w:tab w:leader="none" w:pos="232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3. Revenue</w:t>
      </w:r>
      <w:r>
        <w:rPr>
          <w:rFonts w:ascii="Arial" w:cs="Arial" w:eastAsia="Arial" w:hAnsi="Arial"/>
          <w:sz w:val="17"/>
          <w:szCs w:val="17"/>
          <w:color w:val="auto"/>
        </w:rPr>
        <w:t xml:space="preserve"> of the financial statements, the Company recognized $281 million in revenue across all service lines. The Company’s revenue agreements frequently contain multiple performance obligations, and judgment is required to determine which performance obligations are distinct and accounted for separately. These agreements may also contain variable consideration in the form of tiered pricing, contractual minimums or discounts. Judgment is also required to estimate the total contract consideration and to allocate the consideration to each distinct performance obligation. Additionally, the Company may enter into multiple agreements with the same customer, which may affect the identification of the contract, the performance obligations and the allocation of total contract consideration. Auditing the Company’s new or modified revenue arrangements that included multiple performance obligations was complex and involved a high degree of judgment related to management’s identification of performance obligations and its estimate and allocation of contract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right="180"/>
        <w:spacing w:after="0" w:line="31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related to the Company’s process for identifying and assessing new or modified revenue arrangements that included multiple performance obligations as well as recognizing the related revenue, including controls over management’s review of the significant judgments and estimates used in the identification of the contract, distinct performance obligations and the estimation and allocation of amounts to each performance obligation.</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audit procedures also included, among others, reading a sample of customer contracts and evaluating management’s identification of the contract and the distinct performance obligations based on the terms of the arrangements and the Company’s accounting policies. To test the calculation of the amount of consideration allocated to each distinct performance obligation, we performed procedures to evaluate management’s judgments related to the allocation of consideration to each distinct performance obligation and performed sensitivity analyses to evaluate how these assumptions affect the amount of revenue recognized. We have also evaluated the adequacy of the Company’s disclosures included in </w:t>
      </w:r>
      <w:r>
        <w:rPr>
          <w:rFonts w:ascii="Arial" w:cs="Arial" w:eastAsia="Arial" w:hAnsi="Arial"/>
          <w:sz w:val="16"/>
          <w:szCs w:val="16"/>
          <w:i w:val="1"/>
          <w:iCs w:val="1"/>
          <w:color w:val="auto"/>
        </w:rPr>
        <w:t>Note 3 Revenue</w:t>
      </w:r>
      <w:r>
        <w:rPr>
          <w:rFonts w:ascii="Arial" w:cs="Arial" w:eastAsia="Arial" w:hAnsi="Arial"/>
          <w:sz w:val="16"/>
          <w:szCs w:val="16"/>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At December 31, 2021, the Company's goodwill balance was $224.6 million. As discussed in </w:t>
      </w:r>
      <w:r>
        <w:rPr>
          <w:rFonts w:ascii="Arial" w:cs="Arial" w:eastAsia="Arial" w:hAnsi="Arial"/>
          <w:sz w:val="16"/>
          <w:szCs w:val="16"/>
          <w:i w:val="1"/>
          <w:iCs w:val="1"/>
          <w:color w:val="auto"/>
        </w:rPr>
        <w:t>Note 8.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Intangibles </w:t>
      </w:r>
      <w:r>
        <w:rPr>
          <w:rFonts w:ascii="Arial" w:cs="Arial" w:eastAsia="Arial" w:hAnsi="Arial"/>
          <w:sz w:val="16"/>
          <w:szCs w:val="16"/>
          <w:color w:val="auto"/>
        </w:rPr>
        <w:t>of the consolidated financial statements, goodwill is tested for impairment at least annually on October 1 at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level. Auditing the Company's goodwill impairment test was complex due to the significant judgment required in determining the fair value of the reporting unit. In particular, the fair value estimate was sensitive to significant assumptions that require judgment, including revenue growth rates, free cash flow and operating expenses as a percentage of revenue that affect the amount and timing of future cash flows, long-term growth rates, and the weighted average cost of capital ("discount rate"), which are affected by factors such as general market conditions and recent operating performance.</w:t>
      </w:r>
    </w:p>
    <w:p>
      <w:pPr>
        <w:spacing w:after="0" w:line="200" w:lineRule="exact"/>
        <w:rPr>
          <w:sz w:val="20"/>
          <w:szCs w:val="20"/>
          <w:color w:val="auto"/>
        </w:rPr>
      </w:pPr>
    </w:p>
    <w:p>
      <w:pPr>
        <w:sectPr>
          <w:pgSz w:w="11900" w:h="16838" w:orient="portrait"/>
          <w:cols w:equalWidth="0" w:num="2">
            <w:col w:w="1840" w:space="500"/>
            <w:col w:w="8880"/>
          </w:cols>
          <w:pgMar w:left="320" w:top="127" w:right="359" w:bottom="1440" w:gutter="0" w:footer="0" w:header="0"/>
        </w:sectPr>
      </w:pPr>
    </w:p>
    <w:p>
      <w:pPr>
        <w:spacing w:after="0" w:line="168" w:lineRule="exact"/>
        <w:rPr>
          <w:sz w:val="20"/>
          <w:szCs w:val="20"/>
          <w:color w:val="auto"/>
        </w:rPr>
      </w:pPr>
    </w:p>
    <w:p>
      <w:pPr>
        <w:ind w:left="20"/>
        <w:spacing w:after="0"/>
        <w:tabs>
          <w:tab w:leader="none" w:pos="232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6" w:lineRule="exact"/>
        <w:rPr>
          <w:sz w:val="20"/>
          <w:szCs w:val="20"/>
          <w:color w:val="auto"/>
        </w:rPr>
      </w:pPr>
    </w:p>
    <w:p>
      <w:pPr>
        <w:ind w:left="20"/>
        <w:spacing w:after="0"/>
        <w:tabs>
          <w:tab w:leader="none" w:pos="232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6"/>
          <w:szCs w:val="16"/>
          <w:color w:val="auto"/>
        </w:rPr>
        <w:t>goodwill impairment review process. For example, we tested controls over management's review of the valuation model and</w:t>
      </w:r>
    </w:p>
    <w:p>
      <w:pPr>
        <w:spacing w:after="0" w:line="16" w:lineRule="exact"/>
        <w:rPr>
          <w:sz w:val="20"/>
          <w:szCs w:val="20"/>
          <w:color w:val="auto"/>
        </w:rPr>
      </w:pPr>
    </w:p>
    <w:p>
      <w:pPr>
        <w:ind w:left="2340"/>
        <w:spacing w:after="0" w:line="253" w:lineRule="auto"/>
        <w:rPr>
          <w:sz w:val="20"/>
          <w:szCs w:val="20"/>
          <w:color w:val="auto"/>
        </w:rPr>
      </w:pPr>
      <w:r>
        <w:rPr>
          <w:rFonts w:ascii="Arial" w:cs="Arial" w:eastAsia="Arial" w:hAnsi="Arial"/>
          <w:sz w:val="18"/>
          <w:szCs w:val="18"/>
          <w:color w:val="auto"/>
        </w:rPr>
        <w:t>the significant assumptions, discussed above used to develop the prospective financial information. We also tested management's controls to validate the data used in the valuation was complete and accurate.</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test the estimated fair value of the Company's reporting unit, we performed audit procedures that included, among others,</w:t>
      </w:r>
    </w:p>
    <w:p>
      <w:pPr>
        <w:spacing w:after="0" w:line="17"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assessing the reasonableness of the methodologies used. We also compared the significant assumptions used by management</w:t>
      </w:r>
    </w:p>
    <w:p>
      <w:pPr>
        <w:spacing w:after="0" w:line="5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to develop the prospective financial information to current industry and economic trends, analyst expectations, changes to</w:t>
      </w:r>
    </w:p>
    <w:p>
      <w:pPr>
        <w:spacing w:after="0" w:line="2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the Company's business model, customer base or product mix and other relevant information. We assessed the historical</w:t>
      </w:r>
    </w:p>
    <w:p>
      <w:pPr>
        <w:spacing w:after="0" w:line="2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accuracy of management's projections of future earnings by comparing the actual results to prior forecasts, and we</w:t>
      </w:r>
    </w:p>
    <w:p>
      <w:pPr>
        <w:spacing w:after="0" w:line="17"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performed analyses of significant assumptions to assess the impact of changes in the assumptions on the calculation of fair</w:t>
      </w:r>
    </w:p>
    <w:p>
      <w:pPr>
        <w:spacing w:after="0" w:line="2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value. Further, we evaluated the revenue growth rates, free cash flow, operating expenses as a percentage of revenue and</w:t>
      </w:r>
    </w:p>
    <w:p>
      <w:pPr>
        <w:spacing w:after="0" w:line="2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long-term growth rates in comparison to the Company’s peers. We also involved our valuation specialists to assist with our</w:t>
      </w:r>
    </w:p>
    <w:p>
      <w:pPr>
        <w:spacing w:after="0" w:line="2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evaluation of the methodology used by the Company and significant assumptions included in the fair value estimates. We</w:t>
      </w:r>
    </w:p>
    <w:p>
      <w:pPr>
        <w:spacing w:after="0" w:line="2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xml:space="preserve">have also evaluated the adequacy of the Company’s disclosures included in </w:t>
      </w:r>
      <w:r>
        <w:rPr>
          <w:rFonts w:ascii="Arial" w:cs="Arial" w:eastAsia="Arial" w:hAnsi="Arial"/>
          <w:sz w:val="18"/>
          <w:szCs w:val="18"/>
          <w:i w:val="1"/>
          <w:iCs w:val="1"/>
          <w:color w:val="auto"/>
        </w:rPr>
        <w:t>Note 8. Goodwill and Intangibles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(In thousands, except per share data)</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8"/>
                <w:szCs w:val="18"/>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b w:val="1"/>
                <w:bCs w:val="1"/>
                <w:color w:val="auto"/>
                <w:w w:val="91"/>
              </w:rPr>
              <w:t>December 31, 2020</w:t>
            </w:r>
          </w:p>
        </w:tc>
      </w:tr>
      <w:tr>
        <w:trPr>
          <w:trHeight w:val="195"/>
        </w:trPr>
        <w:tc>
          <w:tcPr>
            <w:tcW w:w="762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33,671</w:t>
            </w:r>
          </w:p>
        </w:tc>
      </w:tr>
      <w:tr>
        <w:trPr>
          <w:trHeight w:val="210"/>
        </w:trPr>
        <w:tc>
          <w:tcPr>
            <w:tcW w:w="76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47,849</w:t>
            </w:r>
          </w:p>
        </w:tc>
      </w:tr>
      <w:tr>
        <w:trPr>
          <w:trHeight w:val="215"/>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&amp;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39,847</w:t>
            </w: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121,991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121,367</w:t>
            </w:r>
          </w:p>
        </w:tc>
      </w:tr>
      <w:tr>
        <w:trPr>
          <w:trHeight w:val="215"/>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Non-current assets: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0"/>
        </w:trPr>
        <w:tc>
          <w:tcPr>
            <w:tcW w:w="762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11,732</w:t>
            </w:r>
          </w:p>
        </w:tc>
      </w:tr>
      <w:tr>
        <w:trPr>
          <w:trHeight w:val="215"/>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34,538</w:t>
            </w:r>
          </w:p>
        </w:tc>
      </w:tr>
      <w:tr>
        <w:trPr>
          <w:trHeight w:val="210"/>
        </w:trPr>
        <w:tc>
          <w:tcPr>
            <w:tcW w:w="76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224,577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232,771</w:t>
            </w:r>
          </w:p>
        </w:tc>
      </w:tr>
      <w:tr>
        <w:trPr>
          <w:trHeight w:val="215"/>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69,593</w:t>
            </w:r>
          </w:p>
        </w:tc>
      </w:tr>
      <w:tr>
        <w:trPr>
          <w:trHeight w:val="210"/>
        </w:trPr>
        <w:tc>
          <w:tcPr>
            <w:tcW w:w="7620" w:type="dxa"/>
            <w:vAlign w:val="bottom"/>
          </w:tcPr>
          <w:p>
            <w:pPr>
              <w:ind w:left="220"/>
              <w:spacing w:after="0"/>
              <w:rPr>
                <w:sz w:val="20"/>
                <w:szCs w:val="20"/>
                <w:color w:val="auto"/>
              </w:rPr>
            </w:pPr>
            <w:r>
              <w:rPr>
                <w:rFonts w:ascii="Arial" w:cs="Arial" w:eastAsia="Arial" w:hAnsi="Arial"/>
                <w:sz w:val="16"/>
                <w:szCs w:val="16"/>
                <w:color w:val="auto"/>
              </w:rPr>
              <w:t>Loan receivable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4,834</w:t>
            </w:r>
          </w:p>
        </w:tc>
      </w:tr>
      <w:tr>
        <w:trPr>
          <w:trHeight w:val="215"/>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 non-current</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w:t>
            </w: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360,888</w:t>
            </w: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450,734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482,255</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2"/>
        </w:trPr>
        <w:tc>
          <w:tcPr>
            <w:tcW w:w="7620" w:type="dxa"/>
            <w:vAlign w:val="bottom"/>
            <w:shd w:val="clear" w:color="auto" w:fill="CCEEFF"/>
          </w:tcPr>
          <w:p>
            <w:pPr>
              <w:ind w:left="2160"/>
              <w:spacing w:after="0" w:line="182" w:lineRule="exact"/>
              <w:rPr>
                <w:sz w:val="20"/>
                <w:szCs w:val="20"/>
                <w:color w:val="auto"/>
              </w:rPr>
            </w:pPr>
            <w:r>
              <w:rPr>
                <w:rFonts w:ascii="Arial" w:cs="Arial" w:eastAsia="Arial" w:hAnsi="Arial"/>
                <w:sz w:val="16"/>
                <w:szCs w:val="16"/>
                <w:color w:val="auto"/>
              </w:rPr>
              <w:t>LIABILITIES AND STOCKHOLDERS’ EQUITY</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8"/>
        </w:trPr>
        <w:tc>
          <w:tcPr>
            <w:tcW w:w="762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wp:posOffset>
            </wp:positionV>
            <wp:extent cx="7108825" cy="135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8825" cy="13525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p>
      <w:pPr>
        <w:spacing w:after="0" w:line="9" w:lineRule="exact"/>
        <w:rPr>
          <w:sz w:val="20"/>
          <w:szCs w:val="20"/>
          <w:color w:val="auto"/>
        </w:rPr>
      </w:pPr>
    </w:p>
    <w:p>
      <w:pPr>
        <w:ind w:left="260"/>
        <w:spacing w:after="0"/>
        <w:tabs>
          <w:tab w:leader="none" w:pos="766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08825" cy="135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8825" cy="135255"/>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Deferred revenues, current</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Debt,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08825" cy="143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8825" cy="14351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liabilities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Long-term debt,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08825" cy="135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8825" cy="135255"/>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Deferred tax liabilities</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Deferred revenues,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08825" cy="135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8825" cy="135255"/>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Leases, non-current</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08825" cy="143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8825" cy="14351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08825" cy="236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8825" cy="236220"/>
                    </a:xfrm>
                    <a:prstGeom prst="rect">
                      <a:avLst/>
                    </a:prstGeom>
                    <a:noFill/>
                  </pic:spPr>
                </pic:pic>
              </a:graphicData>
            </a:graphic>
          </wp:anchor>
        </w:drawing>
      </w:r>
    </w:p>
    <w:p>
      <w:pPr>
        <w:spacing w:after="0" w:line="9" w:lineRule="exact"/>
        <w:rPr>
          <w:sz w:val="20"/>
          <w:szCs w:val="20"/>
          <w:color w:val="auto"/>
        </w:rPr>
      </w:pPr>
    </w:p>
    <w:p>
      <w:pPr>
        <w:ind w:left="260" w:right="500"/>
        <w:spacing w:after="0" w:line="277" w:lineRule="auto"/>
        <w:rPr>
          <w:sz w:val="20"/>
          <w:szCs w:val="20"/>
          <w:color w:val="auto"/>
        </w:rPr>
      </w:pPr>
      <w:r>
        <w:rPr>
          <w:rFonts w:ascii="Arial" w:cs="Arial" w:eastAsia="Arial" w:hAnsi="Arial"/>
          <w:sz w:val="14"/>
          <w:szCs w:val="14"/>
          <w:color w:val="auto"/>
        </w:rPr>
        <w:t>Series A Convertible Participating Perpetual Preferred Stock, $0.0001 par value; 0 and 10,000 shares authorized, 0 and 250 shares issued and outstanding at December 31, 2021 and December 31, 2020, respectively</w:t>
      </w:r>
    </w:p>
    <w:p>
      <w:pPr>
        <w:spacing w:after="0" w:line="1" w:lineRule="exact"/>
        <w:rPr>
          <w:sz w:val="20"/>
          <w:szCs w:val="20"/>
          <w:color w:val="auto"/>
        </w:rPr>
      </w:pPr>
    </w:p>
    <w:p>
      <w:pPr>
        <w:ind w:left="260" w:right="760"/>
        <w:spacing w:after="0" w:line="259" w:lineRule="auto"/>
        <w:rPr>
          <w:sz w:val="20"/>
          <w:szCs w:val="20"/>
          <w:color w:val="auto"/>
        </w:rPr>
      </w:pPr>
      <w:r>
        <w:rPr>
          <w:rFonts w:ascii="Arial" w:cs="Arial" w:eastAsia="Arial" w:hAnsi="Arial"/>
          <w:sz w:val="15"/>
          <w:szCs w:val="15"/>
          <w:color w:val="auto"/>
        </w:rPr>
        <w:t>Series B Non-Convertible Perpetual Preferred Stock, $0.0001 par value; 150 and 0 shares authorized, 75 and 0 shares issued and outstanding at December 31,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-1270</wp:posOffset>
            </wp:positionV>
            <wp:extent cx="7108825" cy="135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8825"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11,097</w:t>
            </w: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12,749</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61,916</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69,326</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22,368</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33,045</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06"/>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95,381</w:t>
            </w: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125,120</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w w:val="86"/>
              </w:rPr>
              <w:t>133,104</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560</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1,875</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548</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12,569</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36,095</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44,273</w:t>
            </w:r>
          </w:p>
        </w:tc>
      </w:tr>
      <w:tr>
        <w:trPr>
          <w:trHeight w:val="213"/>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9,218</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4,995</w:t>
            </w:r>
          </w:p>
        </w:tc>
      </w:tr>
      <w:tr>
        <w:trPr>
          <w:trHeight w:val="206"/>
        </w:trPr>
        <w:tc>
          <w:tcPr>
            <w:tcW w:w="700" w:type="dxa"/>
            <w:vAlign w:val="bottom"/>
          </w:tcPr>
          <w:p>
            <w:pPr>
              <w:jc w:val="right"/>
              <w:ind w:right="100"/>
              <w:spacing w:after="0"/>
              <w:rPr>
                <w:sz w:val="20"/>
                <w:szCs w:val="20"/>
                <w:color w:val="auto"/>
              </w:rPr>
            </w:pPr>
            <w:r>
              <w:rPr>
                <w:rFonts w:ascii="Arial" w:cs="Arial" w:eastAsia="Arial" w:hAnsi="Arial"/>
                <w:sz w:val="16"/>
                <w:szCs w:val="16"/>
                <w:color w:val="auto"/>
                <w:w w:val="86"/>
              </w:rPr>
              <w:t>274,906</w:t>
            </w: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188,832</w:t>
            </w:r>
          </w:p>
        </w:tc>
      </w:tr>
      <w:tr>
        <w:trPr>
          <w:trHeight w:val="505"/>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237,641</w:t>
            </w:r>
          </w:p>
        </w:tc>
      </w:tr>
      <w:tr>
        <w:trPr>
          <w:trHeight w:val="372"/>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72,505</w:t>
            </w: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sectPr>
          <w:pgSz w:w="11900" w:h="16838" w:orient="portrait"/>
          <w:cols w:equalWidth="0" w:num="2">
            <w:col w:w="8080" w:space="720"/>
            <w:col w:w="2420"/>
          </w:cols>
          <w:pgMar w:left="320" w:top="127" w:right="35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Redeemable noncontrolling interest</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08825" cy="236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8825" cy="236220"/>
                    </a:xfrm>
                    <a:prstGeom prst="rect">
                      <a:avLst/>
                    </a:prstGeom>
                    <a:noFill/>
                  </pic:spPr>
                </pic:pic>
              </a:graphicData>
            </a:graphic>
          </wp:anchor>
        </w:drawing>
      </w:r>
    </w:p>
    <w:p>
      <w:pPr>
        <w:spacing w:after="0" w:line="9" w:lineRule="exact"/>
        <w:rPr>
          <w:sz w:val="20"/>
          <w:szCs w:val="20"/>
          <w:color w:val="auto"/>
        </w:rPr>
      </w:pPr>
    </w:p>
    <w:p>
      <w:pPr>
        <w:ind w:left="260" w:right="540"/>
        <w:spacing w:after="0" w:line="237" w:lineRule="auto"/>
        <w:rPr>
          <w:sz w:val="20"/>
          <w:szCs w:val="20"/>
          <w:color w:val="auto"/>
        </w:rPr>
      </w:pPr>
      <w:r>
        <w:rPr>
          <w:rFonts w:ascii="Arial" w:cs="Arial" w:eastAsia="Arial" w:hAnsi="Arial"/>
          <w:sz w:val="16"/>
          <w:szCs w:val="16"/>
          <w:color w:val="auto"/>
        </w:rPr>
        <w:t>Common stock, $0.0001 par value; 100,000 shares authorized, 88,305 and 51,177 shares issued; 88,305 and 44,015 outstanding at December 31, 2021 and December 31, 2020, respectively</w:t>
      </w:r>
    </w:p>
    <w:p>
      <w:pPr>
        <w:spacing w:after="0" w:line="20" w:lineRule="exact"/>
        <w:rPr>
          <w:sz w:val="20"/>
          <w:szCs w:val="20"/>
          <w:color w:val="auto"/>
        </w:rPr>
      </w:pPr>
      <w:r>
        <w:rPr>
          <w:sz w:val="20"/>
          <w:szCs w:val="20"/>
          <w:color w:val="auto"/>
        </w:rPr>
        <w:br w:type="column"/>
      </w:r>
    </w:p>
    <w:p>
      <w:pPr>
        <w:spacing w:after="0"/>
        <w:tabs>
          <w:tab w:leader="none" w:pos="1820" w:val="left"/>
        </w:tabs>
        <w:rPr>
          <w:sz w:val="20"/>
          <w:szCs w:val="20"/>
          <w:color w:val="auto"/>
        </w:rPr>
      </w:pPr>
      <w:r>
        <w:rPr>
          <w:rFonts w:ascii="Arial" w:cs="Arial" w:eastAsia="Arial" w:hAnsi="Arial"/>
          <w:sz w:val="14"/>
          <w:szCs w:val="14"/>
          <w:color w:val="auto"/>
        </w:rPr>
        <w:t>12,500</w:t>
      </w:r>
      <w:r>
        <w:rPr>
          <w:sz w:val="20"/>
          <w:szCs w:val="20"/>
          <w:color w:val="auto"/>
        </w:rPr>
        <w:tab/>
      </w:r>
      <w:r>
        <w:rPr>
          <w:rFonts w:ascii="Arial" w:cs="Arial" w:eastAsia="Arial" w:hAnsi="Arial"/>
          <w:sz w:val="14"/>
          <w:szCs w:val="14"/>
          <w:color w:val="auto"/>
        </w:rPr>
        <w:t>12,500</w:t>
      </w:r>
    </w:p>
    <w:p>
      <w:pPr>
        <w:spacing w:after="0" w:line="344" w:lineRule="exact"/>
        <w:rPr>
          <w:sz w:val="20"/>
          <w:szCs w:val="20"/>
          <w:color w:val="auto"/>
        </w:rPr>
      </w:pPr>
    </w:p>
    <w:p>
      <w:pPr>
        <w:jc w:val="both"/>
        <w:ind w:left="360"/>
        <w:spacing w:after="0"/>
        <w:tabs>
          <w:tab w:leader="none" w:pos="218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5</w:t>
      </w:r>
    </w:p>
    <w:p>
      <w:pPr>
        <w:spacing w:after="0" w:line="108" w:lineRule="exact"/>
        <w:rPr>
          <w:sz w:val="20"/>
          <w:szCs w:val="20"/>
          <w:color w:val="auto"/>
        </w:rPr>
      </w:pPr>
    </w:p>
    <w:p>
      <w:pPr>
        <w:sectPr>
          <w:pgSz w:w="11900" w:h="16838" w:orient="portrait"/>
          <w:cols w:equalWidth="0" w:num="2">
            <w:col w:w="8160" w:space="720"/>
            <w:col w:w="2340"/>
          </w:cols>
          <w:pgMar w:left="320" w:top="127" w:right="35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7620" w:type="dxa"/>
            <w:vAlign w:val="bottom"/>
          </w:tcPr>
          <w:p>
            <w:pPr>
              <w:ind w:left="220"/>
              <w:spacing w:after="0"/>
              <w:rPr>
                <w:sz w:val="20"/>
                <w:szCs w:val="20"/>
                <w:color w:val="auto"/>
              </w:rPr>
            </w:pPr>
            <w:r>
              <w:rPr>
                <w:rFonts w:ascii="Arial" w:cs="Arial" w:eastAsia="Arial" w:hAnsi="Arial"/>
                <w:sz w:val="16"/>
                <w:szCs w:val="16"/>
                <w:color w:val="auto"/>
                <w:w w:val="99"/>
              </w:rPr>
              <w:t>Treasury stock, at cost (0 and 7,162 shares at December 31, 2021 and December 31, 2020, respectively)</w:t>
            </w:r>
          </w:p>
        </w:tc>
        <w:tc>
          <w:tcPr>
            <w:tcW w:w="5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(82,087)</w:t>
            </w:r>
          </w:p>
        </w:tc>
      </w:tr>
      <w:tr>
        <w:trPr>
          <w:trHeight w:val="215"/>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499,348</w:t>
            </w:r>
          </w:p>
        </w:tc>
      </w:tr>
      <w:tr>
        <w:trPr>
          <w:trHeight w:val="210"/>
        </w:trPr>
        <w:tc>
          <w:tcPr>
            <w:tcW w:w="76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(32,985)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(28,213)</w:t>
            </w:r>
          </w:p>
        </w:tc>
      </w:tr>
      <w:tr>
        <w:trPr>
          <w:trHeight w:val="215"/>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(368,713)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(345,771)</w:t>
            </w:r>
          </w:p>
        </w:tc>
      </w:tr>
      <w:tr>
        <w:trPr>
          <w:trHeight w:val="203"/>
        </w:trPr>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stockholders’ equity</w:t>
            </w: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43,282</w:t>
            </w:r>
          </w:p>
        </w:tc>
      </w:tr>
      <w:tr>
        <w:trPr>
          <w:trHeight w:val="231"/>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450,734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482,255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SYNCHRONOSS TECHNOLOGIES, INC.</w:t>
      </w:r>
    </w:p>
    <w:p>
      <w:pPr>
        <w:spacing w:after="0" w:line="4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Twelve Months Ended December 31,</w:t>
            </w:r>
          </w:p>
        </w:tc>
        <w:tc>
          <w:tcPr>
            <w:tcW w:w="980" w:type="dxa"/>
            <w:vAlign w:val="bottom"/>
            <w:tcBorders>
              <w:bottom w:val="single" w:sz="8" w:color="auto"/>
            </w:tcBorders>
          </w:tcPr>
          <w:p>
            <w:pPr>
              <w:spacing w:after="0"/>
              <w:rPr>
                <w:sz w:val="16"/>
                <w:szCs w:val="16"/>
                <w:color w:val="auto"/>
              </w:rPr>
            </w:pPr>
          </w:p>
        </w:tc>
      </w:tr>
      <w:tr>
        <w:trPr>
          <w:trHeight w:val="184"/>
        </w:trPr>
        <w:tc>
          <w:tcPr>
            <w:tcW w:w="6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0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280,615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291,670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308,749</w:t>
            </w: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6780" w:type="dxa"/>
            <w:vAlign w:val="bottom"/>
            <w:shd w:val="clear" w:color="auto" w:fill="CCEEFF"/>
          </w:tcPr>
          <w:p>
            <w:pPr>
              <w:ind w:left="220"/>
              <w:spacing w:after="0" w:line="215" w:lineRule="exact"/>
              <w:rPr>
                <w:sz w:val="20"/>
                <w:szCs w:val="20"/>
                <w:color w:val="auto"/>
              </w:rPr>
            </w:pPr>
            <w:r>
              <w:rPr>
                <w:rFonts w:ascii="Arial" w:cs="Arial" w:eastAsia="Arial" w:hAnsi="Arial"/>
                <w:sz w:val="16"/>
                <w:szCs w:val="16"/>
                <w:color w:val="auto"/>
              </w:rPr>
              <w:t>Cost of revenues</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121,817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150,407</w:t>
            </w: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64,337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77,043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75,568</w:t>
            </w: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89,292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112,771</w:t>
            </w: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Restructuring charges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7,955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43,685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77,036</w:t>
            </w:r>
          </w:p>
        </w:tc>
      </w:tr>
      <w:tr>
        <w:trPr>
          <w:trHeight w:val="20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299,632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339,792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416,537</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(107,788)</w:t>
            </w: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1,258</w:t>
            </w: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Gain on extinguishment of debt</w:t>
            </w:r>
          </w:p>
        </w:tc>
        <w:tc>
          <w:tcPr>
            <w:tcW w:w="3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822</w:t>
            </w: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9,535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7,389</w:t>
            </w: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Equity method investment loss</w:t>
            </w:r>
          </w:p>
        </w:tc>
        <w:tc>
          <w:tcPr>
            <w:tcW w:w="3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(1,619)</w:t>
            </w:r>
          </w:p>
        </w:tc>
      </w:tr>
      <w:tr>
        <w:trPr>
          <w:trHeight w:val="20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 before taxes</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(37,466)</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(101,293)</w:t>
            </w:r>
          </w:p>
        </w:tc>
      </w:tr>
      <w:tr>
        <w:trPr>
          <w:trHeight w:val="210"/>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27,108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(103,467)</w:t>
            </w: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Net income (loss) attributable to redeemable noncontrolling interests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1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dividend</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(37,981)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(32,134)</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Net loss attributable to Synchronoss</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(58,451)</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(48,683)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(136,727)</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9"/>
        </w:trPr>
        <w:tc>
          <w:tcPr>
            <w:tcW w:w="6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Earnings (loss) per share: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67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9"/>
        </w:trPr>
        <w:tc>
          <w:tcPr>
            <w:tcW w:w="678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Weighted-average common shares outstanding:</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41,950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40,694</w:t>
            </w:r>
          </w:p>
        </w:tc>
      </w:tr>
      <w:tr>
        <w:trPr>
          <w:trHeight w:val="21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40,694</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51" w:lineRule="exact"/>
        <w:rPr>
          <w:sz w:val="20"/>
          <w:szCs w:val="20"/>
          <w:color w:val="auto"/>
        </w:rPr>
      </w:pPr>
    </w:p>
    <w:p>
      <w:pPr>
        <w:ind w:left="220" w:hanging="214"/>
        <w:spacing w:after="0"/>
        <w:tabs>
          <w:tab w:leader="none" w:pos="22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46" w:lineRule="exact"/>
        <w:rPr>
          <w:sz w:val="20"/>
          <w:szCs w:val="20"/>
          <w:color w:val="auto"/>
        </w:rPr>
      </w:pPr>
    </w:p>
    <w:p>
      <w:pPr>
        <w:ind w:left="5400" w:right="2620" w:hanging="2760"/>
        <w:spacing w:after="0" w:line="304" w:lineRule="auto"/>
        <w:rPr>
          <w:sz w:val="20"/>
          <w:szCs w:val="20"/>
          <w:color w:val="auto"/>
        </w:rPr>
      </w:pPr>
      <w:r>
        <w:rPr>
          <w:rFonts w:ascii="Arial" w:cs="Arial" w:eastAsia="Arial" w:hAnsi="Arial"/>
          <w:sz w:val="18"/>
          <w:szCs w:val="18"/>
          <w:b w:val="1"/>
          <w:bCs w:val="1"/>
          <w:color w:val="auto"/>
        </w:rPr>
        <w:t>CONSOLIDATED STATEMENTS OF COMPREHENSIVE (LOSS) INCOME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Twelve Months Ended December 31,</w:t>
            </w:r>
          </w:p>
        </w:tc>
        <w:tc>
          <w:tcPr>
            <w:tcW w:w="920" w:type="dxa"/>
            <w:vAlign w:val="bottom"/>
            <w:tcBorders>
              <w:bottom w:val="single" w:sz="8" w:color="auto"/>
            </w:tcBorders>
          </w:tcPr>
          <w:p>
            <w:pPr>
              <w:spacing w:after="0"/>
              <w:rPr>
                <w:sz w:val="18"/>
                <w:szCs w:val="18"/>
                <w:color w:val="auto"/>
              </w:rPr>
            </w:pPr>
          </w:p>
        </w:tc>
      </w:tr>
      <w:tr>
        <w:trPr>
          <w:trHeight w:val="206"/>
        </w:trPr>
        <w:tc>
          <w:tcPr>
            <w:tcW w:w="6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2019</w:t>
            </w:r>
          </w:p>
        </w:tc>
      </w:tr>
      <w:tr>
        <w:trPr>
          <w:trHeight w:val="208"/>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(103,467)</w:t>
            </w:r>
          </w:p>
        </w:tc>
      </w:tr>
      <w:tr>
        <w:trPr>
          <w:trHeight w:val="210"/>
        </w:trPr>
        <w:tc>
          <w:tcPr>
            <w:tcW w:w="6780" w:type="dxa"/>
            <w:vAlign w:val="bottom"/>
          </w:tcPr>
          <w:p>
            <w:pPr>
              <w:ind w:left="140"/>
              <w:spacing w:after="0"/>
              <w:rPr>
                <w:sz w:val="20"/>
                <w:szCs w:val="20"/>
                <w:color w:val="auto"/>
              </w:rPr>
            </w:pPr>
            <w:r>
              <w:rPr>
                <w:rFonts w:ascii="Arial" w:cs="Arial" w:eastAsia="Arial" w:hAnsi="Arial"/>
                <w:sz w:val="16"/>
                <w:szCs w:val="16"/>
                <w:color w:val="auto"/>
              </w:rPr>
              <w:t>Other comprehensive (loss) income, net of tax</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r>
      <w:tr>
        <w:trPr>
          <w:trHeight w:val="210"/>
        </w:trPr>
        <w:tc>
          <w:tcPr>
            <w:tcW w:w="6780" w:type="dxa"/>
            <w:vAlign w:val="bottom"/>
          </w:tcPr>
          <w:p>
            <w:pPr>
              <w:ind w:left="320"/>
              <w:spacing w:after="0"/>
              <w:rPr>
                <w:sz w:val="20"/>
                <w:szCs w:val="20"/>
                <w:color w:val="auto"/>
              </w:rPr>
            </w:pPr>
            <w:r>
              <w:rPr>
                <w:rFonts w:ascii="Arial" w:cs="Arial" w:eastAsia="Arial" w:hAnsi="Arial"/>
                <w:sz w:val="16"/>
                <w:szCs w:val="16"/>
                <w:color w:val="auto"/>
              </w:rPr>
              <w:t>Unrealized gain (loss) on available for sale securities</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215"/>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income on inter-company foreign currency transactions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03"/>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(loss) income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(106,345)</w:t>
            </w:r>
          </w:p>
        </w:tc>
      </w:tr>
      <w:tr>
        <w:trPr>
          <w:trHeight w:val="21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Comprehensive income (loss) attributable to 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r>
      <w:tr>
        <w:trPr>
          <w:trHeight w:val="231"/>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Synchronoss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(27,714)</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(107,471)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4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40" w:type="dxa"/>
            <w:vAlign w:val="bottom"/>
            <w:tcBorders>
              <w:bottom w:val="single" w:sz="8" w:color="auto"/>
            </w:tcBorders>
            <w:gridSpan w:val="7"/>
          </w:tcPr>
          <w:p>
            <w:pPr>
              <w:ind w:left="480"/>
              <w:spacing w:after="0"/>
              <w:rPr>
                <w:sz w:val="20"/>
                <w:szCs w:val="20"/>
                <w:color w:val="auto"/>
              </w:rPr>
            </w:pPr>
            <w:r>
              <w:rPr>
                <w:rFonts w:ascii="Arial" w:cs="Arial" w:eastAsia="Arial" w:hAnsi="Arial"/>
                <w:sz w:val="9"/>
                <w:szCs w:val="9"/>
                <w:b w:val="1"/>
                <w:bCs w:val="1"/>
                <w:color w:val="auto"/>
              </w:rPr>
              <w:t>Common Stock</w:t>
            </w:r>
          </w:p>
        </w:tc>
        <w:tc>
          <w:tcPr>
            <w:tcW w:w="100" w:type="dxa"/>
            <w:vAlign w:val="bottom"/>
            <w:gridSpan w:val="2"/>
          </w:tcPr>
          <w:p>
            <w:pPr>
              <w:spacing w:after="0"/>
              <w:rPr>
                <w:sz w:val="10"/>
                <w:szCs w:val="10"/>
                <w:color w:val="auto"/>
              </w:rPr>
            </w:pPr>
          </w:p>
        </w:tc>
        <w:tc>
          <w:tcPr>
            <w:tcW w:w="1640" w:type="dxa"/>
            <w:vAlign w:val="bottom"/>
            <w:tcBorders>
              <w:bottom w:val="single" w:sz="8" w:color="auto"/>
            </w:tcBorders>
            <w:gridSpan w:val="7"/>
          </w:tcPr>
          <w:p>
            <w:pPr>
              <w:ind w:left="54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5"/>
              </w:rPr>
              <w:t>Additional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Arial" w:cs="Arial" w:eastAsia="Arial" w:hAnsi="Arial"/>
                <w:sz w:val="9"/>
                <w:szCs w:val="9"/>
                <w:b w:val="1"/>
                <w:bCs w:val="1"/>
                <w:color w:val="auto"/>
                <w:w w:val="89"/>
              </w:rPr>
              <w:t>Accumulative 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180" w:type="dxa"/>
            <w:vAlign w:val="bottom"/>
          </w:tcPr>
          <w:p>
            <w:pPr>
              <w:spacing w:after="0"/>
              <w:rPr>
                <w:sz w:val="6"/>
                <w:szCs w:val="6"/>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100" w:type="dxa"/>
            <w:vAlign w:val="bottom"/>
            <w:gridSpan w:val="2"/>
            <w:vMerge w:val="restart"/>
          </w:tcPr>
          <w:p>
            <w:pPr>
              <w:spacing w:after="0"/>
              <w:rPr>
                <w:sz w:val="6"/>
                <w:szCs w:val="6"/>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100"/>
              <w:spacing w:after="0" w:line="80" w:lineRule="exact"/>
              <w:rPr>
                <w:sz w:val="20"/>
                <w:szCs w:val="20"/>
                <w:color w:val="auto"/>
              </w:rPr>
            </w:pPr>
            <w:r>
              <w:rPr>
                <w:rFonts w:ascii="Arial" w:cs="Arial" w:eastAsia="Arial" w:hAnsi="Arial"/>
                <w:sz w:val="9"/>
                <w:szCs w:val="9"/>
                <w:b w:val="1"/>
                <w:bCs w:val="1"/>
                <w:color w:val="auto"/>
                <w:w w:val="85"/>
              </w:rPr>
              <w:t>Comprehensive</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tcPr>
          <w:p>
            <w:pPr>
              <w:jc w:val="center"/>
              <w:ind w:right="100"/>
              <w:spacing w:after="0" w:line="80" w:lineRule="exact"/>
              <w:rPr>
                <w:sz w:val="20"/>
                <w:szCs w:val="20"/>
                <w:color w:val="auto"/>
              </w:rPr>
            </w:pPr>
            <w:r>
              <w:rPr>
                <w:rFonts w:ascii="Arial" w:cs="Arial" w:eastAsia="Arial" w:hAnsi="Arial"/>
                <w:sz w:val="9"/>
                <w:szCs w:val="9"/>
                <w:b w:val="1"/>
                <w:bCs w:val="1"/>
                <w:color w:val="auto"/>
                <w:w w:val="88"/>
              </w:rPr>
              <w:t>Accumulated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w w:val="87"/>
              </w:rPr>
              <w:t>Stockholders' Equity</w:t>
            </w:r>
          </w:p>
        </w:tc>
        <w:tc>
          <w:tcPr>
            <w:tcW w:w="0" w:type="dxa"/>
            <w:vAlign w:val="bottom"/>
          </w:tcPr>
          <w:p>
            <w:pPr>
              <w:spacing w:after="0"/>
              <w:rPr>
                <w:sz w:val="1"/>
                <w:szCs w:val="1"/>
                <w:color w:val="auto"/>
              </w:rPr>
            </w:pPr>
          </w:p>
        </w:tc>
      </w:tr>
      <w:tr>
        <w:trPr>
          <w:trHeight w:val="117"/>
        </w:trPr>
        <w:tc>
          <w:tcPr>
            <w:tcW w:w="40" w:type="dxa"/>
            <w:vAlign w:val="bottom"/>
            <w:tcBorders>
              <w:bottom w:val="single" w:sz="8" w:color="CCEEFF"/>
            </w:tcBorders>
          </w:tcPr>
          <w:p>
            <w:pPr>
              <w:spacing w:after="0"/>
              <w:rPr>
                <w:sz w:val="10"/>
                <w:szCs w:val="10"/>
                <w:color w:val="auto"/>
              </w:rPr>
            </w:pPr>
          </w:p>
        </w:tc>
        <w:tc>
          <w:tcPr>
            <w:tcW w:w="41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9"/>
                <w:szCs w:val="9"/>
                <w:b w:val="1"/>
                <w:bCs w:val="1"/>
                <w:color w:val="auto"/>
                <w:w w:val="88"/>
              </w:rPr>
              <w:t>Income (Loss)</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w w:val="90"/>
              </w:rPr>
              <w:t>deficit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49,836</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w w:val="91"/>
              </w:rPr>
              <w:t>(7,162)</w:t>
            </w:r>
          </w:p>
        </w:tc>
        <w:tc>
          <w:tcPr>
            <w:tcW w:w="240" w:type="dxa"/>
            <w:vAlign w:val="bottom"/>
            <w:tcBorders>
              <w:bottom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w w:val="92"/>
              </w:rPr>
              <w:t>(82,087)</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534,673</w:t>
            </w: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(30,383)</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(233,299)</w:t>
            </w:r>
          </w:p>
        </w:tc>
        <w:tc>
          <w:tcPr>
            <w:tcW w:w="3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188,909</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Stock based compensation</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22,050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Issuance of restricted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1,863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Preferred stock dividends accrued</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(29,877)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(29,877)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Amortization of preferred stock issuance costs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(2,257)</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(2,257)</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Issuance of common stock on exercise of options</w:t>
            </w:r>
          </w:p>
        </w:tc>
        <w:tc>
          <w:tcPr>
            <w:tcW w:w="740" w:type="dxa"/>
            <w:vAlign w:val="bottom"/>
          </w:tcPr>
          <w:p>
            <w:pPr>
              <w:jc w:val="right"/>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Adoption of new lease accounting standard</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loss attributable to Synchronoss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(104,593)</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(104,593)</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Non-controlling interest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other comprehensive income (loss)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(2,878)</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(2,878)</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Other</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51,704</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1"/>
                <w:szCs w:val="11"/>
                <w:color w:val="auto"/>
                <w:w w:val="91"/>
              </w:rPr>
              <w:t>(7,162)</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1"/>
                <w:szCs w:val="11"/>
                <w:color w:val="auto"/>
                <w:w w:val="92"/>
              </w:rPr>
              <w:t>(82,087)</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525,739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(33,261)</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(334,319)</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76,077</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20" w:type="dxa"/>
            <w:vAlign w:val="bottom"/>
            <w:tcBorders>
              <w:bottom w:val="single" w:sz="8" w:color="auto"/>
            </w:tcBorders>
            <w:gridSpan w:val="6"/>
          </w:tcPr>
          <w:p>
            <w:pPr>
              <w:jc w:val="right"/>
              <w:ind w:right="428"/>
              <w:spacing w:after="0"/>
              <w:rPr>
                <w:sz w:val="20"/>
                <w:szCs w:val="20"/>
                <w:color w:val="auto"/>
              </w:rPr>
            </w:pPr>
            <w:r>
              <w:rPr>
                <w:rFonts w:ascii="Arial" w:cs="Arial" w:eastAsia="Arial" w:hAnsi="Arial"/>
                <w:sz w:val="9"/>
                <w:szCs w:val="9"/>
                <w:b w:val="1"/>
                <w:bCs w:val="1"/>
                <w:color w:val="auto"/>
              </w:rPr>
              <w:t>Common Stock</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488"/>
              <w:spacing w:after="0"/>
              <w:rPr>
                <w:sz w:val="20"/>
                <w:szCs w:val="20"/>
                <w:color w:val="auto"/>
              </w:rPr>
            </w:pPr>
            <w:r>
              <w:rPr>
                <w:rFonts w:ascii="Arial" w:cs="Arial" w:eastAsia="Arial" w:hAnsi="Arial"/>
                <w:sz w:val="9"/>
                <w:szCs w:val="9"/>
                <w:b w:val="1"/>
                <w:bCs w:val="1"/>
                <w:color w:val="auto"/>
              </w:rPr>
              <w:t>Treasury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9"/>
                <w:szCs w:val="9"/>
                <w:b w:val="1"/>
                <w:bCs w:val="1"/>
                <w:color w:val="auto"/>
                <w:w w:val="89"/>
              </w:rPr>
              <w:t>Accumulative Other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180" w:type="dxa"/>
            <w:vAlign w:val="bottom"/>
          </w:tcPr>
          <w:p>
            <w:pPr>
              <w:spacing w:after="0"/>
              <w:rPr>
                <w:sz w:val="6"/>
                <w:szCs w:val="6"/>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9"/>
                <w:szCs w:val="9"/>
                <w:b w:val="1"/>
                <w:bCs w:val="1"/>
                <w:color w:val="auto"/>
              </w:rPr>
              <w:t>Shares</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jc w:val="right"/>
              <w:ind w:right="148"/>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gridSpan w:val="2"/>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9"/>
                <w:szCs w:val="9"/>
                <w:b w:val="1"/>
                <w:bCs w:val="1"/>
                <w:color w:val="auto"/>
              </w:rPr>
              <w:t>Shares</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9"/>
                <w:szCs w:val="9"/>
                <w:b w:val="1"/>
                <w:bCs w:val="1"/>
                <w:color w:val="auto"/>
              </w:rPr>
              <w:t>Amount</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9"/>
                <w:szCs w:val="9"/>
                <w:b w:val="1"/>
                <w:bCs w:val="1"/>
                <w:color w:val="auto"/>
                <w:w w:val="95"/>
              </w:rPr>
              <w:t>Paid-In Capital</w:t>
            </w:r>
          </w:p>
        </w:tc>
        <w:tc>
          <w:tcPr>
            <w:tcW w:w="4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160"/>
              <w:spacing w:after="0" w:line="80" w:lineRule="exact"/>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tcPr>
          <w:p>
            <w:pPr>
              <w:ind w:left="20"/>
              <w:spacing w:after="0" w:line="80"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w w:val="89"/>
              </w:rPr>
              <w:t>Stockholders' Equity</w:t>
            </w: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1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4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9"/>
                <w:szCs w:val="9"/>
                <w:b w:val="1"/>
                <w:bCs w:val="1"/>
                <w:color w:val="auto"/>
                <w:w w:val="85"/>
              </w:rPr>
              <w:t>Income (Loss)</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9"/>
                <w:szCs w:val="9"/>
                <w:b w:val="1"/>
                <w:bCs w:val="1"/>
                <w:color w:val="auto"/>
              </w:rPr>
              <w:t>deficit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51,704</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525,739</w:t>
            </w: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(33,261)</w:t>
            </w: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(334,319)</w:t>
            </w:r>
          </w:p>
        </w:tc>
        <w:tc>
          <w:tcPr>
            <w:tcW w:w="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76,077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40"/>
              <w:spacing w:after="0"/>
              <w:rPr>
                <w:sz w:val="20"/>
                <w:szCs w:val="20"/>
                <w:color w:val="auto"/>
              </w:rPr>
            </w:pPr>
            <w:r>
              <w:rPr>
                <w:rFonts w:ascii="Arial" w:cs="Arial" w:eastAsia="Arial" w:hAnsi="Arial"/>
                <w:sz w:val="11"/>
                <w:szCs w:val="11"/>
                <w:color w:val="auto"/>
              </w:rPr>
              <w:t>Stock based compensation</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1"/>
                <w:szCs w:val="11"/>
                <w:color w:val="auto"/>
              </w:rPr>
              <w:t>11,246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1"/>
                <w:szCs w:val="11"/>
                <w:color w:val="auto"/>
              </w:rPr>
              <w:t>11,246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Issuance of restricted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40"/>
              <w:spacing w:after="0"/>
              <w:rPr>
                <w:sz w:val="20"/>
                <w:szCs w:val="20"/>
                <w:color w:val="auto"/>
              </w:rPr>
            </w:pPr>
            <w:r>
              <w:rPr>
                <w:rFonts w:ascii="Arial" w:cs="Arial" w:eastAsia="Arial" w:hAnsi="Arial"/>
                <w:sz w:val="11"/>
                <w:szCs w:val="11"/>
                <w:color w:val="auto"/>
              </w:rPr>
              <w:t>Preferred stock dividends accrued</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(34,451)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(34,451)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Amortization of preferred stock issuance costs</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(3,530)</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4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740" w:type="dxa"/>
            <w:vAlign w:val="bottom"/>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attributable to Synchronoss</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(10,358)</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40"/>
              <w:spacing w:after="0"/>
              <w:rPr>
                <w:sz w:val="20"/>
                <w:szCs w:val="20"/>
                <w:color w:val="auto"/>
              </w:rPr>
            </w:pPr>
            <w:r>
              <w:rPr>
                <w:rFonts w:ascii="Arial" w:cs="Arial" w:eastAsia="Arial" w:hAnsi="Arial"/>
                <w:sz w:val="11"/>
                <w:szCs w:val="11"/>
                <w:color w:val="auto"/>
              </w:rPr>
              <w:t>Non-controlling interest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1"/>
                <w:szCs w:val="11"/>
                <w:color w:val="auto"/>
              </w:rPr>
              <w:t>344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other comprehensive income (loss)</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5,048</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5,048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40"/>
              <w:spacing w:after="0"/>
              <w:rPr>
                <w:sz w:val="20"/>
                <w:szCs w:val="20"/>
                <w:color w:val="auto"/>
              </w:rPr>
            </w:pPr>
            <w:r>
              <w:rPr>
                <w:rFonts w:ascii="Arial" w:cs="Arial" w:eastAsia="Arial" w:hAnsi="Arial"/>
                <w:sz w:val="11"/>
                <w:szCs w:val="11"/>
                <w:color w:val="auto"/>
              </w:rPr>
              <w:t>Adoption of new credit loss accounting standard</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51,177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499,348</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(28,213)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(345,771)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43,282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40" w:type="dxa"/>
            <w:vAlign w:val="bottom"/>
            <w:tcBorders>
              <w:bottom w:val="single" w:sz="8" w:color="auto"/>
            </w:tcBorders>
            <w:gridSpan w:val="7"/>
          </w:tcPr>
          <w:p>
            <w:pPr>
              <w:ind w:left="480"/>
              <w:spacing w:after="0"/>
              <w:rPr>
                <w:sz w:val="20"/>
                <w:szCs w:val="20"/>
                <w:color w:val="auto"/>
              </w:rPr>
            </w:pPr>
            <w:r>
              <w:rPr>
                <w:rFonts w:ascii="Arial" w:cs="Arial" w:eastAsia="Arial" w:hAnsi="Arial"/>
                <w:sz w:val="9"/>
                <w:szCs w:val="9"/>
                <w:b w:val="1"/>
                <w:bCs w:val="1"/>
                <w:color w:val="auto"/>
              </w:rPr>
              <w:t>Common Stock</w:t>
            </w:r>
          </w:p>
        </w:tc>
        <w:tc>
          <w:tcPr>
            <w:tcW w:w="100" w:type="dxa"/>
            <w:vAlign w:val="bottom"/>
            <w:gridSpan w:val="2"/>
          </w:tcPr>
          <w:p>
            <w:pPr>
              <w:spacing w:after="0"/>
              <w:rPr>
                <w:sz w:val="24"/>
                <w:szCs w:val="24"/>
                <w:color w:val="auto"/>
              </w:rPr>
            </w:pPr>
          </w:p>
        </w:tc>
        <w:tc>
          <w:tcPr>
            <w:tcW w:w="1640" w:type="dxa"/>
            <w:vAlign w:val="bottom"/>
            <w:tcBorders>
              <w:bottom w:val="single" w:sz="8" w:color="auto"/>
            </w:tcBorders>
            <w:gridSpan w:val="7"/>
          </w:tcPr>
          <w:p>
            <w:pPr>
              <w:ind w:left="54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5"/>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9"/>
                <w:szCs w:val="9"/>
                <w:b w:val="1"/>
                <w:bCs w:val="1"/>
                <w:color w:val="auto"/>
                <w:w w:val="89"/>
              </w:rPr>
              <w:t>Accumulative Other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180" w:type="dxa"/>
            <w:vAlign w:val="bottom"/>
          </w:tcPr>
          <w:p>
            <w:pPr>
              <w:spacing w:after="0"/>
              <w:rPr>
                <w:sz w:val="6"/>
                <w:szCs w:val="6"/>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100" w:type="dxa"/>
            <w:vAlign w:val="bottom"/>
            <w:gridSpan w:val="2"/>
            <w:vMerge w:val="restart"/>
          </w:tcPr>
          <w:p>
            <w:pPr>
              <w:spacing w:after="0"/>
              <w:rPr>
                <w:sz w:val="6"/>
                <w:szCs w:val="6"/>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100"/>
              <w:spacing w:after="0" w:line="80" w:lineRule="exact"/>
              <w:rPr>
                <w:sz w:val="20"/>
                <w:szCs w:val="20"/>
                <w:color w:val="auto"/>
              </w:rPr>
            </w:pPr>
            <w:r>
              <w:rPr>
                <w:rFonts w:ascii="Arial" w:cs="Arial" w:eastAsia="Arial" w:hAnsi="Arial"/>
                <w:sz w:val="9"/>
                <w:szCs w:val="9"/>
                <w:b w:val="1"/>
                <w:bCs w:val="1"/>
                <w:color w:val="auto"/>
                <w:w w:val="85"/>
              </w:rPr>
              <w:t>Comprehensive</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tcPr>
          <w:p>
            <w:pPr>
              <w:jc w:val="center"/>
              <w:ind w:right="100"/>
              <w:spacing w:after="0" w:line="80" w:lineRule="exact"/>
              <w:rPr>
                <w:sz w:val="20"/>
                <w:szCs w:val="20"/>
                <w:color w:val="auto"/>
              </w:rPr>
            </w:pPr>
            <w:r>
              <w:rPr>
                <w:rFonts w:ascii="Arial" w:cs="Arial" w:eastAsia="Arial" w:hAnsi="Arial"/>
                <w:sz w:val="9"/>
                <w:szCs w:val="9"/>
                <w:b w:val="1"/>
                <w:bCs w:val="1"/>
                <w:color w:val="auto"/>
                <w:w w:val="88"/>
              </w:rPr>
              <w:t>Accumulated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w w:val="87"/>
              </w:rPr>
              <w:t>Stockholders' Equity</w:t>
            </w:r>
          </w:p>
        </w:tc>
        <w:tc>
          <w:tcPr>
            <w:tcW w:w="0" w:type="dxa"/>
            <w:vAlign w:val="bottom"/>
          </w:tcPr>
          <w:p>
            <w:pPr>
              <w:spacing w:after="0"/>
              <w:rPr>
                <w:sz w:val="1"/>
                <w:szCs w:val="1"/>
                <w:color w:val="auto"/>
              </w:rPr>
            </w:pPr>
          </w:p>
        </w:tc>
      </w:tr>
      <w:tr>
        <w:trPr>
          <w:trHeight w:val="117"/>
        </w:trPr>
        <w:tc>
          <w:tcPr>
            <w:tcW w:w="40" w:type="dxa"/>
            <w:vAlign w:val="bottom"/>
            <w:tcBorders>
              <w:bottom w:val="single" w:sz="8" w:color="CCEEFF"/>
            </w:tcBorders>
          </w:tcPr>
          <w:p>
            <w:pPr>
              <w:spacing w:after="0"/>
              <w:rPr>
                <w:sz w:val="10"/>
                <w:szCs w:val="10"/>
                <w:color w:val="auto"/>
              </w:rPr>
            </w:pPr>
          </w:p>
        </w:tc>
        <w:tc>
          <w:tcPr>
            <w:tcW w:w="41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9"/>
                <w:szCs w:val="9"/>
                <w:b w:val="1"/>
                <w:bCs w:val="1"/>
                <w:color w:val="auto"/>
                <w:w w:val="88"/>
              </w:rPr>
              <w:t>Income (Loss)</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w w:val="90"/>
              </w:rPr>
              <w:t>deficit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51,177</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w w:val="91"/>
              </w:rPr>
              <w:t>(7,162)</w:t>
            </w:r>
          </w:p>
        </w:tc>
        <w:tc>
          <w:tcPr>
            <w:tcW w:w="240" w:type="dxa"/>
            <w:vAlign w:val="bottom"/>
            <w:tcBorders>
              <w:bottom w:val="single" w:sz="8" w:color="CCEEFF"/>
            </w:tcBorders>
            <w:gridSpan w:val="3"/>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w w:val="92"/>
              </w:rPr>
              <w:t>(82,087)</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499,348</w:t>
            </w: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(28,213)</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(345,771)</w:t>
            </w:r>
          </w:p>
        </w:tc>
        <w:tc>
          <w:tcPr>
            <w:tcW w:w="3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43,282</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Stock based compensation</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9,259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Issuance of restricted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1,982</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Preferred stock dividend</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(22,718)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(22,718)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Amortization of preferred stock issuance costs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(12,791)</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(12,791)</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Common stock issuance - Public Offering</w:t>
            </w:r>
          </w:p>
        </w:tc>
        <w:tc>
          <w:tcPr>
            <w:tcW w:w="740" w:type="dxa"/>
            <w:vAlign w:val="bottom"/>
          </w:tcPr>
          <w:p>
            <w:pPr>
              <w:jc w:val="right"/>
              <w:spacing w:after="0"/>
              <w:rPr>
                <w:sz w:val="20"/>
                <w:szCs w:val="20"/>
                <w:color w:val="auto"/>
              </w:rPr>
            </w:pPr>
            <w:r>
              <w:rPr>
                <w:rFonts w:ascii="Arial" w:cs="Arial" w:eastAsia="Arial" w:hAnsi="Arial"/>
                <w:sz w:val="11"/>
                <w:szCs w:val="11"/>
                <w:color w:val="auto"/>
              </w:rPr>
              <w:t>42,308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109,996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Treasury shares used in Public Offering</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(7,162)</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7,162</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(82,087)</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Common Stock - Issuance Costs</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(8,340)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(8,340)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Synchronoss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(23,098)</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(23,098)</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4180" w:type="dxa"/>
            <w:vAlign w:val="bottom"/>
          </w:tcPr>
          <w:p>
            <w:pPr>
              <w:ind w:left="100"/>
              <w:spacing w:after="0"/>
              <w:rPr>
                <w:sz w:val="20"/>
                <w:szCs w:val="20"/>
                <w:color w:val="auto"/>
              </w:rPr>
            </w:pPr>
            <w:r>
              <w:rPr>
                <w:rFonts w:ascii="Arial" w:cs="Arial" w:eastAsia="Arial" w:hAnsi="Arial"/>
                <w:sz w:val="11"/>
                <w:szCs w:val="11"/>
                <w:color w:val="auto"/>
              </w:rPr>
              <w:t>Non-controlling interest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Borders>
              <w:bottom w:val="single" w:sz="8" w:color="CCEEFF"/>
            </w:tcBorders>
            <w:shd w:val="clear" w:color="auto" w:fill="CCEEFF"/>
          </w:tcPr>
          <w:p>
            <w:pPr>
              <w:spacing w:after="0"/>
              <w:rPr>
                <w:sz w:val="13"/>
                <w:szCs w:val="13"/>
                <w:color w:val="auto"/>
              </w:rPr>
            </w:pPr>
          </w:p>
        </w:tc>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other comprehensive income (loss)</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(4,772)</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(4,772)</w:t>
            </w:r>
          </w:p>
        </w:tc>
        <w:tc>
          <w:tcPr>
            <w:tcW w:w="0" w:type="dxa"/>
            <w:vAlign w:val="bottom"/>
          </w:tcPr>
          <w:p>
            <w:pPr>
              <w:spacing w:after="0"/>
              <w:rPr>
                <w:sz w:val="1"/>
                <w:szCs w:val="1"/>
                <w:color w:val="auto"/>
              </w:rPr>
            </w:pPr>
          </w:p>
        </w:tc>
      </w:tr>
      <w:tr>
        <w:trPr>
          <w:trHeight w:val="153"/>
        </w:trPr>
        <w:tc>
          <w:tcPr>
            <w:tcW w:w="422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88,305</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3"/>
                <w:szCs w:val="13"/>
                <w:color w:val="auto"/>
              </w:rPr>
            </w:pPr>
          </w:p>
        </w:tc>
        <w:tc>
          <w:tcPr>
            <w:tcW w:w="1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492,512</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(32,985)</w:t>
            </w:r>
          </w:p>
        </w:tc>
        <w:tc>
          <w:tcPr>
            <w:tcW w:w="12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(368,713)</w:t>
            </w:r>
          </w:p>
        </w:tc>
        <w:tc>
          <w:tcPr>
            <w:tcW w:w="120" w:type="dxa"/>
            <w:vAlign w:val="bottom"/>
            <w:gridSpan w:val="2"/>
          </w:tcPr>
          <w:p>
            <w:pPr>
              <w:spacing w:after="0"/>
              <w:rPr>
                <w:sz w:val="13"/>
                <w:szCs w:val="13"/>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90,823</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Twelve Months Ended December 31,</w:t>
            </w:r>
          </w:p>
        </w:tc>
        <w:tc>
          <w:tcPr>
            <w:tcW w:w="980" w:type="dxa"/>
            <w:vAlign w:val="bottom"/>
            <w:tcBorders>
              <w:bottom w:val="single" w:sz="8" w:color="auto"/>
            </w:tcBorders>
          </w:tcPr>
          <w:p>
            <w:pPr>
              <w:spacing w:after="0"/>
              <w:rPr>
                <w:sz w:val="16"/>
                <w:szCs w:val="16"/>
                <w:color w:val="auto"/>
              </w:rPr>
            </w:pPr>
          </w:p>
        </w:tc>
      </w:tr>
      <w:tr>
        <w:trPr>
          <w:trHeight w:val="184"/>
        </w:trPr>
        <w:tc>
          <w:tcPr>
            <w:tcW w:w="67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2019</w:t>
            </w:r>
          </w:p>
        </w:tc>
      </w:tr>
      <w:tr>
        <w:trPr>
          <w:trHeight w:val="167"/>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Net loss continuing operations</w:t>
            </w:r>
          </w:p>
        </w:tc>
        <w:tc>
          <w:tcPr>
            <w:tcW w:w="860" w:type="dxa"/>
            <w:vAlign w:val="bottom"/>
          </w:tcPr>
          <w:p>
            <w:pPr>
              <w:jc w:val="right"/>
              <w:ind w:right="68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(23,098)</w:t>
            </w:r>
          </w:p>
        </w:tc>
        <w:tc>
          <w:tcPr>
            <w:tcW w:w="1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(10,358)</w:t>
            </w:r>
          </w:p>
        </w:tc>
        <w:tc>
          <w:tcPr>
            <w:tcW w:w="12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(103,467)</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Adjustments to reconcile net loss to net cash used in operating activities: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34,760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42,672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77,037</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Impairment of long-lived assets and capitalized software</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Change in fair value of financial instruments</w:t>
            </w:r>
          </w:p>
        </w:tc>
        <w:tc>
          <w:tcPr>
            <w:tcW w:w="8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debt issuance costs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Gain on extinguishment of debt</w:t>
            </w:r>
          </w:p>
        </w:tc>
        <w:tc>
          <w:tcPr>
            <w:tcW w:w="8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(822)</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 from Equity method investments</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Loss on Disposals of fixed assets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Gain on Disposals of intangible assets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Amortization of bond discount (premium)</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9,343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11,137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22,287</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Cumulative adjustment to STI receivable</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26,044</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Operating lease impairment, net</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1,353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5,350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6,268</w:t>
            </w:r>
          </w:p>
        </w:tc>
      </w:tr>
      <w:tr>
        <w:trPr>
          <w:trHeight w:val="189"/>
        </w:trPr>
        <w:tc>
          <w:tcPr>
            <w:tcW w:w="67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Changes in operating assets and liabilities: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11,703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10,891</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(4,394)</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18,209</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(7,127)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8,879</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8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1,710</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(21,972)</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(28,856)</w:t>
            </w:r>
          </w:p>
        </w:tc>
      </w:tr>
      <w:tr>
        <w:trPr>
          <w:trHeight w:val="183"/>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liabilities</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6,150</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(6,635)</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(4,362)</w:t>
            </w:r>
          </w:p>
        </w:tc>
      </w:tr>
      <w:tr>
        <w:trPr>
          <w:trHeight w:val="182"/>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32,583</w:t>
            </w: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7"/>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fixed assets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(8,183)</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Additions to capitalized software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(22,972)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(16,665)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(13,008)</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 of intangible assets</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Proceeds from the sale of intangibles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5,429</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marketable securities available for sale</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(51,745)</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Maturity of marketable securities available for sale</w:t>
            </w:r>
          </w:p>
        </w:tc>
        <w:tc>
          <w:tcPr>
            <w:tcW w:w="8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86,884</w:t>
            </w:r>
          </w:p>
        </w:tc>
      </w:tr>
      <w:tr>
        <w:trPr>
          <w:trHeight w:val="18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8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(23,943)</w:t>
            </w: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(14,339)</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19,377</w:t>
            </w: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7"/>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Share-based compensation-related proceeds, net of taxes paid on withholding shares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Taxes paid on withholding shares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Debt issuance costs related to long term debt</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(8,606)</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Proceeds from issuance of long term debt</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141,077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Retirement of Convertible Senior Notes &amp; related costs</w:t>
            </w:r>
          </w:p>
        </w:tc>
        <w:tc>
          <w:tcPr>
            <w:tcW w:w="8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(113,006)</w:t>
            </w:r>
          </w:p>
        </w:tc>
      </w:tr>
      <w:tr>
        <w:trPr>
          <w:trHeight w:val="180"/>
        </w:trPr>
        <w:tc>
          <w:tcPr>
            <w:tcW w:w="6780" w:type="dxa"/>
            <w:vAlign w:val="bottom"/>
          </w:tcPr>
          <w:p>
            <w:pPr>
              <w:ind w:left="240"/>
              <w:spacing w:after="0"/>
              <w:rPr>
                <w:sz w:val="20"/>
                <w:szCs w:val="20"/>
                <w:color w:val="auto"/>
              </w:rPr>
            </w:pPr>
            <w:r>
              <w:rPr>
                <w:rFonts w:ascii="Arial" w:cs="Arial" w:eastAsia="Arial" w:hAnsi="Arial"/>
                <w:sz w:val="14"/>
                <w:szCs w:val="14"/>
                <w:color w:val="auto"/>
              </w:rPr>
              <w:t>Borrowings on revolving line of credit</w:t>
            </w:r>
          </w:p>
        </w:tc>
        <w:tc>
          <w:tcPr>
            <w:tcW w:w="8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2,000</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revolving line of credit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Proceeds from issuance of common stock</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110,000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issuance costs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Proceeds from issuance of Series B preferred stock</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75,000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B preferred stock issuance costs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(2,495)</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Series B preferred dividend paid in cash</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Redemption of Series A Preferred stock</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(278,665)</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Series A preferred dividend paid in cash</w:t>
            </w:r>
          </w:p>
        </w:tc>
        <w:tc>
          <w:tcPr>
            <w:tcW w:w="4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(7,075)</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on capital obligations</w:t>
            </w:r>
          </w:p>
        </w:tc>
        <w:tc>
          <w:tcPr>
            <w:tcW w:w="4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r>
      <w:tr>
        <w:trPr>
          <w:trHeight w:val="177"/>
        </w:trPr>
        <w:tc>
          <w:tcPr>
            <w:tcW w:w="678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16,188</w:t>
            </w:r>
          </w:p>
        </w:tc>
        <w:tc>
          <w:tcPr>
            <w:tcW w:w="1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9,991</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(121,257)</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Effect of exchange rate changes on cash</w:t>
            </w: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r>
      <w:tr>
        <w:trPr>
          <w:trHeight w:val="177"/>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(70,859)</w:t>
            </w:r>
          </w:p>
        </w:tc>
      </w:tr>
      <w:tr>
        <w:trPr>
          <w:trHeight w:val="182"/>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33,671</w:t>
            </w:r>
          </w:p>
        </w:tc>
        <w:tc>
          <w:tcPr>
            <w:tcW w:w="1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39,001</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109,860</w:t>
            </w:r>
          </w:p>
        </w:tc>
      </w:tr>
      <w:tr>
        <w:trPr>
          <w:trHeight w:val="153"/>
        </w:trPr>
        <w:tc>
          <w:tcPr>
            <w:tcW w:w="6780" w:type="dxa"/>
            <w:vAlign w:val="bottom"/>
          </w:tcPr>
          <w:p>
            <w:pPr>
              <w:ind w:left="20"/>
              <w:spacing w:after="0" w:line="153" w:lineRule="exact"/>
              <w:rPr>
                <w:sz w:val="20"/>
                <w:szCs w:val="20"/>
                <w:color w:val="auto"/>
              </w:rPr>
            </w:pPr>
            <w:r>
              <w:rPr>
                <w:rFonts w:ascii="Arial" w:cs="Arial" w:eastAsia="Arial" w:hAnsi="Arial"/>
                <w:sz w:val="14"/>
                <w:szCs w:val="14"/>
                <w:color w:val="auto"/>
              </w:rPr>
              <w:t>Cash and cash equivalents, end of period</w:t>
            </w:r>
          </w:p>
        </w:tc>
        <w:tc>
          <w:tcPr>
            <w:tcW w:w="460" w:type="dxa"/>
            <w:vAlign w:val="bottom"/>
            <w:tcBorders>
              <w:bottom w:val="single" w:sz="8" w:color="auto"/>
            </w:tcBorders>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31,504</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369"/>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33,671</w:t>
            </w: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39,001</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3"/>
        </w:trPr>
        <w:tc>
          <w:tcPr>
            <w:tcW w:w="67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3,449</w:t>
            </w:r>
          </w:p>
        </w:tc>
        <w:tc>
          <w:tcPr>
            <w:tcW w:w="14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6,138</w:t>
            </w:r>
          </w:p>
        </w:tc>
        <w:tc>
          <w:tcPr>
            <w:tcW w:w="12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3,598</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refund for income taxes</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20,733</w:t>
            </w:r>
          </w:p>
        </w:tc>
      </w:tr>
      <w:tr>
        <w:trPr>
          <w:trHeight w:val="183"/>
        </w:trPr>
        <w:tc>
          <w:tcPr>
            <w:tcW w:w="678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3,657</w:t>
            </w:r>
          </w:p>
        </w:tc>
        <w:tc>
          <w:tcPr>
            <w:tcW w:w="14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666</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9"/>
        </w:trPr>
        <w:tc>
          <w:tcPr>
            <w:tcW w:w="6780" w:type="dxa"/>
            <w:vAlign w:val="bottom"/>
          </w:tcPr>
          <w:p>
            <w:pPr>
              <w:ind w:left="240"/>
              <w:spacing w:after="0"/>
              <w:rPr>
                <w:sz w:val="20"/>
                <w:szCs w:val="20"/>
                <w:color w:val="auto"/>
              </w:rPr>
            </w:pPr>
            <w:r>
              <w:rPr>
                <w:rFonts w:ascii="Arial" w:cs="Arial" w:eastAsia="Arial" w:hAnsi="Arial"/>
                <w:sz w:val="14"/>
                <w:szCs w:val="14"/>
                <w:color w:val="auto"/>
              </w:rPr>
              <w:t xml:space="preserve">Paid in kind dividends on Series A Preferred Stock </w:t>
            </w:r>
            <w:r>
              <w:rPr>
                <w:rFonts w:ascii="Arial" w:cs="Arial" w:eastAsia="Arial" w:hAnsi="Arial"/>
                <w:sz w:val="18"/>
                <w:szCs w:val="18"/>
                <w:color w:val="auto"/>
                <w:vertAlign w:val="superscript"/>
              </w:rPr>
              <w:t>1</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31,277</w:t>
            </w:r>
          </w:p>
        </w:tc>
        <w:tc>
          <w:tcPr>
            <w:tcW w:w="140" w:type="dxa"/>
            <w:vAlign w:val="bottom"/>
          </w:tcPr>
          <w:p>
            <w:pPr>
              <w:spacing w:after="0"/>
              <w:rPr>
                <w:sz w:val="20"/>
                <w:szCs w:val="20"/>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36,776</w:t>
            </w:r>
          </w:p>
        </w:tc>
        <w:tc>
          <w:tcPr>
            <w:tcW w:w="120" w:type="dxa"/>
            <w:vAlign w:val="bottom"/>
          </w:tcPr>
          <w:p>
            <w:pPr>
              <w:spacing w:after="0"/>
              <w:rPr>
                <w:sz w:val="20"/>
                <w:szCs w:val="20"/>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14,407</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1" w:lineRule="exact"/>
        <w:rPr>
          <w:sz w:val="20"/>
          <w:szCs w:val="20"/>
          <w:color w:val="auto"/>
        </w:rPr>
      </w:pPr>
    </w:p>
    <w:p>
      <w:pPr>
        <w:ind w:left="240" w:hanging="234"/>
        <w:spacing w:after="0"/>
        <w:tabs>
          <w:tab w:leader="none" w:pos="240" w:val="left"/>
        </w:tabs>
        <w:numPr>
          <w:ilvl w:val="0"/>
          <w:numId w:val="31"/>
        </w:numPr>
        <w:rPr>
          <w:rFonts w:ascii="Arial" w:cs="Arial" w:eastAsia="Arial" w:hAnsi="Arial"/>
          <w:sz w:val="21"/>
          <w:szCs w:val="21"/>
          <w:color w:val="auto"/>
          <w:vertAlign w:val="superscript"/>
        </w:rPr>
      </w:pPr>
      <w:r>
        <w:rPr>
          <w:rFonts w:ascii="Arial" w:cs="Arial" w:eastAsia="Arial" w:hAnsi="Arial"/>
          <w:sz w:val="14"/>
          <w:szCs w:val="14"/>
          <w:color w:val="auto"/>
        </w:rPr>
        <w:t>Current year amounts include amortization of preferred stock issuance costs accelerated due to Series A redemption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Synchronoss Technologies, Inc. (“Synchronoss” or the “Company”) is a leading provider of white label cloud, messaging, digital and network management solutions that enable our customers to keep subscribers, systems, networks and content in sync.</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w:t>
      </w:r>
    </w:p>
    <w:p>
      <w:pPr>
        <w:spacing w:after="0" w:line="20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Synchronoss Personal Cloud™ platform is specifically designed to support smartphones, tablets and wirelessly enabled consumer electronics such as wearables for health and wellness, cameras, tablets, e-readers, personal navigation devices, and GPS enabled devices, as well as connected automobiles and homes.</w:t>
      </w:r>
    </w:p>
    <w:p>
      <w:pPr>
        <w:spacing w:after="0" w:line="21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Synchronoss Messaging Platform powers mobile messaging and mailboxes for hundreds of millions of telecommunication subscribers. The Advanced Messaging platform is a powerful, secure, intelligent, white-label messaging platform that expands capabilities for communications service provider and multi-service providers to offer P2P messaging via Rich Communications Services (“RCS”). The Mobile Messaging Platform (“MMP”) provides a single standard ecosystem for onboarding and management to brands, advertisers and message wholesalers.</w:t>
      </w:r>
    </w:p>
    <w:p>
      <w:pPr>
        <w:spacing w:after="0" w:line="204"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The Synchronoss Digital Platform is a suite of technology, tools and solutions that includes digital experience creation and management, automated provisioning, artificial intelligence and financial analytics that service a broad swatch of our target markets. The platform equips customers with the tools to design, deploy and manage end user customer journeys and workflows from one central platform that also integrates across front end customer engagement channels as well as enterprise business systems (e.g. CRM, POS) allowing non-citizen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w:t>
      </w:r>
    </w:p>
    <w:p>
      <w:pPr>
        <w:spacing w:after="0" w:line="225"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The Synchronoss Total Network Management application provides operators with the tools and software to design their physical network, streamline their infrastructure purchases, and manage and optimize comprehensive network expense for leading top tier carriers around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Summary of Significant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There continue to be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year ended December 31, 2021,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1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Standard</w:t>
            </w:r>
          </w:p>
        </w:tc>
        <w:tc>
          <w:tcPr>
            <w:tcW w:w="54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Description</w:t>
            </w:r>
          </w:p>
        </w:tc>
        <w:tc>
          <w:tcPr>
            <w:tcW w:w="3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159"/>
        </w:trPr>
        <w:tc>
          <w:tcPr>
            <w:tcW w:w="1940" w:type="dxa"/>
            <w:vAlign w:val="bottom"/>
          </w:tcPr>
          <w:p>
            <w:pPr>
              <w:ind w:left="20"/>
              <w:spacing w:after="0" w:line="159" w:lineRule="exact"/>
              <w:rPr>
                <w:sz w:val="20"/>
                <w:szCs w:val="20"/>
                <w:color w:val="auto"/>
              </w:rPr>
            </w:pPr>
            <w:r>
              <w:rPr>
                <w:rFonts w:ascii="Arial" w:cs="Arial" w:eastAsia="Arial" w:hAnsi="Arial"/>
                <w:sz w:val="16"/>
                <w:szCs w:val="16"/>
                <w:color w:val="auto"/>
              </w:rPr>
              <w:t>Update 2019-12 - Income</w:t>
            </w:r>
          </w:p>
        </w:tc>
        <w:tc>
          <w:tcPr>
            <w:tcW w:w="5480" w:type="dxa"/>
            <w:vAlign w:val="bottom"/>
          </w:tcPr>
          <w:p>
            <w:pPr>
              <w:ind w:left="100"/>
              <w:spacing w:after="0" w:line="159" w:lineRule="exact"/>
              <w:rPr>
                <w:sz w:val="20"/>
                <w:szCs w:val="20"/>
                <w:color w:val="auto"/>
              </w:rPr>
            </w:pPr>
            <w:r>
              <w:rPr>
                <w:rFonts w:ascii="Arial" w:cs="Arial" w:eastAsia="Arial" w:hAnsi="Arial"/>
                <w:sz w:val="16"/>
                <w:szCs w:val="16"/>
                <w:color w:val="auto"/>
                <w:w w:val="97"/>
              </w:rPr>
              <w:t>The ASU removes the exception to the general principles in ASC 740, Income</w:t>
            </w:r>
          </w:p>
        </w:tc>
        <w:tc>
          <w:tcPr>
            <w:tcW w:w="3660" w:type="dxa"/>
            <w:vAlign w:val="bottom"/>
          </w:tcPr>
          <w:p>
            <w:pPr>
              <w:ind w:left="80"/>
              <w:spacing w:after="0" w:line="159" w:lineRule="exact"/>
              <w:rPr>
                <w:sz w:val="20"/>
                <w:szCs w:val="20"/>
                <w:color w:val="auto"/>
              </w:rPr>
            </w:pPr>
            <w:r>
              <w:rPr>
                <w:rFonts w:ascii="Arial" w:cs="Arial" w:eastAsia="Arial" w:hAnsi="Arial"/>
                <w:sz w:val="16"/>
                <w:szCs w:val="16"/>
                <w:color w:val="auto"/>
                <w:w w:val="98"/>
              </w:rPr>
              <w:t>We adopted this standard on January 1, 2021. The</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Taxes (Topic 740)</w:t>
            </w: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w w:val="96"/>
              </w:rPr>
              <w:t>Taxes, associated with the incremental approach for intra-period tax allocation,</w:t>
            </w:r>
          </w:p>
        </w:tc>
        <w:tc>
          <w:tcPr>
            <w:tcW w:w="3660" w:type="dxa"/>
            <w:vAlign w:val="bottom"/>
          </w:tcPr>
          <w:p>
            <w:pPr>
              <w:ind w:left="80"/>
              <w:spacing w:after="0" w:line="160" w:lineRule="exact"/>
              <w:rPr>
                <w:sz w:val="20"/>
                <w:szCs w:val="20"/>
                <w:color w:val="auto"/>
              </w:rPr>
            </w:pPr>
            <w:r>
              <w:rPr>
                <w:rFonts w:ascii="Arial" w:cs="Arial" w:eastAsia="Arial" w:hAnsi="Arial"/>
                <w:sz w:val="16"/>
                <w:szCs w:val="16"/>
                <w:color w:val="auto"/>
                <w:w w:val="91"/>
              </w:rPr>
              <w:t>Company evaluated these changes and concluded that</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Simplifying the Accounting</w:t>
            </w: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w w:val="97"/>
              </w:rPr>
              <w:t>accounting for basis differences when there are ownership changes in foreign</w:t>
            </w:r>
          </w:p>
        </w:tc>
        <w:tc>
          <w:tcPr>
            <w:tcW w:w="3660" w:type="dxa"/>
            <w:vAlign w:val="bottom"/>
          </w:tcPr>
          <w:p>
            <w:pPr>
              <w:ind w:left="80"/>
              <w:spacing w:after="0" w:line="160" w:lineRule="exact"/>
              <w:rPr>
                <w:sz w:val="20"/>
                <w:szCs w:val="20"/>
                <w:color w:val="auto"/>
              </w:rPr>
            </w:pPr>
            <w:r>
              <w:rPr>
                <w:rFonts w:ascii="Arial" w:cs="Arial" w:eastAsia="Arial" w:hAnsi="Arial"/>
                <w:sz w:val="16"/>
                <w:szCs w:val="16"/>
                <w:color w:val="auto"/>
              </w:rPr>
              <w:t>they  did  not  have  any  material  impact  on  the</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for Income Taxes</w:t>
            </w: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w w:val="92"/>
              </w:rPr>
              <w:t>investments and interim-period income tax accounting for year-to-date losses that</w:t>
            </w:r>
          </w:p>
        </w:tc>
        <w:tc>
          <w:tcPr>
            <w:tcW w:w="3660" w:type="dxa"/>
            <w:vAlign w:val="bottom"/>
          </w:tcPr>
          <w:p>
            <w:pPr>
              <w:ind w:left="80"/>
              <w:spacing w:after="0" w:line="160" w:lineRule="exact"/>
              <w:rPr>
                <w:sz w:val="20"/>
                <w:szCs w:val="20"/>
                <w:color w:val="auto"/>
              </w:rPr>
            </w:pPr>
            <w:r>
              <w:rPr>
                <w:rFonts w:ascii="Arial" w:cs="Arial" w:eastAsia="Arial" w:hAnsi="Arial"/>
                <w:sz w:val="16"/>
                <w:szCs w:val="16"/>
                <w:color w:val="auto"/>
                <w:w w:val="92"/>
              </w:rPr>
              <w:t>Company’s consolidated financial position or results of</w:t>
            </w: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rPr>
              <w:t>exceed anticipated losses. In addition, the ASU improves the application of</w:t>
            </w:r>
          </w:p>
        </w:tc>
        <w:tc>
          <w:tcPr>
            <w:tcW w:w="3660" w:type="dxa"/>
            <w:vAlign w:val="bottom"/>
          </w:tcPr>
          <w:p>
            <w:pPr>
              <w:ind w:left="80"/>
              <w:spacing w:after="0" w:line="160" w:lineRule="exact"/>
              <w:rPr>
                <w:sz w:val="20"/>
                <w:szCs w:val="20"/>
                <w:color w:val="auto"/>
              </w:rPr>
            </w:pPr>
            <w:r>
              <w:rPr>
                <w:rFonts w:ascii="Arial" w:cs="Arial" w:eastAsia="Arial" w:hAnsi="Arial"/>
                <w:sz w:val="16"/>
                <w:szCs w:val="16"/>
                <w:color w:val="auto"/>
              </w:rPr>
              <w:t>operations upon adoption.</w:t>
            </w: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rPr>
              <w:t>income tax related guidance and simplifies U.S. GAAP when accounting for</w:t>
            </w:r>
          </w:p>
        </w:tc>
        <w:tc>
          <w:tcPr>
            <w:tcW w:w="3660" w:type="dxa"/>
            <w:vAlign w:val="bottom"/>
          </w:tcPr>
          <w:p>
            <w:pPr>
              <w:spacing w:after="0"/>
              <w:rPr>
                <w:sz w:val="13"/>
                <w:szCs w:val="13"/>
                <w:color w:val="auto"/>
              </w:rPr>
            </w:pP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w w:val="94"/>
              </w:rPr>
              <w:t>franchise taxes that are partially based on income, transactions with government</w:t>
            </w:r>
          </w:p>
        </w:tc>
        <w:tc>
          <w:tcPr>
            <w:tcW w:w="3660" w:type="dxa"/>
            <w:vAlign w:val="bottom"/>
          </w:tcPr>
          <w:p>
            <w:pPr>
              <w:spacing w:after="0"/>
              <w:rPr>
                <w:sz w:val="13"/>
                <w:szCs w:val="13"/>
                <w:color w:val="auto"/>
              </w:rPr>
            </w:pP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w w:val="94"/>
              </w:rPr>
              <w:t>resulting in a step-up in tax basis goodwill, separate financial statements of legal</w:t>
            </w:r>
          </w:p>
        </w:tc>
        <w:tc>
          <w:tcPr>
            <w:tcW w:w="3660" w:type="dxa"/>
            <w:vAlign w:val="bottom"/>
          </w:tcPr>
          <w:p>
            <w:pPr>
              <w:spacing w:after="0"/>
              <w:rPr>
                <w:sz w:val="13"/>
                <w:szCs w:val="13"/>
                <w:color w:val="auto"/>
              </w:rPr>
            </w:pP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w w:val="97"/>
              </w:rPr>
              <w:t>entities not subject to tax, and enacted changes in tax laws in interim periods.</w:t>
            </w:r>
          </w:p>
        </w:tc>
        <w:tc>
          <w:tcPr>
            <w:tcW w:w="3660" w:type="dxa"/>
            <w:vAlign w:val="bottom"/>
          </w:tcPr>
          <w:p>
            <w:pPr>
              <w:spacing w:after="0"/>
              <w:rPr>
                <w:sz w:val="13"/>
                <w:szCs w:val="13"/>
                <w:color w:val="auto"/>
              </w:rPr>
            </w:pP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Arial" w:cs="Arial" w:eastAsia="Arial" w:hAnsi="Arial"/>
                <w:sz w:val="16"/>
                <w:szCs w:val="16"/>
                <w:color w:val="auto"/>
              </w:rPr>
              <w:t>Different  transition  approaches,  retrospective,  modified  retrospective,  or</w:t>
            </w:r>
          </w:p>
        </w:tc>
        <w:tc>
          <w:tcPr>
            <w:tcW w:w="3660" w:type="dxa"/>
            <w:vAlign w:val="bottom"/>
          </w:tcPr>
          <w:p>
            <w:pPr>
              <w:spacing w:after="0"/>
              <w:rPr>
                <w:sz w:val="13"/>
                <w:szCs w:val="13"/>
                <w:color w:val="auto"/>
              </w:rPr>
            </w:pPr>
          </w:p>
        </w:tc>
      </w:tr>
      <w:tr>
        <w:trPr>
          <w:trHeight w:val="204"/>
        </w:trPr>
        <w:tc>
          <w:tcPr>
            <w:tcW w:w="194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Arial" w:cs="Arial" w:eastAsia="Arial" w:hAnsi="Arial"/>
                <w:sz w:val="16"/>
                <w:szCs w:val="16"/>
                <w:color w:val="auto"/>
              </w:rPr>
              <w:t>prospective, will apply to each income tax simplification provision.</w:t>
            </w:r>
          </w:p>
        </w:tc>
        <w:tc>
          <w:tcPr>
            <w:tcW w:w="3660" w:type="dxa"/>
            <w:vAlign w:val="bottom"/>
          </w:tcPr>
          <w:p>
            <w:pPr>
              <w:spacing w:after="0"/>
              <w:rPr>
                <w:sz w:val="17"/>
                <w:szCs w:val="17"/>
                <w:color w:val="auto"/>
              </w:rPr>
            </w:pPr>
          </w:p>
        </w:tc>
      </w:tr>
      <w:tr>
        <w:trPr>
          <w:trHeight w:val="168"/>
        </w:trPr>
        <w:tc>
          <w:tcPr>
            <w:tcW w:w="1940" w:type="dxa"/>
            <w:vAlign w:val="bottom"/>
          </w:tcPr>
          <w:p>
            <w:pPr>
              <w:ind w:left="20"/>
              <w:spacing w:after="0" w:line="168" w:lineRule="exact"/>
              <w:rPr>
                <w:sz w:val="20"/>
                <w:szCs w:val="20"/>
                <w:color w:val="auto"/>
              </w:rPr>
            </w:pPr>
            <w:r>
              <w:rPr>
                <w:rFonts w:ascii="Arial" w:cs="Arial" w:eastAsia="Arial" w:hAnsi="Arial"/>
                <w:sz w:val="16"/>
                <w:szCs w:val="16"/>
                <w:color w:val="auto"/>
                <w:w w:val="94"/>
              </w:rPr>
              <w:t>Date of adoption: January 1,</w:t>
            </w:r>
          </w:p>
        </w:tc>
        <w:tc>
          <w:tcPr>
            <w:tcW w:w="54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07"/>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54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60" w:right="238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Standard</w:t>
            </w:r>
          </w:p>
        </w:tc>
        <w:tc>
          <w:tcPr>
            <w:tcW w:w="6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Description</w:t>
            </w:r>
          </w:p>
        </w:tc>
        <w:tc>
          <w:tcPr>
            <w:tcW w:w="2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159"/>
        </w:trPr>
        <w:tc>
          <w:tcPr>
            <w:tcW w:w="1940" w:type="dxa"/>
            <w:vAlign w:val="bottom"/>
          </w:tcPr>
          <w:p>
            <w:pPr>
              <w:ind w:left="20"/>
              <w:spacing w:after="0" w:line="159" w:lineRule="exact"/>
              <w:rPr>
                <w:sz w:val="20"/>
                <w:szCs w:val="20"/>
                <w:color w:val="auto"/>
              </w:rPr>
            </w:pPr>
            <w:r>
              <w:rPr>
                <w:rFonts w:ascii="Arial" w:cs="Arial" w:eastAsia="Arial" w:hAnsi="Arial"/>
                <w:sz w:val="16"/>
                <w:szCs w:val="16"/>
                <w:color w:val="auto"/>
                <w:w w:val="98"/>
              </w:rPr>
              <w:t>ASU 2021-04 Earnings Per</w:t>
            </w:r>
          </w:p>
        </w:tc>
        <w:tc>
          <w:tcPr>
            <w:tcW w:w="6280" w:type="dxa"/>
            <w:vAlign w:val="bottom"/>
          </w:tcPr>
          <w:p>
            <w:pPr>
              <w:ind w:left="100"/>
              <w:spacing w:after="0" w:line="159" w:lineRule="exact"/>
              <w:rPr>
                <w:sz w:val="20"/>
                <w:szCs w:val="20"/>
                <w:color w:val="auto"/>
              </w:rPr>
            </w:pPr>
            <w:r>
              <w:rPr>
                <w:rFonts w:ascii="Arial" w:cs="Arial" w:eastAsia="Arial" w:hAnsi="Arial"/>
                <w:sz w:val="16"/>
                <w:szCs w:val="16"/>
                <w:color w:val="auto"/>
                <w:w w:val="98"/>
              </w:rPr>
              <w:t>The amendments in this Update provide guidance for a modification or an exchange of a</w:t>
            </w:r>
          </w:p>
        </w:tc>
        <w:tc>
          <w:tcPr>
            <w:tcW w:w="2960" w:type="dxa"/>
            <w:vAlign w:val="bottom"/>
          </w:tcPr>
          <w:p>
            <w:pPr>
              <w:ind w:left="80"/>
              <w:spacing w:after="0" w:line="159" w:lineRule="exact"/>
              <w:rPr>
                <w:sz w:val="20"/>
                <w:szCs w:val="20"/>
                <w:color w:val="auto"/>
              </w:rPr>
            </w:pPr>
            <w:r>
              <w:rPr>
                <w:rFonts w:ascii="Arial" w:cs="Arial" w:eastAsia="Arial" w:hAnsi="Arial"/>
                <w:sz w:val="16"/>
                <w:szCs w:val="16"/>
                <w:color w:val="auto"/>
                <w:w w:val="95"/>
              </w:rPr>
              <w:t>The Company continues to evaluate these</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Share (Topic 260), Debt—</w:t>
            </w:r>
          </w:p>
        </w:tc>
        <w:tc>
          <w:tcPr>
            <w:tcW w:w="6280" w:type="dxa"/>
            <w:vAlign w:val="bottom"/>
          </w:tcPr>
          <w:p>
            <w:pPr>
              <w:ind w:left="100"/>
              <w:spacing w:after="0" w:line="160" w:lineRule="exact"/>
              <w:rPr>
                <w:sz w:val="20"/>
                <w:szCs w:val="20"/>
                <w:color w:val="auto"/>
              </w:rPr>
            </w:pPr>
            <w:r>
              <w:rPr>
                <w:rFonts w:ascii="Arial" w:cs="Arial" w:eastAsia="Arial" w:hAnsi="Arial"/>
                <w:sz w:val="16"/>
                <w:szCs w:val="16"/>
                <w:color w:val="auto"/>
                <w:w w:val="94"/>
              </w:rPr>
              <w:t>freestanding equity-classified written call option that is not within the scope of another Topic.</w:t>
            </w:r>
          </w:p>
        </w:tc>
        <w:tc>
          <w:tcPr>
            <w:tcW w:w="2960" w:type="dxa"/>
            <w:vAlign w:val="bottom"/>
          </w:tcPr>
          <w:p>
            <w:pPr>
              <w:ind w:left="80"/>
              <w:spacing w:after="0" w:line="160" w:lineRule="exact"/>
              <w:rPr>
                <w:sz w:val="20"/>
                <w:szCs w:val="20"/>
                <w:color w:val="auto"/>
              </w:rPr>
            </w:pPr>
            <w:r>
              <w:rPr>
                <w:rFonts w:ascii="Arial" w:cs="Arial" w:eastAsia="Arial" w:hAnsi="Arial"/>
                <w:sz w:val="16"/>
                <w:szCs w:val="16"/>
                <w:color w:val="auto"/>
                <w:w w:val="88"/>
              </w:rPr>
              <w:t>changes and does not anticipate any material</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Modifications and</w:t>
            </w:r>
          </w:p>
        </w:tc>
        <w:tc>
          <w:tcPr>
            <w:tcW w:w="6280" w:type="dxa"/>
            <w:vAlign w:val="bottom"/>
          </w:tcPr>
          <w:p>
            <w:pPr>
              <w:spacing w:after="0"/>
              <w:rPr>
                <w:sz w:val="13"/>
                <w:szCs w:val="13"/>
                <w:color w:val="auto"/>
              </w:rPr>
            </w:pPr>
          </w:p>
        </w:tc>
        <w:tc>
          <w:tcPr>
            <w:tcW w:w="2960" w:type="dxa"/>
            <w:vAlign w:val="bottom"/>
          </w:tcPr>
          <w:p>
            <w:pPr>
              <w:ind w:left="80"/>
              <w:spacing w:after="0" w:line="160" w:lineRule="exact"/>
              <w:rPr>
                <w:sz w:val="20"/>
                <w:szCs w:val="20"/>
                <w:color w:val="auto"/>
              </w:rPr>
            </w:pPr>
            <w:r>
              <w:rPr>
                <w:rFonts w:ascii="Arial" w:cs="Arial" w:eastAsia="Arial" w:hAnsi="Arial"/>
                <w:sz w:val="16"/>
                <w:szCs w:val="16"/>
                <w:color w:val="auto"/>
                <w:w w:val="97"/>
              </w:rPr>
              <w:t>impact  on  the  Company’s  consolidated</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Extinguishments (Subtopic</w:t>
            </w:r>
          </w:p>
        </w:tc>
        <w:tc>
          <w:tcPr>
            <w:tcW w:w="6280" w:type="dxa"/>
            <w:vAlign w:val="bottom"/>
          </w:tcPr>
          <w:p>
            <w:pPr>
              <w:spacing w:after="0"/>
              <w:rPr>
                <w:sz w:val="13"/>
                <w:szCs w:val="13"/>
                <w:color w:val="auto"/>
              </w:rPr>
            </w:pPr>
          </w:p>
        </w:tc>
        <w:tc>
          <w:tcPr>
            <w:tcW w:w="2960" w:type="dxa"/>
            <w:vAlign w:val="bottom"/>
          </w:tcPr>
          <w:p>
            <w:pPr>
              <w:ind w:left="80"/>
              <w:spacing w:after="0" w:line="160" w:lineRule="exact"/>
              <w:rPr>
                <w:sz w:val="20"/>
                <w:szCs w:val="20"/>
                <w:color w:val="auto"/>
              </w:rPr>
            </w:pPr>
            <w:r>
              <w:rPr>
                <w:rFonts w:ascii="Arial" w:cs="Arial" w:eastAsia="Arial" w:hAnsi="Arial"/>
                <w:sz w:val="16"/>
                <w:szCs w:val="16"/>
                <w:color w:val="auto"/>
              </w:rPr>
              <w:t>financial position or results of operations</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470-50), Compensation—</w:t>
            </w:r>
          </w:p>
        </w:tc>
        <w:tc>
          <w:tcPr>
            <w:tcW w:w="6280" w:type="dxa"/>
            <w:vAlign w:val="bottom"/>
          </w:tcPr>
          <w:p>
            <w:pPr>
              <w:spacing w:after="0"/>
              <w:rPr>
                <w:sz w:val="13"/>
                <w:szCs w:val="13"/>
                <w:color w:val="auto"/>
              </w:rPr>
            </w:pPr>
          </w:p>
        </w:tc>
        <w:tc>
          <w:tcPr>
            <w:tcW w:w="2960" w:type="dxa"/>
            <w:vAlign w:val="bottom"/>
          </w:tcPr>
          <w:p>
            <w:pPr>
              <w:ind w:left="80"/>
              <w:spacing w:after="0" w:line="160" w:lineRule="exact"/>
              <w:rPr>
                <w:sz w:val="20"/>
                <w:szCs w:val="20"/>
                <w:color w:val="auto"/>
              </w:rPr>
            </w:pPr>
            <w:r>
              <w:rPr>
                <w:rFonts w:ascii="Arial" w:cs="Arial" w:eastAsia="Arial" w:hAnsi="Arial"/>
                <w:sz w:val="16"/>
                <w:szCs w:val="16"/>
                <w:color w:val="auto"/>
              </w:rPr>
              <w:t>upon adoption.</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w w:val="96"/>
              </w:rPr>
              <w:t>Stock Compensation (Topic</w:t>
            </w:r>
          </w:p>
        </w:tc>
        <w:tc>
          <w:tcPr>
            <w:tcW w:w="628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718), and Derivatives and</w:t>
            </w:r>
          </w:p>
        </w:tc>
        <w:tc>
          <w:tcPr>
            <w:tcW w:w="628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Hedging— Contracts in</w:t>
            </w:r>
          </w:p>
        </w:tc>
        <w:tc>
          <w:tcPr>
            <w:tcW w:w="628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Entity’s Own Equity</w:t>
            </w:r>
          </w:p>
        </w:tc>
        <w:tc>
          <w:tcPr>
            <w:tcW w:w="628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204"/>
        </w:trPr>
        <w:tc>
          <w:tcPr>
            <w:tcW w:w="1940" w:type="dxa"/>
            <w:vAlign w:val="bottom"/>
          </w:tcPr>
          <w:p>
            <w:pPr>
              <w:ind w:left="20"/>
              <w:spacing w:after="0"/>
              <w:rPr>
                <w:sz w:val="20"/>
                <w:szCs w:val="20"/>
                <w:color w:val="auto"/>
              </w:rPr>
            </w:pPr>
            <w:r>
              <w:rPr>
                <w:rFonts w:ascii="Arial" w:cs="Arial" w:eastAsia="Arial" w:hAnsi="Arial"/>
                <w:sz w:val="16"/>
                <w:szCs w:val="16"/>
                <w:color w:val="auto"/>
              </w:rPr>
              <w:t>(Subtopic 815-40)</w:t>
            </w:r>
          </w:p>
        </w:tc>
        <w:tc>
          <w:tcPr>
            <w:tcW w:w="62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68"/>
        </w:trPr>
        <w:tc>
          <w:tcPr>
            <w:tcW w:w="1940" w:type="dxa"/>
            <w:vAlign w:val="bottom"/>
          </w:tcPr>
          <w:p>
            <w:pPr>
              <w:ind w:left="20"/>
              <w:spacing w:after="0" w:line="168" w:lineRule="exact"/>
              <w:rPr>
                <w:sz w:val="20"/>
                <w:szCs w:val="20"/>
                <w:color w:val="auto"/>
              </w:rPr>
            </w:pPr>
            <w:r>
              <w:rPr>
                <w:rFonts w:ascii="Arial" w:cs="Arial" w:eastAsia="Arial" w:hAnsi="Arial"/>
                <w:sz w:val="16"/>
                <w:szCs w:val="16"/>
                <w:color w:val="auto"/>
              </w:rPr>
              <w:t>Planned date of adoption:</w:t>
            </w:r>
          </w:p>
        </w:tc>
        <w:tc>
          <w:tcPr>
            <w:tcW w:w="628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07"/>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2022.</w:t>
            </w:r>
          </w:p>
        </w:tc>
        <w:tc>
          <w:tcPr>
            <w:tcW w:w="6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159"/>
        </w:trPr>
        <w:tc>
          <w:tcPr>
            <w:tcW w:w="1940" w:type="dxa"/>
            <w:vAlign w:val="bottom"/>
          </w:tcPr>
          <w:p>
            <w:pPr>
              <w:ind w:left="20"/>
              <w:spacing w:after="0" w:line="159" w:lineRule="exact"/>
              <w:rPr>
                <w:sz w:val="20"/>
                <w:szCs w:val="20"/>
                <w:color w:val="auto"/>
              </w:rPr>
            </w:pPr>
            <w:r>
              <w:rPr>
                <w:rFonts w:ascii="Arial" w:cs="Arial" w:eastAsia="Arial" w:hAnsi="Arial"/>
                <w:sz w:val="16"/>
                <w:szCs w:val="16"/>
                <w:color w:val="auto"/>
                <w:w w:val="94"/>
              </w:rPr>
              <w:t>ASU 2021-05 Leases (Topic</w:t>
            </w:r>
          </w:p>
        </w:tc>
        <w:tc>
          <w:tcPr>
            <w:tcW w:w="6280" w:type="dxa"/>
            <w:vAlign w:val="bottom"/>
          </w:tcPr>
          <w:p>
            <w:pPr>
              <w:ind w:left="100"/>
              <w:spacing w:after="0" w:line="159" w:lineRule="exact"/>
              <w:rPr>
                <w:sz w:val="20"/>
                <w:szCs w:val="20"/>
                <w:color w:val="auto"/>
              </w:rPr>
            </w:pPr>
            <w:r>
              <w:rPr>
                <w:rFonts w:ascii="Arial" w:cs="Arial" w:eastAsia="Arial" w:hAnsi="Arial"/>
                <w:sz w:val="16"/>
                <w:szCs w:val="16"/>
                <w:color w:val="auto"/>
                <w:w w:val="92"/>
              </w:rPr>
              <w:t>The amendments in this Update affect lessors with lease contracts that (1) have variable lease</w:t>
            </w:r>
          </w:p>
        </w:tc>
        <w:tc>
          <w:tcPr>
            <w:tcW w:w="2960" w:type="dxa"/>
            <w:vAlign w:val="bottom"/>
          </w:tcPr>
          <w:p>
            <w:pPr>
              <w:ind w:left="80"/>
              <w:spacing w:after="0" w:line="159" w:lineRule="exact"/>
              <w:rPr>
                <w:sz w:val="20"/>
                <w:szCs w:val="20"/>
                <w:color w:val="auto"/>
              </w:rPr>
            </w:pPr>
            <w:r>
              <w:rPr>
                <w:rFonts w:ascii="Arial" w:cs="Arial" w:eastAsia="Arial" w:hAnsi="Arial"/>
                <w:sz w:val="16"/>
                <w:szCs w:val="16"/>
                <w:color w:val="auto"/>
                <w:w w:val="95"/>
              </w:rPr>
              <w:t>The Company continues to evaluate these</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842). Lessors—Certain</w:t>
            </w:r>
          </w:p>
        </w:tc>
        <w:tc>
          <w:tcPr>
            <w:tcW w:w="6280" w:type="dxa"/>
            <w:vAlign w:val="bottom"/>
          </w:tcPr>
          <w:p>
            <w:pPr>
              <w:ind w:left="100"/>
              <w:spacing w:after="0" w:line="160" w:lineRule="exact"/>
              <w:rPr>
                <w:sz w:val="20"/>
                <w:szCs w:val="20"/>
                <w:color w:val="auto"/>
              </w:rPr>
            </w:pPr>
            <w:r>
              <w:rPr>
                <w:rFonts w:ascii="Arial" w:cs="Arial" w:eastAsia="Arial" w:hAnsi="Arial"/>
                <w:sz w:val="16"/>
                <w:szCs w:val="16"/>
                <w:color w:val="auto"/>
                <w:w w:val="92"/>
              </w:rPr>
              <w:t>payments that do not depend on a reference index or a rate and (2) would have resulted in the</w:t>
            </w:r>
          </w:p>
        </w:tc>
        <w:tc>
          <w:tcPr>
            <w:tcW w:w="2960" w:type="dxa"/>
            <w:vAlign w:val="bottom"/>
          </w:tcPr>
          <w:p>
            <w:pPr>
              <w:ind w:left="80"/>
              <w:spacing w:after="0" w:line="160" w:lineRule="exact"/>
              <w:rPr>
                <w:sz w:val="20"/>
                <w:szCs w:val="20"/>
                <w:color w:val="auto"/>
              </w:rPr>
            </w:pPr>
            <w:r>
              <w:rPr>
                <w:rFonts w:ascii="Arial" w:cs="Arial" w:eastAsia="Arial" w:hAnsi="Arial"/>
                <w:sz w:val="16"/>
                <w:szCs w:val="16"/>
                <w:color w:val="auto"/>
                <w:w w:val="88"/>
              </w:rPr>
              <w:t>changes and does not anticipate any material</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w w:val="97"/>
              </w:rPr>
              <w:t>Leases with Variable Lease</w:t>
            </w:r>
          </w:p>
        </w:tc>
        <w:tc>
          <w:tcPr>
            <w:tcW w:w="6280" w:type="dxa"/>
            <w:vAlign w:val="bottom"/>
          </w:tcPr>
          <w:p>
            <w:pPr>
              <w:ind w:left="100"/>
              <w:spacing w:after="0" w:line="160" w:lineRule="exact"/>
              <w:rPr>
                <w:sz w:val="20"/>
                <w:szCs w:val="20"/>
                <w:color w:val="auto"/>
              </w:rPr>
            </w:pPr>
            <w:r>
              <w:rPr>
                <w:rFonts w:ascii="Arial" w:cs="Arial" w:eastAsia="Arial" w:hAnsi="Arial"/>
                <w:sz w:val="16"/>
                <w:szCs w:val="16"/>
                <w:color w:val="auto"/>
              </w:rPr>
              <w:t>recognition of a selling loss at lease commencement if classified as sales-type or direct</w:t>
            </w:r>
          </w:p>
        </w:tc>
        <w:tc>
          <w:tcPr>
            <w:tcW w:w="2960" w:type="dxa"/>
            <w:vAlign w:val="bottom"/>
          </w:tcPr>
          <w:p>
            <w:pPr>
              <w:ind w:left="80"/>
              <w:spacing w:after="0" w:line="160" w:lineRule="exact"/>
              <w:rPr>
                <w:sz w:val="20"/>
                <w:szCs w:val="20"/>
                <w:color w:val="auto"/>
              </w:rPr>
            </w:pPr>
            <w:r>
              <w:rPr>
                <w:rFonts w:ascii="Arial" w:cs="Arial" w:eastAsia="Arial" w:hAnsi="Arial"/>
                <w:sz w:val="16"/>
                <w:szCs w:val="16"/>
                <w:color w:val="auto"/>
                <w:w w:val="97"/>
              </w:rPr>
              <w:t>impact  on  the  Company’s  consolidated</w:t>
            </w:r>
          </w:p>
        </w:tc>
      </w:tr>
      <w:tr>
        <w:trPr>
          <w:trHeight w:val="160"/>
        </w:trPr>
        <w:tc>
          <w:tcPr>
            <w:tcW w:w="1940" w:type="dxa"/>
            <w:vAlign w:val="bottom"/>
          </w:tcPr>
          <w:p>
            <w:pPr>
              <w:ind w:left="20"/>
              <w:spacing w:after="0" w:line="160" w:lineRule="exact"/>
              <w:rPr>
                <w:sz w:val="20"/>
                <w:szCs w:val="20"/>
                <w:color w:val="auto"/>
              </w:rPr>
            </w:pPr>
            <w:r>
              <w:rPr>
                <w:rFonts w:ascii="Arial" w:cs="Arial" w:eastAsia="Arial" w:hAnsi="Arial"/>
                <w:sz w:val="16"/>
                <w:szCs w:val="16"/>
                <w:color w:val="auto"/>
              </w:rPr>
              <w:t>Payments</w:t>
            </w:r>
          </w:p>
        </w:tc>
        <w:tc>
          <w:tcPr>
            <w:tcW w:w="6280" w:type="dxa"/>
            <w:vAlign w:val="bottom"/>
          </w:tcPr>
          <w:p>
            <w:pPr>
              <w:ind w:left="100"/>
              <w:spacing w:after="0" w:line="160" w:lineRule="exact"/>
              <w:rPr>
                <w:sz w:val="20"/>
                <w:szCs w:val="20"/>
                <w:color w:val="auto"/>
              </w:rPr>
            </w:pPr>
            <w:r>
              <w:rPr>
                <w:rFonts w:ascii="Arial" w:cs="Arial" w:eastAsia="Arial" w:hAnsi="Arial"/>
                <w:sz w:val="16"/>
                <w:szCs w:val="16"/>
                <w:color w:val="auto"/>
                <w:w w:val="92"/>
              </w:rPr>
              <w:t>financing. FASB amends lessor classification guidance to prevent selling losses on leases with</w:t>
            </w:r>
          </w:p>
        </w:tc>
        <w:tc>
          <w:tcPr>
            <w:tcW w:w="2960" w:type="dxa"/>
            <w:vAlign w:val="bottom"/>
          </w:tcPr>
          <w:p>
            <w:pPr>
              <w:ind w:left="80"/>
              <w:spacing w:after="0" w:line="160" w:lineRule="exact"/>
              <w:rPr>
                <w:sz w:val="20"/>
                <w:szCs w:val="20"/>
                <w:color w:val="auto"/>
              </w:rPr>
            </w:pPr>
            <w:r>
              <w:rPr>
                <w:rFonts w:ascii="Arial" w:cs="Arial" w:eastAsia="Arial" w:hAnsi="Arial"/>
                <w:sz w:val="16"/>
                <w:szCs w:val="16"/>
                <w:color w:val="auto"/>
              </w:rPr>
              <w:t>financial position or results of operations</w:t>
            </w:r>
          </w:p>
        </w:tc>
      </w:tr>
      <w:tr>
        <w:trPr>
          <w:trHeight w:val="204"/>
        </w:trPr>
        <w:tc>
          <w:tcPr>
            <w:tcW w:w="194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variable payments.</w:t>
            </w:r>
          </w:p>
        </w:tc>
        <w:tc>
          <w:tcPr>
            <w:tcW w:w="2960" w:type="dxa"/>
            <w:vAlign w:val="bottom"/>
          </w:tcPr>
          <w:p>
            <w:pPr>
              <w:ind w:left="80"/>
              <w:spacing w:after="0"/>
              <w:rPr>
                <w:sz w:val="20"/>
                <w:szCs w:val="20"/>
                <w:color w:val="auto"/>
              </w:rPr>
            </w:pPr>
            <w:r>
              <w:rPr>
                <w:rFonts w:ascii="Arial" w:cs="Arial" w:eastAsia="Arial" w:hAnsi="Arial"/>
                <w:sz w:val="16"/>
                <w:szCs w:val="16"/>
                <w:color w:val="auto"/>
              </w:rPr>
              <w:t>upon adoption.</w:t>
            </w:r>
          </w:p>
        </w:tc>
      </w:tr>
      <w:tr>
        <w:trPr>
          <w:trHeight w:val="407"/>
        </w:trPr>
        <w:tc>
          <w:tcPr>
            <w:tcW w:w="1940" w:type="dxa"/>
            <w:vAlign w:val="bottom"/>
          </w:tcPr>
          <w:p>
            <w:pPr>
              <w:ind w:left="20"/>
              <w:spacing w:after="0"/>
              <w:rPr>
                <w:sz w:val="20"/>
                <w:szCs w:val="20"/>
                <w:color w:val="auto"/>
              </w:rPr>
            </w:pPr>
            <w:r>
              <w:rPr>
                <w:rFonts w:ascii="Arial" w:cs="Arial" w:eastAsia="Arial" w:hAnsi="Arial"/>
                <w:sz w:val="16"/>
                <w:szCs w:val="16"/>
                <w:color w:val="auto"/>
              </w:rPr>
              <w:t>Planned date of adoption:</w:t>
            </w:r>
          </w:p>
        </w:tc>
        <w:tc>
          <w:tcPr>
            <w:tcW w:w="6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4"/>
        </w:trPr>
        <w:tc>
          <w:tcPr>
            <w:tcW w:w="1940" w:type="dxa"/>
            <w:vAlign w:val="bottom"/>
          </w:tcPr>
          <w:p>
            <w:pPr>
              <w:ind w:left="20"/>
              <w:spacing w:after="0"/>
              <w:rPr>
                <w:sz w:val="20"/>
                <w:szCs w:val="20"/>
                <w:color w:val="auto"/>
              </w:rPr>
            </w:pPr>
            <w:r>
              <w:rPr>
                <w:rFonts w:ascii="Arial" w:cs="Arial" w:eastAsia="Arial" w:hAnsi="Arial"/>
                <w:sz w:val="16"/>
                <w:szCs w:val="16"/>
                <w:color w:val="auto"/>
              </w:rPr>
              <w:t>January 1, 2022.</w:t>
            </w:r>
          </w:p>
        </w:tc>
        <w:tc>
          <w:tcPr>
            <w:tcW w:w="6280" w:type="dxa"/>
            <w:vAlign w:val="bottom"/>
          </w:tcPr>
          <w:p>
            <w:pPr>
              <w:spacing w:after="0"/>
              <w:rPr>
                <w:sz w:val="17"/>
                <w:szCs w:val="17"/>
                <w:color w:val="auto"/>
              </w:rPr>
            </w:pPr>
          </w:p>
        </w:tc>
        <w:tc>
          <w:tcPr>
            <w:tcW w:w="29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3175</wp:posOffset>
            </wp:positionV>
            <wp:extent cx="18408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tbl>
      <w:tblPr>
        <w:tblLayout w:type="fixed"/>
        <w:tblInd w:w="40" w:type="dxa"/>
        <w:tblCellMar>
          <w:top w:w="0" w:type="dxa"/>
          <w:left w:w="0" w:type="dxa"/>
          <w:bottom w:w="0" w:type="dxa"/>
          <w:right w:w="0" w:type="dxa"/>
        </w:tblCellMar>
      </w:tblPr>
      <w:tr>
        <w:trPr>
          <w:trHeight w:val="161"/>
        </w:trPr>
        <w:tc>
          <w:tcPr>
            <w:tcW w:w="190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6"/>
                <w:szCs w:val="16"/>
                <w:color w:val="auto"/>
              </w:rPr>
              <w:t>ASU 2021-08 Business</w:t>
            </w:r>
          </w:p>
        </w:tc>
        <w:tc>
          <w:tcPr>
            <w:tcW w:w="120" w:type="dxa"/>
            <w:vAlign w:val="bottom"/>
          </w:tcPr>
          <w:p>
            <w:pPr>
              <w:spacing w:after="0"/>
              <w:rPr>
                <w:sz w:val="14"/>
                <w:szCs w:val="14"/>
                <w:color w:val="auto"/>
              </w:rPr>
            </w:pPr>
          </w:p>
        </w:tc>
        <w:tc>
          <w:tcPr>
            <w:tcW w:w="616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6"/>
                <w:szCs w:val="16"/>
                <w:color w:val="auto"/>
                <w:w w:val="97"/>
              </w:rPr>
              <w:t>The amendments in this Update primarily address the accounting for contract assets and</w:t>
            </w:r>
          </w:p>
        </w:tc>
      </w:tr>
      <w:tr>
        <w:trPr>
          <w:trHeight w:val="160"/>
        </w:trPr>
        <w:tc>
          <w:tcPr>
            <w:tcW w:w="1900" w:type="dxa"/>
            <w:vAlign w:val="bottom"/>
          </w:tcPr>
          <w:p>
            <w:pPr>
              <w:ind w:left="20"/>
              <w:spacing w:after="0" w:line="160" w:lineRule="exact"/>
              <w:rPr>
                <w:sz w:val="20"/>
                <w:szCs w:val="20"/>
                <w:color w:val="auto"/>
              </w:rPr>
            </w:pPr>
            <w:r>
              <w:rPr>
                <w:rFonts w:ascii="Arial" w:cs="Arial" w:eastAsia="Arial" w:hAnsi="Arial"/>
                <w:sz w:val="16"/>
                <w:szCs w:val="16"/>
                <w:color w:val="auto"/>
                <w:w w:val="99"/>
              </w:rPr>
              <w:t>Combinations (Topic 805).</w:t>
            </w:r>
          </w:p>
        </w:tc>
        <w:tc>
          <w:tcPr>
            <w:tcW w:w="120" w:type="dxa"/>
            <w:vAlign w:val="bottom"/>
          </w:tcPr>
          <w:p>
            <w:pPr>
              <w:spacing w:after="0"/>
              <w:rPr>
                <w:sz w:val="13"/>
                <w:szCs w:val="13"/>
                <w:color w:val="auto"/>
              </w:rPr>
            </w:pPr>
          </w:p>
        </w:tc>
        <w:tc>
          <w:tcPr>
            <w:tcW w:w="6160" w:type="dxa"/>
            <w:vAlign w:val="bottom"/>
          </w:tcPr>
          <w:p>
            <w:pPr>
              <w:ind w:left="20"/>
              <w:spacing w:after="0" w:line="160" w:lineRule="exact"/>
              <w:rPr>
                <w:sz w:val="20"/>
                <w:szCs w:val="20"/>
                <w:color w:val="auto"/>
              </w:rPr>
            </w:pPr>
            <w:r>
              <w:rPr>
                <w:rFonts w:ascii="Arial" w:cs="Arial" w:eastAsia="Arial" w:hAnsi="Arial"/>
                <w:sz w:val="16"/>
                <w:szCs w:val="16"/>
                <w:color w:val="auto"/>
                <w:w w:val="91"/>
              </w:rPr>
              <w:t>contract liabilities from revenue contracts with customers in a business combination. However,</w:t>
            </w:r>
          </w:p>
        </w:tc>
      </w:tr>
      <w:tr>
        <w:trPr>
          <w:trHeight w:val="160"/>
        </w:trPr>
        <w:tc>
          <w:tcPr>
            <w:tcW w:w="1900" w:type="dxa"/>
            <w:vAlign w:val="bottom"/>
          </w:tcPr>
          <w:p>
            <w:pPr>
              <w:ind w:left="20"/>
              <w:spacing w:after="0" w:line="160" w:lineRule="exact"/>
              <w:rPr>
                <w:sz w:val="20"/>
                <w:szCs w:val="20"/>
                <w:color w:val="auto"/>
              </w:rPr>
            </w:pPr>
            <w:r>
              <w:rPr>
                <w:rFonts w:ascii="Arial" w:cs="Arial" w:eastAsia="Arial" w:hAnsi="Arial"/>
                <w:sz w:val="16"/>
                <w:szCs w:val="16"/>
                <w:color w:val="auto"/>
              </w:rPr>
              <w:t>Accounting for Contract</w:t>
            </w:r>
          </w:p>
        </w:tc>
        <w:tc>
          <w:tcPr>
            <w:tcW w:w="120" w:type="dxa"/>
            <w:vAlign w:val="bottom"/>
          </w:tcPr>
          <w:p>
            <w:pPr>
              <w:spacing w:after="0"/>
              <w:rPr>
                <w:sz w:val="13"/>
                <w:szCs w:val="13"/>
                <w:color w:val="auto"/>
              </w:rPr>
            </w:pPr>
          </w:p>
        </w:tc>
        <w:tc>
          <w:tcPr>
            <w:tcW w:w="6160" w:type="dxa"/>
            <w:vAlign w:val="bottom"/>
          </w:tcPr>
          <w:p>
            <w:pPr>
              <w:ind w:left="20"/>
              <w:spacing w:after="0" w:line="160" w:lineRule="exact"/>
              <w:rPr>
                <w:sz w:val="20"/>
                <w:szCs w:val="20"/>
                <w:color w:val="auto"/>
              </w:rPr>
            </w:pPr>
            <w:r>
              <w:rPr>
                <w:rFonts w:ascii="Arial" w:cs="Arial" w:eastAsia="Arial" w:hAnsi="Arial"/>
                <w:sz w:val="16"/>
                <w:szCs w:val="16"/>
                <w:color w:val="auto"/>
                <w:w w:val="94"/>
              </w:rPr>
              <w:t>the amendments also apply to contract assets and contract liabilities from other contracts to</w:t>
            </w:r>
          </w:p>
        </w:tc>
      </w:tr>
      <w:tr>
        <w:trPr>
          <w:trHeight w:val="160"/>
        </w:trPr>
        <w:tc>
          <w:tcPr>
            <w:tcW w:w="1900" w:type="dxa"/>
            <w:vAlign w:val="bottom"/>
          </w:tcPr>
          <w:p>
            <w:pPr>
              <w:ind w:left="20"/>
              <w:spacing w:after="0" w:line="160" w:lineRule="exact"/>
              <w:rPr>
                <w:sz w:val="20"/>
                <w:szCs w:val="20"/>
                <w:color w:val="auto"/>
              </w:rPr>
            </w:pPr>
            <w:r>
              <w:rPr>
                <w:rFonts w:ascii="Arial" w:cs="Arial" w:eastAsia="Arial" w:hAnsi="Arial"/>
                <w:sz w:val="16"/>
                <w:szCs w:val="16"/>
                <w:color w:val="auto"/>
              </w:rPr>
              <w:t>Assets and Contract</w:t>
            </w:r>
          </w:p>
        </w:tc>
        <w:tc>
          <w:tcPr>
            <w:tcW w:w="120" w:type="dxa"/>
            <w:vAlign w:val="bottom"/>
          </w:tcPr>
          <w:p>
            <w:pPr>
              <w:spacing w:after="0"/>
              <w:rPr>
                <w:sz w:val="13"/>
                <w:szCs w:val="13"/>
                <w:color w:val="auto"/>
              </w:rPr>
            </w:pPr>
          </w:p>
        </w:tc>
        <w:tc>
          <w:tcPr>
            <w:tcW w:w="6160" w:type="dxa"/>
            <w:vAlign w:val="bottom"/>
          </w:tcPr>
          <w:p>
            <w:pPr>
              <w:ind w:left="20"/>
              <w:spacing w:after="0" w:line="160" w:lineRule="exact"/>
              <w:rPr>
                <w:sz w:val="20"/>
                <w:szCs w:val="20"/>
                <w:color w:val="auto"/>
              </w:rPr>
            </w:pPr>
            <w:r>
              <w:rPr>
                <w:rFonts w:ascii="Arial" w:cs="Arial" w:eastAsia="Arial" w:hAnsi="Arial"/>
                <w:sz w:val="16"/>
                <w:szCs w:val="16"/>
                <w:color w:val="auto"/>
              </w:rPr>
              <w:t>which the provisions of Topic 606 apply, such as contract liabilities from the sale of</w:t>
            </w:r>
          </w:p>
        </w:tc>
      </w:tr>
      <w:tr>
        <w:trPr>
          <w:trHeight w:val="160"/>
        </w:trPr>
        <w:tc>
          <w:tcPr>
            <w:tcW w:w="1900" w:type="dxa"/>
            <w:vAlign w:val="bottom"/>
          </w:tcPr>
          <w:p>
            <w:pPr>
              <w:ind w:left="20"/>
              <w:spacing w:after="0" w:line="160" w:lineRule="exact"/>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3"/>
                <w:szCs w:val="13"/>
                <w:color w:val="auto"/>
              </w:rPr>
            </w:pPr>
          </w:p>
        </w:tc>
        <w:tc>
          <w:tcPr>
            <w:tcW w:w="6160" w:type="dxa"/>
            <w:vAlign w:val="bottom"/>
          </w:tcPr>
          <w:p>
            <w:pPr>
              <w:ind w:left="20"/>
              <w:spacing w:after="0" w:line="160" w:lineRule="exact"/>
              <w:rPr>
                <w:sz w:val="20"/>
                <w:szCs w:val="20"/>
                <w:color w:val="auto"/>
              </w:rPr>
            </w:pPr>
            <w:r>
              <w:rPr>
                <w:rFonts w:ascii="Arial" w:cs="Arial" w:eastAsia="Arial" w:hAnsi="Arial"/>
                <w:sz w:val="16"/>
                <w:szCs w:val="16"/>
                <w:color w:val="auto"/>
                <w:w w:val="95"/>
              </w:rPr>
              <w:t>nonfinancial assets within the scope of Subtopic 610-20, Other Income—Gains and Losses</w:t>
            </w:r>
          </w:p>
        </w:tc>
      </w:tr>
      <w:tr>
        <w:trPr>
          <w:trHeight w:val="160"/>
        </w:trPr>
        <w:tc>
          <w:tcPr>
            <w:tcW w:w="1900" w:type="dxa"/>
            <w:vAlign w:val="bottom"/>
          </w:tcPr>
          <w:p>
            <w:pPr>
              <w:ind w:left="20"/>
              <w:spacing w:after="0" w:line="160" w:lineRule="exact"/>
              <w:rPr>
                <w:sz w:val="20"/>
                <w:szCs w:val="20"/>
                <w:color w:val="auto"/>
              </w:rPr>
            </w:pPr>
            <w:r>
              <w:rPr>
                <w:rFonts w:ascii="Arial" w:cs="Arial" w:eastAsia="Arial" w:hAnsi="Arial"/>
                <w:sz w:val="16"/>
                <w:szCs w:val="16"/>
                <w:color w:val="auto"/>
              </w:rPr>
              <w:t>from Contracts with</w:t>
            </w:r>
          </w:p>
        </w:tc>
        <w:tc>
          <w:tcPr>
            <w:tcW w:w="120" w:type="dxa"/>
            <w:vAlign w:val="bottom"/>
          </w:tcPr>
          <w:p>
            <w:pPr>
              <w:spacing w:after="0"/>
              <w:rPr>
                <w:sz w:val="13"/>
                <w:szCs w:val="13"/>
                <w:color w:val="auto"/>
              </w:rPr>
            </w:pPr>
          </w:p>
        </w:tc>
        <w:tc>
          <w:tcPr>
            <w:tcW w:w="6160" w:type="dxa"/>
            <w:vAlign w:val="bottom"/>
          </w:tcPr>
          <w:p>
            <w:pPr>
              <w:ind w:left="20"/>
              <w:spacing w:after="0" w:line="160" w:lineRule="exact"/>
              <w:rPr>
                <w:sz w:val="20"/>
                <w:szCs w:val="20"/>
                <w:color w:val="auto"/>
              </w:rPr>
            </w:pPr>
            <w:r>
              <w:rPr>
                <w:rFonts w:ascii="Arial" w:cs="Arial" w:eastAsia="Arial" w:hAnsi="Arial"/>
                <w:sz w:val="16"/>
                <w:szCs w:val="16"/>
                <w:color w:val="auto"/>
              </w:rPr>
              <w:t>from the Derecognition of Nonfinancial Assets.</w:t>
            </w:r>
          </w:p>
        </w:tc>
      </w:tr>
      <w:tr>
        <w:trPr>
          <w:trHeight w:val="204"/>
        </w:trPr>
        <w:tc>
          <w:tcPr>
            <w:tcW w:w="1900" w:type="dxa"/>
            <w:vAlign w:val="bottom"/>
          </w:tcPr>
          <w:p>
            <w:pPr>
              <w:ind w:left="20"/>
              <w:spacing w:after="0"/>
              <w:rPr>
                <w:sz w:val="20"/>
                <w:szCs w:val="20"/>
                <w:color w:val="auto"/>
              </w:rPr>
            </w:pPr>
            <w:r>
              <w:rPr>
                <w:rFonts w:ascii="Arial" w:cs="Arial" w:eastAsia="Arial" w:hAnsi="Arial"/>
                <w:sz w:val="16"/>
                <w:szCs w:val="16"/>
                <w:color w:val="auto"/>
              </w:rPr>
              <w:t>Customers</w:t>
            </w:r>
          </w:p>
        </w:tc>
        <w:tc>
          <w:tcPr>
            <w:tcW w:w="12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168"/>
        </w:trPr>
        <w:tc>
          <w:tcPr>
            <w:tcW w:w="1900" w:type="dxa"/>
            <w:vAlign w:val="bottom"/>
          </w:tcPr>
          <w:p>
            <w:pPr>
              <w:ind w:left="20"/>
              <w:spacing w:after="0" w:line="168" w:lineRule="exact"/>
              <w:rPr>
                <w:sz w:val="20"/>
                <w:szCs w:val="20"/>
                <w:color w:val="auto"/>
              </w:rPr>
            </w:pPr>
            <w:r>
              <w:rPr>
                <w:rFonts w:ascii="Arial" w:cs="Arial" w:eastAsia="Arial" w:hAnsi="Arial"/>
                <w:sz w:val="16"/>
                <w:szCs w:val="16"/>
                <w:color w:val="auto"/>
              </w:rPr>
              <w:t>Planned date of adoption:</w:t>
            </w:r>
          </w:p>
        </w:tc>
        <w:tc>
          <w:tcPr>
            <w:tcW w:w="120" w:type="dxa"/>
            <w:vAlign w:val="bottom"/>
          </w:tcPr>
          <w:p>
            <w:pPr>
              <w:spacing w:after="0"/>
              <w:rPr>
                <w:sz w:val="14"/>
                <w:szCs w:val="14"/>
                <w:color w:val="auto"/>
              </w:rPr>
            </w:pPr>
          </w:p>
        </w:tc>
        <w:tc>
          <w:tcPr>
            <w:tcW w:w="6160" w:type="dxa"/>
            <w:vAlign w:val="bottom"/>
          </w:tcPr>
          <w:p>
            <w:pPr>
              <w:spacing w:after="0"/>
              <w:rPr>
                <w:sz w:val="14"/>
                <w:szCs w:val="14"/>
                <w:color w:val="auto"/>
              </w:rPr>
            </w:pPr>
          </w:p>
        </w:tc>
      </w:tr>
      <w:tr>
        <w:trPr>
          <w:trHeight w:val="207"/>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2022.</w:t>
            </w:r>
          </w:p>
        </w:tc>
        <w:tc>
          <w:tcPr>
            <w:tcW w:w="120" w:type="dxa"/>
            <w:vAlign w:val="bottom"/>
          </w:tcPr>
          <w:p>
            <w:pPr>
              <w:spacing w:after="0"/>
              <w:rPr>
                <w:sz w:val="17"/>
                <w:szCs w:val="17"/>
                <w:color w:val="auto"/>
              </w:rPr>
            </w:pPr>
          </w:p>
        </w:tc>
        <w:tc>
          <w:tcPr>
            <w:tcW w:w="61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40"/>
        <w:spacing w:after="0" w:line="219" w:lineRule="auto"/>
        <w:rPr>
          <w:sz w:val="20"/>
          <w:szCs w:val="20"/>
          <w:color w:val="auto"/>
        </w:rPr>
      </w:pPr>
      <w:r>
        <w:rPr>
          <w:rFonts w:ascii="Arial" w:cs="Arial" w:eastAsia="Arial" w:hAnsi="Arial"/>
          <w:sz w:val="16"/>
          <w:szCs w:val="16"/>
          <w:color w:val="auto"/>
        </w:rPr>
        <w:t>The Company continues to evaluate these changes and does not anticipate any material impact on the Company’s consolidated financial position or results of operations upon adoption.</w:t>
      </w:r>
    </w:p>
    <w:p>
      <w:pPr>
        <w:spacing w:after="0" w:line="912" w:lineRule="exact"/>
        <w:rPr>
          <w:sz w:val="20"/>
          <w:szCs w:val="20"/>
          <w:color w:val="auto"/>
        </w:rPr>
      </w:pPr>
    </w:p>
    <w:p>
      <w:pPr>
        <w:sectPr>
          <w:pgSz w:w="11900" w:h="16838" w:orient="portrait"/>
          <w:cols w:equalWidth="0" w:num="2">
            <w:col w:w="8220" w:space="120"/>
            <w:col w:w="2900"/>
          </w:cols>
          <w:pgMar w:left="320" w:top="127"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15" w:lineRule="exact"/>
        <w:rPr>
          <w:sz w:val="20"/>
          <w:szCs w:val="20"/>
          <w:color w:val="auto"/>
        </w:rPr>
      </w:pPr>
    </w:p>
    <w:p>
      <w:pPr>
        <w:jc w:val="both"/>
        <w:ind w:firstLine="319"/>
        <w:spacing w:after="0" w:line="348" w:lineRule="auto"/>
        <w:rPr>
          <w:sz w:val="20"/>
          <w:szCs w:val="20"/>
          <w:color w:val="auto"/>
        </w:rPr>
      </w:pPr>
      <w:r>
        <w:rPr>
          <w:rFonts w:ascii="Arial" w:cs="Arial" w:eastAsia="Arial" w:hAnsi="Arial"/>
          <w:sz w:val="14"/>
          <w:szCs w:val="14"/>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189"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Transaction service arrangements include services such as processing equipment orders, new account setup and activation, number port requests, credit checks and inventory management.</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15" w:lineRule="exact"/>
        <w:rPr>
          <w:sz w:val="20"/>
          <w:szCs w:val="20"/>
          <w:color w:val="auto"/>
        </w:rPr>
      </w:pPr>
    </w:p>
    <w:p>
      <w:pPr>
        <w:jc w:val="both"/>
        <w:ind w:firstLine="319"/>
        <w:spacing w:after="0" w:line="215" w:lineRule="exact"/>
        <w:rPr>
          <w:sz w:val="20"/>
          <w:szCs w:val="20"/>
          <w:color w:val="auto"/>
        </w:rPr>
      </w:pPr>
      <w:r>
        <w:rPr>
          <w:rFonts w:ascii="Arial" w:cs="Arial" w:eastAsia="Arial" w:hAnsi="Arial"/>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remaining expected customer relationship period. Revenues are presented net of discounts, which are volume level driven.</w:t>
      </w:r>
    </w:p>
    <w:p>
      <w:pPr>
        <w:spacing w:after="0" w:line="22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20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89"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Most of the Company’s contracts with customers contain multiple performance obligations which generally include either 1) a perpetual software license with support and maintenance and sometimes a hosting agreement or 2) a term SaaS agreement, frequently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19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The Company reviews and update these estimates on a quarterly basis.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When Performance Obligation is Typically</w:t>
            </w: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When Payment is Typically Due</w:t>
            </w:r>
          </w:p>
        </w:tc>
        <w:tc>
          <w:tcPr>
            <w:tcW w:w="2740" w:type="dxa"/>
            <w:vAlign w:val="bottom"/>
          </w:tcPr>
          <w:p>
            <w:pPr>
              <w:ind w:left="20"/>
              <w:spacing w:after="0"/>
              <w:rPr>
                <w:sz w:val="20"/>
                <w:szCs w:val="20"/>
                <w:color w:val="auto"/>
              </w:rPr>
            </w:pPr>
            <w:r>
              <w:rPr>
                <w:rFonts w:ascii="Arial" w:cs="Arial" w:eastAsia="Arial" w:hAnsi="Arial"/>
                <w:sz w:val="14"/>
                <w:szCs w:val="14"/>
                <w:b w:val="1"/>
                <w:bCs w:val="1"/>
                <w:color w:val="auto"/>
                <w:w w:val="97"/>
              </w:rPr>
              <w:t>How Standalone Selling Price is Typically</w:t>
            </w:r>
          </w:p>
        </w:tc>
        <w:tc>
          <w:tcPr>
            <w:tcW w:w="0" w:type="dxa"/>
            <w:vAlign w:val="bottom"/>
          </w:tcPr>
          <w:p>
            <w:pPr>
              <w:spacing w:after="0"/>
              <w:rPr>
                <w:sz w:val="1"/>
                <w:szCs w:val="1"/>
                <w:color w:val="auto"/>
              </w:rPr>
            </w:pPr>
          </w:p>
        </w:tc>
      </w:tr>
      <w:tr>
        <w:trPr>
          <w:trHeight w:val="185"/>
        </w:trPr>
        <w:tc>
          <w:tcPr>
            <w:tcW w:w="2820" w:type="dxa"/>
            <w:vAlign w:val="bottom"/>
            <w:gridSpan w:val="4"/>
            <w:vMerge w:val="continue"/>
          </w:tcPr>
          <w:p>
            <w:pPr>
              <w:spacing w:after="0"/>
              <w:rPr>
                <w:sz w:val="16"/>
                <w:szCs w:val="16"/>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Satisfied</w:t>
            </w:r>
          </w:p>
        </w:tc>
        <w:tc>
          <w:tcPr>
            <w:tcW w:w="2820" w:type="dxa"/>
            <w:vAlign w:val="bottom"/>
            <w:gridSpan w:val="2"/>
            <w:vMerge w:val="continue"/>
          </w:tcPr>
          <w:p>
            <w:pPr>
              <w:spacing w:after="0"/>
              <w:rPr>
                <w:sz w:val="16"/>
                <w:szCs w:val="16"/>
                <w:color w:val="auto"/>
              </w:rPr>
            </w:pPr>
          </w:p>
        </w:tc>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0"/>
        </w:trPr>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w w:val="88"/>
              </w:rPr>
              <w:t>Software License</w:t>
            </w:r>
          </w:p>
        </w:tc>
        <w:tc>
          <w:tcPr>
            <w:tcW w:w="16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7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7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74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00" w:type="dxa"/>
            <w:vAlign w:val="bottom"/>
            <w:gridSpan w:val="3"/>
          </w:tcPr>
          <w:p>
            <w:pPr>
              <w:ind w:left="120"/>
              <w:spacing w:after="0" w:line="133" w:lineRule="exact"/>
              <w:rPr>
                <w:sz w:val="20"/>
                <w:szCs w:val="20"/>
                <w:color w:val="auto"/>
              </w:rPr>
            </w:pPr>
            <w:r>
              <w:rPr>
                <w:rFonts w:ascii="Arial" w:cs="Arial" w:eastAsia="Arial" w:hAnsi="Arial"/>
                <w:sz w:val="14"/>
                <w:szCs w:val="14"/>
                <w:color w:val="auto"/>
              </w:rPr>
              <w:t>Software License</w:t>
            </w:r>
          </w:p>
        </w:tc>
        <w:tc>
          <w:tcPr>
            <w:tcW w:w="286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Upon shipment or made available for</w:t>
            </w:r>
          </w:p>
        </w:tc>
        <w:tc>
          <w:tcPr>
            <w:tcW w:w="2820" w:type="dxa"/>
            <w:vAlign w:val="bottom"/>
            <w:gridSpan w:val="2"/>
          </w:tcPr>
          <w:p>
            <w:pPr>
              <w:spacing w:after="0" w:line="133" w:lineRule="exact"/>
              <w:rPr>
                <w:sz w:val="20"/>
                <w:szCs w:val="20"/>
                <w:color w:val="auto"/>
              </w:rPr>
            </w:pPr>
            <w:r>
              <w:rPr>
                <w:rFonts w:ascii="Arial" w:cs="Arial" w:eastAsia="Arial" w:hAnsi="Arial"/>
                <w:sz w:val="14"/>
                <w:szCs w:val="14"/>
                <w:color w:val="auto"/>
              </w:rPr>
              <w:t>Within 90 days of delivery</w:t>
            </w:r>
          </w:p>
        </w:tc>
        <w:tc>
          <w:tcPr>
            <w:tcW w:w="2740" w:type="dxa"/>
            <w:vAlign w:val="bottom"/>
          </w:tcPr>
          <w:p>
            <w:pPr>
              <w:ind w:left="20"/>
              <w:spacing w:after="0" w:line="133" w:lineRule="exact"/>
              <w:rPr>
                <w:sz w:val="20"/>
                <w:szCs w:val="20"/>
                <w:color w:val="auto"/>
              </w:rPr>
            </w:pPr>
            <w:r>
              <w:rPr>
                <w:rFonts w:ascii="Arial" w:cs="Arial" w:eastAsia="Arial" w:hAnsi="Arial"/>
                <w:sz w:val="14"/>
                <w:szCs w:val="14"/>
                <w:color w:val="auto"/>
                <w:w w:val="95"/>
              </w:rPr>
              <w:t>Observable transactions or residual approach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download (point in time)</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ind w:left="20"/>
              <w:spacing w:after="0"/>
              <w:rPr>
                <w:sz w:val="20"/>
                <w:szCs w:val="20"/>
                <w:color w:val="auto"/>
              </w:rPr>
            </w:pPr>
            <w:r>
              <w:rPr>
                <w:rFonts w:ascii="Arial" w:cs="Arial" w:eastAsia="Arial" w:hAnsi="Arial"/>
                <w:sz w:val="14"/>
                <w:szCs w:val="14"/>
                <w:color w:val="auto"/>
                <w:w w:val="99"/>
              </w:rPr>
              <w:t>when prices are highly variable or uncertain</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80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4"/>
                <w:szCs w:val="14"/>
                <w:color w:val="auto"/>
              </w:rPr>
              <w:t>Software License with significant</w:t>
            </w:r>
          </w:p>
        </w:tc>
        <w:tc>
          <w:tcPr>
            <w:tcW w:w="28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w w:val="96"/>
              </w:rPr>
              <w:t>Over the performance of the customization and</w:t>
            </w:r>
          </w:p>
        </w:tc>
        <w:tc>
          <w:tcPr>
            <w:tcW w:w="28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Within 90 days of services</w:t>
            </w:r>
          </w:p>
        </w:tc>
        <w:tc>
          <w:tcPr>
            <w:tcW w:w="274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Residual approach</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8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customization</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installation of the software (over time)</w:t>
            </w: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being performed</w:t>
            </w:r>
          </w:p>
        </w:tc>
        <w:tc>
          <w:tcPr>
            <w:tcW w:w="2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140"/>
        <w:spacing w:after="0"/>
        <w:tabs>
          <w:tab w:leader="none" w:pos="2820" w:val="left"/>
        </w:tabs>
        <w:rPr>
          <w:sz w:val="20"/>
          <w:szCs w:val="20"/>
          <w:color w:val="auto"/>
        </w:rPr>
      </w:pPr>
      <w:r>
        <w:rPr>
          <w:rFonts w:ascii="Arial" w:cs="Arial" w:eastAsia="Arial" w:hAnsi="Arial"/>
          <w:sz w:val="14"/>
          <w:szCs w:val="14"/>
          <w:color w:val="auto"/>
        </w:rPr>
        <w:t>Hosting Services</w:t>
      </w:r>
      <w:r>
        <w:rPr>
          <w:sz w:val="20"/>
          <w:szCs w:val="20"/>
          <w:color w:val="auto"/>
        </w:rPr>
        <w:tab/>
      </w:r>
      <w:r>
        <w:rPr>
          <w:rFonts w:ascii="Arial" w:cs="Arial" w:eastAsia="Arial" w:hAnsi="Arial"/>
          <w:sz w:val="12"/>
          <w:szCs w:val="12"/>
          <w:color w:val="auto"/>
        </w:rPr>
        <w:t>As hosting services are provided (over time)</w:t>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Estimated using a cost-plus margin approach</w:t>
      </w:r>
    </w:p>
    <w:p>
      <w:pPr>
        <w:spacing w:after="0"/>
        <w:rPr>
          <w:sz w:val="20"/>
          <w:szCs w:val="20"/>
          <w:color w:val="auto"/>
        </w:rPr>
      </w:pPr>
      <w:r>
        <w:rPr>
          <w:rFonts w:ascii="Arial" w:cs="Arial" w:eastAsia="Arial" w:hAnsi="Arial"/>
          <w:sz w:val="14"/>
          <w:szCs w:val="14"/>
          <w:color w:val="auto"/>
        </w:rPr>
        <w:t>being provided</w:t>
      </w:r>
    </w:p>
    <w:p>
      <w:pPr>
        <w:spacing w:after="0" w:line="9" w:lineRule="exact"/>
        <w:rPr>
          <w:sz w:val="20"/>
          <w:szCs w:val="20"/>
          <w:color w:val="auto"/>
        </w:rPr>
      </w:pPr>
    </w:p>
    <w:p>
      <w:pPr>
        <w:sectPr>
          <w:pgSz w:w="11900" w:h="16838" w:orient="portrait"/>
          <w:cols w:equalWidth="0" w:num="2">
            <w:col w:w="5360" w:space="320"/>
            <w:col w:w="556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u w:val="single" w:color="auto"/>
          <w:color w:val="auto"/>
        </w:rPr>
        <w:t>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225" cy="118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181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p>
      <w:pPr>
        <w:spacing w:after="0" w:line="52" w:lineRule="exact"/>
        <w:rPr>
          <w:sz w:val="20"/>
          <w:szCs w:val="20"/>
          <w:color w:val="auto"/>
        </w:rPr>
      </w:pPr>
    </w:p>
    <w:p>
      <w:pPr>
        <w:ind w:left="140"/>
        <w:spacing w:after="0"/>
        <w:tabs>
          <w:tab w:leader="none" w:pos="2820" w:val="left"/>
        </w:tabs>
        <w:rPr>
          <w:sz w:val="20"/>
          <w:szCs w:val="20"/>
          <w:color w:val="auto"/>
        </w:rPr>
      </w:pPr>
      <w:r>
        <w:rPr>
          <w:rFonts w:ascii="Arial" w:cs="Arial" w:eastAsia="Arial" w:hAnsi="Arial"/>
          <w:sz w:val="13"/>
          <w:szCs w:val="13"/>
          <w:color w:val="auto"/>
        </w:rPr>
        <w:t>Consulting</w:t>
      </w:r>
      <w:r>
        <w:rPr>
          <w:sz w:val="20"/>
          <w:szCs w:val="20"/>
          <w:color w:val="auto"/>
        </w:rPr>
        <w:tab/>
      </w:r>
      <w:r>
        <w:rPr>
          <w:rFonts w:ascii="Arial" w:cs="Arial" w:eastAsia="Arial" w:hAnsi="Arial"/>
          <w:sz w:val="13"/>
          <w:szCs w:val="13"/>
          <w:color w:val="auto"/>
        </w:rPr>
        <w:t>As work is performed (over time)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Within 90 days of services</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being performed</w:t>
      </w:r>
    </w:p>
    <w:p>
      <w:pPr>
        <w:spacing w:after="0" w:line="1" w:lineRule="exact"/>
        <w:rPr>
          <w:sz w:val="20"/>
          <w:szCs w:val="20"/>
          <w:color w:val="auto"/>
        </w:rPr>
      </w:pPr>
    </w:p>
    <w:p>
      <w:pPr>
        <w:sectPr>
          <w:pgSz w:w="11900" w:h="16838" w:orient="portrait"/>
          <w:cols w:equalWidth="0" w:num="2">
            <w:col w:w="4960" w:space="720"/>
            <w:col w:w="5560"/>
          </w:cols>
          <w:pgMar w:left="320" w:top="127" w:right="339" w:bottom="1440" w:gutter="0" w:footer="0" w:header="0"/>
          <w:type w:val="continuous"/>
        </w:sectPr>
      </w:pPr>
    </w:p>
    <w:tbl>
      <w:tblPr>
        <w:tblLayout w:type="fixed"/>
        <w:tblInd w:w="10" w:type="dxa"/>
        <w:tblCellMar>
          <w:top w:w="0" w:type="dxa"/>
          <w:left w:w="0" w:type="dxa"/>
          <w:bottom w:w="0" w:type="dxa"/>
          <w:right w:w="0" w:type="dxa"/>
        </w:tblCellMar>
      </w:tblPr>
      <w:tr>
        <w:trPr>
          <w:trHeight w:val="151"/>
        </w:trPr>
        <w:tc>
          <w:tcPr>
            <w:tcW w:w="2080" w:type="dxa"/>
            <w:vAlign w:val="bottom"/>
            <w:tcBorders>
              <w:left w:val="single" w:sz="8" w:color="CCEEFF"/>
            </w:tcBorders>
            <w:gridSpan w:val="2"/>
            <w:shd w:val="clear" w:color="auto" w:fill="CCEEFF"/>
          </w:tcPr>
          <w:p>
            <w:pPr>
              <w:ind w:left="140"/>
              <w:spacing w:after="0" w:line="151" w:lineRule="exact"/>
              <w:rPr>
                <w:sz w:val="20"/>
                <w:szCs w:val="20"/>
                <w:color w:val="auto"/>
              </w:rPr>
            </w:pPr>
            <w:r>
              <w:rPr>
                <w:rFonts w:ascii="Arial" w:cs="Arial" w:eastAsia="Arial" w:hAnsi="Arial"/>
                <w:sz w:val="14"/>
                <w:szCs w:val="14"/>
                <w:color w:val="auto"/>
              </w:rPr>
              <w:t>Customization</w:t>
            </w:r>
          </w:p>
        </w:tc>
        <w:tc>
          <w:tcPr>
            <w:tcW w:w="3480" w:type="dxa"/>
            <w:vAlign w:val="bottom"/>
            <w:shd w:val="clear" w:color="auto" w:fill="CCEEFF"/>
          </w:tcPr>
          <w:p>
            <w:pPr>
              <w:ind w:left="760"/>
              <w:spacing w:after="0" w:line="151" w:lineRule="exact"/>
              <w:rPr>
                <w:sz w:val="20"/>
                <w:szCs w:val="20"/>
                <w:color w:val="auto"/>
              </w:rPr>
            </w:pPr>
            <w:r>
              <w:rPr>
                <w:rFonts w:ascii="Arial" w:cs="Arial" w:eastAsia="Arial" w:hAnsi="Arial"/>
                <w:sz w:val="14"/>
                <w:szCs w:val="14"/>
                <w:color w:val="auto"/>
                <w:w w:val="99"/>
              </w:rPr>
              <w:t>SaaS: Over the remaining term of the SaaS</w:t>
            </w:r>
          </w:p>
        </w:tc>
        <w:tc>
          <w:tcPr>
            <w:tcW w:w="23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Within 90 days of services</w:t>
            </w:r>
          </w:p>
        </w:tc>
        <w:tc>
          <w:tcPr>
            <w:tcW w:w="3300" w:type="dxa"/>
            <w:vAlign w:val="bottom"/>
            <w:shd w:val="clear" w:color="auto" w:fill="CCEEFF"/>
          </w:tcPr>
          <w:p>
            <w:pPr>
              <w:ind w:left="580"/>
              <w:spacing w:after="0" w:line="151" w:lineRule="exact"/>
              <w:rPr>
                <w:sz w:val="20"/>
                <w:szCs w:val="20"/>
                <w:color w:val="auto"/>
              </w:rPr>
            </w:pPr>
            <w:r>
              <w:rPr>
                <w:rFonts w:ascii="Arial" w:cs="Arial" w:eastAsia="Arial" w:hAnsi="Arial"/>
                <w:sz w:val="14"/>
                <w:szCs w:val="14"/>
                <w:color w:val="auto"/>
              </w:rPr>
              <w:t>Observable transactions</w:t>
            </w:r>
          </w:p>
        </w:tc>
      </w:tr>
      <w:tr>
        <w:trPr>
          <w:trHeight w:val="180"/>
        </w:trPr>
        <w:tc>
          <w:tcPr>
            <w:tcW w:w="1320" w:type="dxa"/>
            <w:vAlign w:val="bottom"/>
            <w:tcBorders>
              <w:left w:val="single" w:sz="8" w:color="CCEEFF"/>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agreement</w:t>
            </w:r>
          </w:p>
        </w:tc>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being performed</w:t>
            </w:r>
          </w:p>
        </w:tc>
        <w:tc>
          <w:tcPr>
            <w:tcW w:w="3300" w:type="dxa"/>
            <w:vAlign w:val="bottom"/>
            <w:shd w:val="clear" w:color="auto" w:fill="CCEEFF"/>
          </w:tcPr>
          <w:p>
            <w:pPr>
              <w:spacing w:after="0"/>
              <w:rPr>
                <w:sz w:val="15"/>
                <w:szCs w:val="15"/>
                <w:color w:val="auto"/>
              </w:rPr>
            </w:pPr>
          </w:p>
        </w:tc>
      </w:tr>
      <w:tr>
        <w:trPr>
          <w:trHeight w:val="219"/>
        </w:trPr>
        <w:tc>
          <w:tcPr>
            <w:tcW w:w="1320" w:type="dxa"/>
            <w:vAlign w:val="bottom"/>
            <w:tcBorders>
              <w:left w:val="single" w:sz="8" w:color="CCEEFF"/>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License: Over the performance of the</w:t>
            </w:r>
          </w:p>
        </w:tc>
        <w:tc>
          <w:tcPr>
            <w:tcW w:w="238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133"/>
        </w:trPr>
        <w:tc>
          <w:tcPr>
            <w:tcW w:w="1320" w:type="dxa"/>
            <w:vAlign w:val="bottom"/>
            <w:tcBorders>
              <w:left w:val="single" w:sz="8" w:color="CCEEFF"/>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80" w:type="dxa"/>
            <w:vAlign w:val="bottom"/>
            <w:shd w:val="clear" w:color="auto" w:fill="CCEEFF"/>
          </w:tcPr>
          <w:p>
            <w:pPr>
              <w:ind w:left="760"/>
              <w:spacing w:after="0" w:line="133" w:lineRule="exact"/>
              <w:rPr>
                <w:sz w:val="20"/>
                <w:szCs w:val="20"/>
                <w:color w:val="auto"/>
              </w:rPr>
            </w:pPr>
            <w:r>
              <w:rPr>
                <w:rFonts w:ascii="Arial" w:cs="Arial" w:eastAsia="Arial" w:hAnsi="Arial"/>
                <w:sz w:val="14"/>
                <w:szCs w:val="14"/>
                <w:color w:val="auto"/>
                <w:w w:val="96"/>
              </w:rPr>
              <w:t>customization and installation of the software</w:t>
            </w:r>
          </w:p>
        </w:tc>
        <w:tc>
          <w:tcPr>
            <w:tcW w:w="238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r>
      <w:tr>
        <w:trPr>
          <w:trHeight w:val="186"/>
        </w:trPr>
        <w:tc>
          <w:tcPr>
            <w:tcW w:w="1320" w:type="dxa"/>
            <w:vAlign w:val="bottom"/>
            <w:tcBorders>
              <w:left w:val="single" w:sz="8" w:color="CCEEFF"/>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(over time)</w:t>
            </w:r>
          </w:p>
        </w:tc>
        <w:tc>
          <w:tcPr>
            <w:tcW w:w="238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r>
      <w:tr>
        <w:trPr>
          <w:trHeight w:val="156"/>
        </w:trPr>
        <w:tc>
          <w:tcPr>
            <w:tcW w:w="1320" w:type="dxa"/>
            <w:vAlign w:val="bottom"/>
            <w:tcBorders>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w w:val="89"/>
              </w:rPr>
              <w:t>Transaction Services</w:t>
            </w:r>
          </w:p>
        </w:tc>
        <w:tc>
          <w:tcPr>
            <w:tcW w:w="760" w:type="dxa"/>
            <w:vAlign w:val="bottom"/>
          </w:tcPr>
          <w:p>
            <w:pPr>
              <w:spacing w:after="0"/>
              <w:rPr>
                <w:sz w:val="13"/>
                <w:szCs w:val="13"/>
                <w:color w:val="auto"/>
              </w:rPr>
            </w:pPr>
          </w:p>
        </w:tc>
        <w:tc>
          <w:tcPr>
            <w:tcW w:w="3480" w:type="dxa"/>
            <w:vAlign w:val="bottom"/>
          </w:tcPr>
          <w:p>
            <w:pPr>
              <w:ind w:left="760"/>
              <w:spacing w:after="0" w:line="147" w:lineRule="exact"/>
              <w:rPr>
                <w:sz w:val="20"/>
                <w:szCs w:val="20"/>
                <w:color w:val="auto"/>
              </w:rPr>
            </w:pPr>
            <w:r>
              <w:rPr>
                <w:rFonts w:ascii="Arial" w:cs="Arial" w:eastAsia="Arial" w:hAnsi="Arial"/>
                <w:sz w:val="14"/>
                <w:szCs w:val="14"/>
                <w:color w:val="auto"/>
              </w:rPr>
              <w:t>As transaction is processed (over time)</w:t>
            </w:r>
          </w:p>
        </w:tc>
        <w:tc>
          <w:tcPr>
            <w:tcW w:w="2380" w:type="dxa"/>
            <w:vAlign w:val="bottom"/>
          </w:tcPr>
          <w:p>
            <w:pPr>
              <w:ind w:left="120"/>
              <w:spacing w:after="0" w:line="147" w:lineRule="exact"/>
              <w:rPr>
                <w:sz w:val="20"/>
                <w:szCs w:val="20"/>
                <w:color w:val="auto"/>
              </w:rPr>
            </w:pPr>
            <w:r>
              <w:rPr>
                <w:rFonts w:ascii="Arial" w:cs="Arial" w:eastAsia="Arial" w:hAnsi="Arial"/>
                <w:sz w:val="14"/>
                <w:szCs w:val="14"/>
                <w:color w:val="auto"/>
              </w:rPr>
              <w:t>Within 90 days of transaction</w:t>
            </w:r>
          </w:p>
        </w:tc>
        <w:tc>
          <w:tcPr>
            <w:tcW w:w="3300" w:type="dxa"/>
            <w:vAlign w:val="bottom"/>
          </w:tcPr>
          <w:p>
            <w:pPr>
              <w:ind w:left="580"/>
              <w:spacing w:after="0" w:line="147" w:lineRule="exact"/>
              <w:rPr>
                <w:sz w:val="20"/>
                <w:szCs w:val="20"/>
                <w:color w:val="auto"/>
              </w:rPr>
            </w:pPr>
            <w:r>
              <w:rPr>
                <w:rFonts w:ascii="Arial" w:cs="Arial" w:eastAsia="Arial" w:hAnsi="Arial"/>
                <w:sz w:val="14"/>
                <w:szCs w:val="14"/>
                <w:color w:val="auto"/>
              </w:rPr>
              <w:t>Observable transactions</w:t>
            </w:r>
          </w:p>
        </w:tc>
      </w:tr>
      <w:tr>
        <w:trPr>
          <w:trHeight w:val="156"/>
        </w:trPr>
        <w:tc>
          <w:tcPr>
            <w:tcW w:w="2080" w:type="dxa"/>
            <w:vAlign w:val="bottom"/>
            <w:tcBorders>
              <w:left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Subscription Services</w:t>
            </w:r>
          </w:p>
        </w:tc>
        <w:tc>
          <w:tcPr>
            <w:tcW w:w="348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r>
      <w:tr>
        <w:trPr>
          <w:trHeight w:val="40"/>
        </w:trPr>
        <w:tc>
          <w:tcPr>
            <w:tcW w:w="1320" w:type="dxa"/>
            <w:vAlign w:val="bottom"/>
            <w:tcBorders>
              <w:left w:val="single" w:sz="8" w:color="CCEEFF"/>
              <w:right w:val="single" w:sz="8" w:color="auto"/>
            </w:tcBorders>
            <w:shd w:val="clear" w:color="auto" w:fill="000000"/>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3300" w:type="dxa"/>
            <w:vAlign w:val="bottom"/>
            <w:shd w:val="clear" w:color="auto" w:fill="CCEEFF"/>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type w:val="continuous"/>
        </w:sectPr>
      </w:pPr>
    </w:p>
    <w:p>
      <w:pPr>
        <w:ind w:left="140"/>
        <w:spacing w:after="0"/>
        <w:tabs>
          <w:tab w:leader="none" w:pos="2820" w:val="left"/>
        </w:tabs>
        <w:rPr>
          <w:sz w:val="20"/>
          <w:szCs w:val="20"/>
          <w:color w:val="auto"/>
        </w:rPr>
      </w:pPr>
      <w:r>
        <w:rPr>
          <w:rFonts w:ascii="Arial" w:cs="Arial" w:eastAsia="Arial" w:hAnsi="Arial"/>
          <w:sz w:val="14"/>
          <w:szCs w:val="14"/>
          <w:color w:val="auto"/>
        </w:rPr>
        <w:t>Customer Support</w:t>
      </w:r>
      <w:r>
        <w:rPr>
          <w:sz w:val="20"/>
          <w:szCs w:val="20"/>
          <w:color w:val="auto"/>
        </w:rPr>
        <w:tab/>
      </w:r>
      <w:r>
        <w:rPr>
          <w:rFonts w:ascii="Arial" w:cs="Arial" w:eastAsia="Arial" w:hAnsi="Arial"/>
          <w:sz w:val="12"/>
          <w:szCs w:val="12"/>
          <w:color w:val="auto"/>
        </w:rPr>
        <w:t>Ratably over the course of the support contract</w:t>
      </w:r>
    </w:p>
    <w:p>
      <w:pPr>
        <w:ind w:left="2840"/>
        <w:spacing w:after="0"/>
        <w:rPr>
          <w:sz w:val="20"/>
          <w:szCs w:val="20"/>
          <w:color w:val="auto"/>
        </w:rPr>
      </w:pPr>
      <w:r>
        <w:rPr>
          <w:rFonts w:ascii="Arial" w:cs="Arial" w:eastAsia="Arial" w:hAnsi="Arial"/>
          <w:sz w:val="14"/>
          <w:szCs w:val="14"/>
          <w:color w:val="auto"/>
        </w:rPr>
        <w:t>(over time)</w:t>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4"/>
          <w:szCs w:val="14"/>
          <w:color w:val="auto"/>
        </w:rPr>
        <w:t>Within 90 days of the start of the contract</w:t>
      </w:r>
      <w:r>
        <w:rPr>
          <w:sz w:val="20"/>
          <w:szCs w:val="20"/>
          <w:color w:val="auto"/>
        </w:rPr>
        <w:tab/>
      </w:r>
      <w:r>
        <w:rPr>
          <w:rFonts w:ascii="Arial" w:cs="Arial" w:eastAsia="Arial" w:hAnsi="Arial"/>
          <w:sz w:val="12"/>
          <w:szCs w:val="12"/>
          <w:color w:val="auto"/>
        </w:rPr>
        <w:t>Observable transactions</w:t>
      </w:r>
    </w:p>
    <w:p>
      <w:pPr>
        <w:spacing w:after="0"/>
        <w:rPr>
          <w:sz w:val="20"/>
          <w:szCs w:val="20"/>
          <w:color w:val="auto"/>
        </w:rPr>
      </w:pPr>
      <w:r>
        <w:rPr>
          <w:rFonts w:ascii="Arial" w:cs="Arial" w:eastAsia="Arial" w:hAnsi="Arial"/>
          <w:sz w:val="14"/>
          <w:szCs w:val="14"/>
          <w:color w:val="auto"/>
        </w:rPr>
        <w:t>period</w:t>
      </w:r>
    </w:p>
    <w:p>
      <w:pPr>
        <w:spacing w:after="0" w:line="1" w:lineRule="exact"/>
        <w:rPr>
          <w:sz w:val="20"/>
          <w:szCs w:val="20"/>
          <w:color w:val="auto"/>
        </w:rPr>
      </w:pPr>
    </w:p>
    <w:p>
      <w:pPr>
        <w:sectPr>
          <w:pgSz w:w="11900" w:h="16838" w:orient="portrait"/>
          <w:cols w:equalWidth="0" w:num="2">
            <w:col w:w="5500" w:space="180"/>
            <w:col w:w="55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16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SaaS</w:t>
            </w:r>
          </w:p>
        </w:tc>
        <w:tc>
          <w:tcPr>
            <w:tcW w:w="3880" w:type="dxa"/>
            <w:vAlign w:val="bottom"/>
            <w:shd w:val="clear" w:color="auto" w:fill="CCEEFF"/>
          </w:tcPr>
          <w:p>
            <w:pPr>
              <w:ind w:left="1200"/>
              <w:spacing w:after="0" w:line="151" w:lineRule="exact"/>
              <w:rPr>
                <w:sz w:val="20"/>
                <w:szCs w:val="20"/>
                <w:color w:val="auto"/>
              </w:rPr>
            </w:pPr>
            <w:r>
              <w:rPr>
                <w:rFonts w:ascii="Arial" w:cs="Arial" w:eastAsia="Arial" w:hAnsi="Arial"/>
                <w:sz w:val="14"/>
                <w:szCs w:val="14"/>
                <w:color w:val="auto"/>
                <w:w w:val="94"/>
              </w:rPr>
              <w:t>Over the course of the SaaS service once the</w:t>
            </w:r>
          </w:p>
        </w:tc>
        <w:tc>
          <w:tcPr>
            <w:tcW w:w="2340" w:type="dxa"/>
            <w:vAlign w:val="bottom"/>
            <w:shd w:val="clear" w:color="auto" w:fill="CCEEFF"/>
          </w:tcPr>
          <w:p>
            <w:pPr>
              <w:ind w:left="160"/>
              <w:spacing w:after="0" w:line="151" w:lineRule="exact"/>
              <w:rPr>
                <w:sz w:val="20"/>
                <w:szCs w:val="20"/>
                <w:color w:val="auto"/>
              </w:rPr>
            </w:pPr>
            <w:r>
              <w:rPr>
                <w:rFonts w:ascii="Arial" w:cs="Arial" w:eastAsia="Arial" w:hAnsi="Arial"/>
                <w:sz w:val="14"/>
                <w:szCs w:val="14"/>
                <w:color w:val="auto"/>
              </w:rPr>
              <w:t>Within 90 days of services</w:t>
            </w:r>
          </w:p>
        </w:tc>
        <w:tc>
          <w:tcPr>
            <w:tcW w:w="3380" w:type="dxa"/>
            <w:vAlign w:val="bottom"/>
            <w:shd w:val="clear" w:color="auto" w:fill="CCEEFF"/>
          </w:tcPr>
          <w:p>
            <w:pPr>
              <w:ind w:left="660"/>
              <w:spacing w:after="0" w:line="151" w:lineRule="exact"/>
              <w:rPr>
                <w:sz w:val="20"/>
                <w:szCs w:val="20"/>
                <w:color w:val="auto"/>
              </w:rPr>
            </w:pPr>
            <w:r>
              <w:rPr>
                <w:rFonts w:ascii="Arial" w:cs="Arial" w:eastAsia="Arial" w:hAnsi="Arial"/>
                <w:sz w:val="14"/>
                <w:szCs w:val="14"/>
                <w:color w:val="auto"/>
                <w:w w:val="96"/>
              </w:rPr>
              <w:t>Estimated using a cost-plus margin approach</w:t>
            </w:r>
          </w:p>
        </w:tc>
      </w:tr>
      <w:tr>
        <w:trPr>
          <w:trHeight w:val="133"/>
        </w:trPr>
        <w:tc>
          <w:tcPr>
            <w:tcW w:w="1640" w:type="dxa"/>
            <w:vAlign w:val="bottom"/>
            <w:shd w:val="clear" w:color="auto" w:fill="CCEEFF"/>
          </w:tcPr>
          <w:p>
            <w:pPr>
              <w:spacing w:after="0"/>
              <w:rPr>
                <w:sz w:val="11"/>
                <w:szCs w:val="11"/>
                <w:color w:val="auto"/>
              </w:rPr>
            </w:pPr>
          </w:p>
        </w:tc>
        <w:tc>
          <w:tcPr>
            <w:tcW w:w="3880" w:type="dxa"/>
            <w:vAlign w:val="bottom"/>
            <w:shd w:val="clear" w:color="auto" w:fill="CCEEFF"/>
          </w:tcPr>
          <w:p>
            <w:pPr>
              <w:ind w:left="1200"/>
              <w:spacing w:after="0" w:line="133" w:lineRule="exact"/>
              <w:rPr>
                <w:sz w:val="20"/>
                <w:szCs w:val="20"/>
                <w:color w:val="auto"/>
              </w:rPr>
            </w:pPr>
            <w:r>
              <w:rPr>
                <w:rFonts w:ascii="Arial" w:cs="Arial" w:eastAsia="Arial" w:hAnsi="Arial"/>
                <w:sz w:val="14"/>
                <w:szCs w:val="14"/>
                <w:color w:val="auto"/>
              </w:rPr>
              <w:t>system is available for use</w:t>
            </w:r>
          </w:p>
        </w:tc>
        <w:tc>
          <w:tcPr>
            <w:tcW w:w="234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rPr>
              <w:t>being performed</w:t>
            </w:r>
          </w:p>
        </w:tc>
        <w:tc>
          <w:tcPr>
            <w:tcW w:w="3380" w:type="dxa"/>
            <w:vAlign w:val="bottom"/>
            <w:shd w:val="clear" w:color="auto" w:fill="CCEEFF"/>
          </w:tcPr>
          <w:p>
            <w:pPr>
              <w:spacing w:after="0"/>
              <w:rPr>
                <w:sz w:val="11"/>
                <w:szCs w:val="11"/>
                <w:color w:val="auto"/>
              </w:rPr>
            </w:pPr>
          </w:p>
        </w:tc>
      </w:tr>
      <w:tr>
        <w:trPr>
          <w:trHeight w:val="186"/>
        </w:trPr>
        <w:tc>
          <w:tcPr>
            <w:tcW w:w="1640" w:type="dxa"/>
            <w:vAlign w:val="bottom"/>
            <w:shd w:val="clear" w:color="auto" w:fill="CCEEFF"/>
          </w:tcPr>
          <w:p>
            <w:pPr>
              <w:spacing w:after="0"/>
              <w:rPr>
                <w:sz w:val="16"/>
                <w:szCs w:val="16"/>
                <w:color w:val="auto"/>
              </w:rPr>
            </w:pPr>
          </w:p>
        </w:tc>
        <w:tc>
          <w:tcPr>
            <w:tcW w:w="38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(over time)</w:t>
            </w:r>
          </w:p>
        </w:tc>
        <w:tc>
          <w:tcPr>
            <w:tcW w:w="234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Deferred revenues represent billings to customers for services in advance of the performance of services, with revenues recognized as the services are rendered, and also include the fair value of deferred revenues recorded as a result of acquisitions.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Level Standards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Cost of services includes all direct materials, direct labor and those indirect costs related to revenues such as indirect labor, materials and supplies and facilities cost, exclusive of depreciation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 xml:space="preserve">Software development costs are accounted for in accordance with either ASC 985-20, </w:t>
      </w:r>
      <w:r>
        <w:rPr>
          <w:rFonts w:ascii="Arial" w:cs="Arial" w:eastAsia="Arial" w:hAnsi="Arial"/>
          <w:sz w:val="18"/>
          <w:szCs w:val="18"/>
          <w:i w:val="1"/>
          <w:iCs w:val="1"/>
          <w:color w:val="auto"/>
        </w:rPr>
        <w:t>“Software - Costs of Software to be Sold, Leased or Marketed,”</w:t>
      </w:r>
      <w:r>
        <w:rPr>
          <w:rFonts w:ascii="Arial" w:cs="Arial" w:eastAsia="Arial" w:hAnsi="Arial"/>
          <w:sz w:val="18"/>
          <w:szCs w:val="18"/>
          <w:color w:val="auto"/>
        </w:rPr>
        <w:t xml:space="preserve">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2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unamortized software development costs and amortization expense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211"/>
              <w:spacing w:after="0"/>
              <w:rPr>
                <w:sz w:val="20"/>
                <w:szCs w:val="20"/>
                <w:color w:val="auto"/>
              </w:rPr>
            </w:pPr>
            <w:r>
              <w:rPr>
                <w:rFonts w:ascii="Arial" w:cs="Arial" w:eastAsia="Arial" w:hAnsi="Arial"/>
                <w:sz w:val="16"/>
                <w:szCs w:val="16"/>
                <w:b w:val="1"/>
                <w:bCs w:val="1"/>
                <w:color w:val="auto"/>
                <w:w w:val="8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67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6"/>
                <w:szCs w:val="16"/>
                <w:b w:val="1"/>
                <w:bCs w:val="1"/>
                <w:color w:val="auto"/>
              </w:rPr>
              <w:t>2019</w:t>
            </w:r>
          </w:p>
        </w:tc>
      </w:tr>
      <w:tr>
        <w:trPr>
          <w:trHeight w:val="221"/>
        </w:trPr>
        <w:tc>
          <w:tcPr>
            <w:tcW w:w="6720" w:type="dxa"/>
            <w:vAlign w:val="bottom"/>
          </w:tcPr>
          <w:p>
            <w:pPr>
              <w:ind w:left="20"/>
              <w:spacing w:after="0"/>
              <w:rPr>
                <w:sz w:val="20"/>
                <w:szCs w:val="20"/>
                <w:color w:val="auto"/>
              </w:rPr>
            </w:pPr>
            <w:r>
              <w:rPr>
                <w:rFonts w:ascii="Arial" w:cs="Arial" w:eastAsia="Arial" w:hAnsi="Arial"/>
                <w:sz w:val="16"/>
                <w:szCs w:val="16"/>
                <w:color w:val="auto"/>
              </w:rPr>
              <w:t>Unamortized software development costs</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33,152</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28,512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22,240</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amortization expense</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15,412</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r>
    </w:tbl>
    <w:p>
      <w:pPr>
        <w:spacing w:after="0" w:line="3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recognized impairment charges to its capitalized software intangible assets, of $1.3 million, $0.9 million and nil for the years ended December 31, 2021, 2020 and 2019, respectively. The Company includes these impairments within depreciation and amortization in its Consolidated Statements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and accounts receivable. The Company maintains its cash and cash equivalents at several major financial institutions. The Company believes that concentration of credit risk with respect to accounts receivable is limited because of the creditworthiness of its major customers.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Company’s top five customers accounted for 68.2%, 68.0% and 69.2% of net revenues for the years ended December 31, 2021, 2020 and 2019, respectively. Contracts with these customers typically run for three to five years. Of these customers, Verizon accounted for more than 10% of the Company’s revenues in 2021, 2020, and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at the date of acquisition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Accounts receivable include current notes, amounts billed to customers, claims, and unbilled revenue, which consists of amounts recognized as sales but not yet billed. Substantially all amounts of unbilled receivables are expected to be billed and collected in the subsequent year. The Company had unbilled receivable balances of $4.0 million and $3.4 million as of December 31, 2021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receivables. Customers are pooled based on sharing specific risk factors, including geographic location. Due to the short-term nature of such receivables, the estimated accounts receivable that may not be collected is based on aging of the accounts receivable balances.</w:t>
      </w:r>
    </w:p>
    <w:p>
      <w:pPr>
        <w:spacing w:after="0" w:line="18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Customers are assessed for credit worthiness upfront through a credit review, which includes assessment based on our analysis of their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uncollectible after all collection efforts have been exhausted. Estimates of potential credit losses are used to determine the allowance; they are based on assessment of anticipated payment and all other historical, current and future information that is reasonably available.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and Liabilities</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Company includes disclosures of fair value information about financial instruments and liabilities, whether or not recognized on the Consolidated Balance Sheets, for which it is practicable to estimate that value. Due to their short-term nature, the carrying amounts reported in the financial statements approximate the fair value for cash and cash equivalents, marketable securities, accounts receivable and accounts payable.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Amortization of property and equipment recorded under a capital lease is included with depreciation expense. Expenditures for routine maintenance and repairs are charged against operations, while major replacements, improvements and additions are capitalized.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and Mandatorily Redeemable Financial Instruments</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Noncontrolling interests (“NCI”) are evaluated by the Company and are shown as either a liability, temporary equity (shown between liabilities and equity) or as permanent equity depending on the nature of the redeemable features at amounts based on formulas specific to each entity. Generally, mandatorily redeemable NCIs are classified as liabilities and non-mandatorily redeemable NCIs are classified outside of stockholders’ equity in the Consolidated Balance Sheets as temporary equity under the caption, redeemable noncontrolling interests, and are measured at their redemption values at the end of each period. If the redemption value is greater than the carrying value, an adjustment is recorded in retained earnings to record the NCI at its redemption value. Redeemable NCIs that are mandatorily redeemable are classified as a liability in the Consolidated Balance Sheets under either other current liabilities or other long-term liabilities, depending on the remaining duration until settlement, and are measured at the amount of cash that would be paid if settlement occurred at the balance sheet date with any change from the prior period recognized as interest expense.</w:t>
      </w:r>
    </w:p>
    <w:p>
      <w:pPr>
        <w:spacing w:after="0" w:line="20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If the noncontrolling interest is not currently redeemable yet probable of becoming redeemable, the Company is required to either (1) accrete changes in the redemption value over the period from the date of issuance to the earliest redemption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instrument using an appropriate methodology, usually the interest method, or (2) recognize changes in the redemption value immediately as they occur and adjust the carrying value of the security to equal the redemption value at the end of each reporting period. The Company has elected to recognize changes in the redemption value immediately as they occur and adjust the carrying value of the noncontrolling interest to the greater of the estimated redemption value, which approximates fair value, at the end of each reporting period or the initial carrying amount.</w:t>
      </w:r>
    </w:p>
    <w:p>
      <w:pPr>
        <w:spacing w:after="0" w:line="204"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Net income attributable to NCIs reflects the portion of the net income (loss) of consolidated entities applicable to the NCI stockholders in the accompanying Consolidated Statements of Operations. The net income attributable to NCI is classified in the Consolidated Statements of Operations as part of consolidated net income and deducted from total consolidated net income to arrive at the net income attributable to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Affiliates and Other Entities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In the normal course of business, Synchronoss enters into various types of investment arrangements, each having unique terms and conditions. These investments may include equity interests held by Synchronoss in business entities, including general or limited partnerships, contractual ventures, or other forms of equity participation. Synchronoss determines whether such investments involve a variable interest entity (“VIE”) based on the characteristics of the subject entity. If the entity is determined to be a VIE, then management determines if Synchronoss is the primary beneficiary of the entity and whether or not consolidation of the VIE is required. The primary beneficiary consolidating the VIE must normally have both (i) the power to direct the activities of a VIE that most significantly affect the VIE’s economic performance and (ii) the obligation to absorb losses of the VIE or the right to receive benefits from the VIE, in either case that could potentially be significant to the VIE. When Synchronoss is deemed to be the primary beneficiary, the VIE is consolidated and the other party’s equity interest in the VIE is accounted for as a noncontrolling interest.</w:t>
      </w:r>
    </w:p>
    <w:p>
      <w:pPr>
        <w:spacing w:after="0" w:line="20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 that other equity holders do not have substantive participating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Goodwill represents the excess of the purchase price over the fair value of assets acquired, including other definite-lived intangible assets. Goodwill is reviewed for impairment annually in the fourth quarter or when an interim triggering event has occurred indicating potential impairment. The Company has concluded that it has one operating segment and one reportable segment because the aggregation criteria and the quantitative threshold test was met. The Company tests for goodwill impairment on each of its reporting units, which is at the operating segment or one level below the operating segment.</w:t>
      </w:r>
    </w:p>
    <w:p>
      <w:pPr>
        <w:spacing w:after="0" w:line="189"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During the Company’s qualitative assessment, the Company makes significant estimates, assumptions, and judgments, around the financial performance of the Company, changes in share price, and forecasts of earnings, working capital requirements, and cash flows. The Company considers each reporting unit's historical results and operating trends as well as any strategic difference from the Company’s historical results when determining these assumptions.</w:t>
      </w:r>
    </w:p>
    <w:p>
      <w:pPr>
        <w:spacing w:after="0" w:line="18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can opt to perform a qualitative assessment to test a reporting unit’s goodwill for impairment or the Company can directly perform the quantitative impairment test. If the Company determines that the fair value of a reporting unit is more likely than not to be less than its carrying amount, a quantitative impairment test is performed.</w:t>
      </w:r>
    </w:p>
    <w:p>
      <w:pPr>
        <w:spacing w:after="0" w:line="21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rates and market activity in assessing fair value and are reporting unit specific. If the carrying amount exceeds the reporting unit's fair value, the Company recognizes an impairment charge for the amount by which the carrying amount exceeds the reporting unit's fair value.</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1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In order to assess the reasonableness of the estimated fair value of the Company’s reporting unit,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w:t>
      </w:r>
    </w:p>
    <w:p>
      <w:pPr>
        <w:spacing w:after="0" w:line="19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This re-evaluation could result in a change to the estimated fair value for certain or all reporting units. If the fair value of a reporting unit exceeds the carrying amount of the net assets assigned to that reporting unit, goodwill is not impaired.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pacing w:after="0" w:line="21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adopted Accounting Standards Codification Topic 842, Leases (ASC 842) on January 1, 2019. ASC 842 applies to a number of arrangements to which the Company is party whereby the Company acts as a lessee.</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Whenever the Company enters into a new arrangement, it must determine, at the inception date, whether the arrangement contains a lease.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20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to not separate lease and non-lease components. Each lease component is accounted for separately from other lease components, but together with the associated non-lease components.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each lease, the Company must then determine:</w:t>
      </w:r>
    </w:p>
    <w:p>
      <w:pPr>
        <w:spacing w:after="0" w:line="245" w:lineRule="exact"/>
        <w:rPr>
          <w:sz w:val="20"/>
          <w:szCs w:val="20"/>
          <w:color w:val="auto"/>
        </w:rPr>
      </w:pPr>
    </w:p>
    <w:p>
      <w:pPr>
        <w:jc w:val="both"/>
        <w:ind w:left="1280" w:hanging="316"/>
        <w:spacing w:after="0" w:line="256" w:lineRule="auto"/>
        <w:tabs>
          <w:tab w:leader="none" w:pos="12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215" w:lineRule="exact"/>
        <w:rPr>
          <w:rFonts w:ascii="Arial" w:cs="Arial" w:eastAsia="Arial" w:hAnsi="Arial"/>
          <w:sz w:val="18"/>
          <w:szCs w:val="18"/>
          <w:color w:val="auto"/>
        </w:rPr>
      </w:pPr>
    </w:p>
    <w:p>
      <w:pPr>
        <w:ind w:left="1280" w:hanging="316"/>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present value of lease payments is calculated based on:</w:t>
      </w:r>
    </w:p>
    <w:p>
      <w:pPr>
        <w:spacing w:after="0" w:line="245" w:lineRule="exact"/>
        <w:rPr>
          <w:rFonts w:ascii="Arial" w:cs="Arial" w:eastAsia="Arial" w:hAnsi="Arial"/>
          <w:sz w:val="18"/>
          <w:szCs w:val="18"/>
          <w:color w:val="auto"/>
        </w:rPr>
      </w:pPr>
    </w:p>
    <w:p>
      <w:pPr>
        <w:jc w:val="both"/>
        <w:ind w:left="1280" w:firstLine="319"/>
        <w:spacing w:after="0" w:line="269" w:lineRule="auto"/>
        <w:rPr>
          <w:rFonts w:ascii="Arial" w:cs="Arial" w:eastAsia="Arial" w:hAnsi="Arial"/>
          <w:sz w:val="18"/>
          <w:szCs w:val="18"/>
          <w:color w:val="auto"/>
        </w:rPr>
      </w:pPr>
      <w:r>
        <w:rPr>
          <w:rFonts w:ascii="Arial" w:cs="Arial" w:eastAsia="Arial" w:hAnsi="Arial"/>
          <w:sz w:val="17"/>
          <w:szCs w:val="17"/>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207" w:lineRule="exact"/>
        <w:rPr>
          <w:rFonts w:ascii="Arial" w:cs="Arial" w:eastAsia="Arial" w:hAnsi="Arial"/>
          <w:sz w:val="18"/>
          <w:szCs w:val="18"/>
          <w:color w:val="auto"/>
        </w:rPr>
      </w:pPr>
    </w:p>
    <w:p>
      <w:pPr>
        <w:jc w:val="both"/>
        <w:ind w:left="1280" w:firstLine="319"/>
        <w:spacing w:after="0" w:line="294" w:lineRule="auto"/>
        <w:rPr>
          <w:rFonts w:ascii="Arial" w:cs="Arial" w:eastAsia="Arial" w:hAnsi="Arial"/>
          <w:sz w:val="18"/>
          <w:szCs w:val="18"/>
          <w:color w:val="auto"/>
        </w:rPr>
      </w:pPr>
      <w:r>
        <w:rPr>
          <w:rFonts w:ascii="Arial" w:cs="Arial" w:eastAsia="Arial" w:hAnsi="Arial"/>
          <w:sz w:val="16"/>
          <w:szCs w:val="16"/>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188" w:lineRule="exact"/>
        <w:rPr>
          <w:rFonts w:ascii="Arial" w:cs="Arial" w:eastAsia="Arial" w:hAnsi="Arial"/>
          <w:sz w:val="18"/>
          <w:szCs w:val="18"/>
          <w:color w:val="auto"/>
        </w:rPr>
      </w:pPr>
    </w:p>
    <w:p>
      <w:pPr>
        <w:jc w:val="both"/>
        <w:ind w:left="1280" w:hanging="316"/>
        <w:spacing w:after="0" w:line="303" w:lineRule="auto"/>
        <w:tabs>
          <w:tab w:leader="none" w:pos="12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18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and (ii) lease payments made, net of lease incentives received, prior to lease commencement.</w:t>
      </w:r>
    </w:p>
    <w:p>
      <w:pPr>
        <w:spacing w:after="0" w:line="22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Over the lease term, the Company generally increases its lease liabilities using the effective interest method and decreases its lease liabilities for lease payments made. The Company generally amortizes its ROU assets over the shorter of the estimated useful life or the lease term and assesses its ROU assets for impairment, similar to other long-lived assets.</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For finance leases, amortization expense and interest expense are recognized separately in the Consolidated Statements of Operations, with amortization expense generally recorded on a straight-line basis and interest expense recorded using the effective interest method. For operating leases, a single lease cost is generally recognized in the Consolidated Statements of Operations on a straight-line basis over the lease term. Lease costs for short-term leases not recognized in the Consolidated Balance Sheets are recognized in the Consolidated Statements of Operations and are expensed as incurred. Variable lease costs not initially included in the lease liability and ROU asset impairment charges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20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2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2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22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2017 and thereafter are subject to future examination by tax authorities. Additionally, to the extent we utilize our NOL carryforwards in the future, the tax years in which the attribute was generated may still be adjusted upon examination by the tax authorities in the future period when the attribute is utilized.</w:t>
      </w:r>
    </w:p>
    <w:p>
      <w:pPr>
        <w:spacing w:after="0" w:line="22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Our policy has been to leave our cumulative unremitted foreign earnings invested indefinitely outside the United States, and we intend to continue this policy. Although distributions to the U.S. are generally not subject to U.S. federal taxes,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functional currency of non-U.S. entities is translated into U.S. dollars for balance sheet accounts using the month end rates in effect as of the balance sheet date and average exchange rate for revenue and expense accounts for each respective period. The translation adjustments are deferred as a separate component of stockholders’ equity within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Gains or losses resulting from transactions denominated in foreign currencies are included in other income or expense, within the Consolidated Statements of Operations and were as follows: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Twelve Months Ended December 31,</w:t>
            </w:r>
          </w:p>
        </w:tc>
        <w:tc>
          <w:tcPr>
            <w:tcW w:w="860" w:type="dxa"/>
            <w:vAlign w:val="bottom"/>
            <w:tcBorders>
              <w:bottom w:val="single" w:sz="8" w:color="auto"/>
            </w:tcBorders>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w w:val="89"/>
              </w:rPr>
              <w:t>2019</w:t>
            </w:r>
          </w:p>
        </w:tc>
      </w:tr>
      <w:tr>
        <w:trPr>
          <w:trHeight w:val="222"/>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foreign currency translations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Reporting on comprehensive income requires components of other comprehensive income, including unrealized gains or losses on available-for-sale securities, to be included as part of total comprehensive income. Comprehensive income is comprised of net income, translation adjustments and unrealized gains and losses on available-for-sale securities. The components of comprehensive income are included in the Consolidated Statements of Comprehensive Income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Basic EPS is computed based upon the weighted average number of common shares outstanding for the year, excluding amounts associated with restricted shares.</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Diluted EPS is computed based upon the weighted average number of common shares outstanding for the year plus the potential dilutive effect of common stock equivalents using the treasury stock method and the average market price of the Company’s common stock for the year. The potential dilutive effect of common stock includes stock options, convertible debt and unvested restricted stock. The dilutive effects of stock options and restricted stock awards are based on the treasury stock method. The dilutive effect of the assumed conversion of convertible debt is determined using the if-converted method. The after-tax effect of interest expense related to the convertible securities is added back to net income, and the convertible debt is assumed to have been converted into common shares at the beginning of the period.</w:t>
      </w:r>
    </w:p>
    <w:p>
      <w:pPr>
        <w:spacing w:after="0" w:line="22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Company maintains eight stock-based compensation plans.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utilizes the Black-Scholes pricing model to determine the fair value of stock options on the dates of grant. Restricted stock awards are measured based on the fair market values of the underlying stock on the dates of grant. The Company recognizes stock-based compensation over the requisite service period with an offsetting credit to additional paid-in capital.</w:t>
      </w:r>
    </w:p>
    <w:p>
      <w:pPr>
        <w:spacing w:after="0" w:line="21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For the Company’s performance restricted stock awards and units, the Company estimates the number of shares the recipient is to receive by applying a probability of achieving the performance goals. The actual number of shares the recipient receives is determined at the end of the performance period based on the results achieved versus goals based on the performance targets, such as revenues and earnings before interest, tax, depreciation and amortization (“EBITDA”) after certain adjustments, and Total Shareholder Return (TSR). The compensation cost is recognized using straight line method over the requisite service period for each vesting tranche. Performance based stock awards are measured at the closing stock price on the grant date and are recognized straight line over the requisite service period. Performance based cash units are measured at the closing stock price at the reporting period end date and are recognized straight line over the requisite service period.</w:t>
      </w:r>
    </w:p>
    <w:p>
      <w:pPr>
        <w:spacing w:after="0" w:line="206"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Use of a valuation model requires management to make certain assumptions with respect to selected model inputs. Expected volatility was calculated based on historical information of the Company’s stock. The average expected life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determined using historical stock option exercise activity. The risk-free interest rate is based on U.S. Treasury zero-coupon issues with a remaining term equal to the expected life assumed at the date of grant. The Company has never declared or paid cash dividends on the common equity and does not anticipate paying any cash dividends on the common equity in the foreseeable future. Forfeitures are accounted for as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45" w:lineRule="exact"/>
        <w:rPr>
          <w:sz w:val="20"/>
          <w:szCs w:val="20"/>
          <w:color w:val="auto"/>
        </w:rPr>
      </w:pPr>
    </w:p>
    <w:p>
      <w:pPr>
        <w:jc w:val="both"/>
        <w:ind w:firstLine="319"/>
        <w:spacing w:after="0" w:line="215" w:lineRule="exact"/>
        <w:rPr>
          <w:sz w:val="20"/>
          <w:szCs w:val="20"/>
          <w:color w:val="auto"/>
        </w:rPr>
      </w:pPr>
      <w:r>
        <w:rPr>
          <w:rFonts w:ascii="Arial" w:cs="Arial" w:eastAsia="Arial" w:hAnsi="Arial"/>
          <w:sz w:val="18"/>
          <w:szCs w:val="18"/>
          <w:color w:val="auto"/>
        </w:rPr>
        <w:t>The Company’s chief operating decision</w:t>
      </w:r>
      <w:r>
        <w:rPr>
          <w:rFonts w:ascii="MS PGothic" w:cs="MS PGothic" w:eastAsia="MS PGothic" w:hAnsi="MS PGothic"/>
          <w:sz w:val="18"/>
          <w:szCs w:val="18"/>
          <w:color w:val="auto"/>
        </w:rPr>
        <w:t>‑</w:t>
      </w:r>
      <w:r>
        <w:rPr>
          <w:rFonts w:ascii="Arial" w:cs="Arial" w:eastAsia="Arial" w:hAnsi="Arial"/>
          <w:sz w:val="18"/>
          <w:szCs w:val="18"/>
          <w:color w:val="auto"/>
        </w:rPr>
        <w:t>maker is the Chief Executive Officer. The Company operates and offers various products in North America, Europe and Asia</w:t>
      </w:r>
      <w:r>
        <w:rPr>
          <w:rFonts w:ascii="MS PGothic" w:cs="MS PGothic" w:eastAsia="MS PGothic" w:hAnsi="MS PGothic"/>
          <w:sz w:val="18"/>
          <w:szCs w:val="18"/>
          <w:color w:val="auto"/>
        </w:rPr>
        <w:t>‑</w:t>
      </w:r>
      <w:r>
        <w:rPr>
          <w:rFonts w:ascii="Arial" w:cs="Arial" w:eastAsia="Arial" w:hAnsi="Arial"/>
          <w:sz w:val="18"/>
          <w:szCs w:val="18"/>
          <w:color w:val="auto"/>
        </w:rPr>
        <w:t>Pacific with the majority of the Company’s revenue and assets in the U.S. The Company assessed its current structure and operations and determined it has one reportable segment as the business is managed and assessed by the chief operating decision-maker based on the consolidated results of the organization.</w:t>
      </w:r>
    </w:p>
    <w:p>
      <w:pPr>
        <w:spacing w:after="0" w:line="23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Revenues by geography are based on the billing addresses of the Company’s customers. The following tables set forth revenues and property and equipment, net by geographic area: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1"/>
              <w:spacing w:after="0"/>
              <w:rPr>
                <w:sz w:val="20"/>
                <w:szCs w:val="20"/>
                <w:color w:val="auto"/>
              </w:rPr>
            </w:pPr>
            <w:r>
              <w:rPr>
                <w:rFonts w:ascii="Arial" w:cs="Arial" w:eastAsia="Arial" w:hAnsi="Arial"/>
                <w:sz w:val="16"/>
                <w:szCs w:val="16"/>
                <w:b w:val="1"/>
                <w:bCs w:val="1"/>
                <w:color w:val="auto"/>
                <w:w w:val="88"/>
              </w:rPr>
              <w:t>Year Ended December 31,</w:t>
            </w:r>
          </w:p>
        </w:tc>
        <w:tc>
          <w:tcPr>
            <w:tcW w:w="1120" w:type="dxa"/>
            <w:vAlign w:val="bottom"/>
            <w:tcBorders>
              <w:bottom w:val="single" w:sz="8" w:color="auto"/>
            </w:tcBorders>
          </w:tcPr>
          <w:p>
            <w:pPr>
              <w:spacing w:after="0"/>
              <w:rPr>
                <w:sz w:val="18"/>
                <w:szCs w:val="18"/>
                <w:color w:val="auto"/>
              </w:rPr>
            </w:pPr>
          </w:p>
        </w:tc>
      </w:tr>
      <w:tr>
        <w:trPr>
          <w:trHeight w:val="206"/>
        </w:trPr>
        <w:tc>
          <w:tcPr>
            <w:tcW w:w="67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0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225,433</w:t>
            </w:r>
          </w:p>
        </w:tc>
        <w:tc>
          <w:tcPr>
            <w:tcW w:w="48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228,639</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232,183</w:t>
            </w: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76,566</w:t>
            </w: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280,615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308,749</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443"/>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6"/>
                <w:szCs w:val="16"/>
                <w:b w:val="1"/>
                <w:bCs w:val="1"/>
                <w:color w:val="auto"/>
              </w:rPr>
              <w:t>Year Ended December 31,</w:t>
            </w:r>
          </w:p>
        </w:tc>
      </w:tr>
      <w:tr>
        <w:trPr>
          <w:trHeight w:val="222"/>
        </w:trPr>
        <w:tc>
          <w:tcPr>
            <w:tcW w:w="67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r>
      <w:tr>
        <w:trPr>
          <w:trHeight w:val="206"/>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7,282</w:t>
            </w: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Total PPE, net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11,732</w:t>
            </w:r>
          </w:p>
        </w:tc>
      </w:tr>
      <w:tr>
        <w:trPr>
          <w:trHeight w:val="20"/>
        </w:trPr>
        <w:tc>
          <w:tcPr>
            <w:tcW w:w="6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Twelve Months Ended December 31, 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Twelve Months Ended December 31, 2020</w:t>
            </w:r>
          </w:p>
        </w:tc>
        <w:tc>
          <w:tcPr>
            <w:tcW w:w="780" w:type="dxa"/>
            <w:vAlign w:val="bottom"/>
            <w:tcBorders>
              <w:bottom w:val="single" w:sz="8" w:color="auto"/>
            </w:tcBorders>
          </w:tcPr>
          <w:p>
            <w:pPr>
              <w:spacing w:after="0"/>
              <w:rPr>
                <w:sz w:val="16"/>
                <w:szCs w:val="16"/>
                <w:color w:val="auto"/>
              </w:rPr>
            </w:pPr>
          </w:p>
        </w:tc>
      </w:tr>
      <w:tr>
        <w:trPr>
          <w:trHeight w:val="184"/>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Cloud</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6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Cloud</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194"/>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Geography:</w:t>
            </w: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10"/>
        </w:trPr>
        <w:tc>
          <w:tcPr>
            <w:tcW w:w="2480" w:type="dxa"/>
            <w:vAlign w:val="bottom"/>
          </w:tcPr>
          <w:p>
            <w:pPr>
              <w:ind w:left="220"/>
              <w:spacing w:after="0"/>
              <w:rPr>
                <w:sz w:val="20"/>
                <w:szCs w:val="20"/>
                <w:color w:val="auto"/>
              </w:rPr>
            </w:pPr>
            <w:r>
              <w:rPr>
                <w:rFonts w:ascii="Arial" w:cs="Arial" w:eastAsia="Arial" w:hAnsi="Arial"/>
                <w:sz w:val="16"/>
                <w:szCs w:val="16"/>
                <w:color w:val="auto"/>
              </w:rPr>
              <w:t>Americas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158,283</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47,108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20,042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225,433</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155,287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45,893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27,459</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228,639</w:t>
            </w:r>
          </w:p>
        </w:tc>
      </w:tr>
      <w:tr>
        <w:trPr>
          <w:trHeight w:val="215"/>
        </w:trPr>
        <w:tc>
          <w:tcPr>
            <w:tcW w:w="2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35,812</w:t>
            </w:r>
          </w:p>
        </w:tc>
      </w:tr>
      <w:tr>
        <w:trPr>
          <w:trHeight w:val="210"/>
        </w:trPr>
        <w:tc>
          <w:tcPr>
            <w:tcW w:w="2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27,219</w:t>
            </w:r>
          </w:p>
        </w:tc>
      </w:tr>
      <w:tr>
        <w:trPr>
          <w:trHeight w:val="23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60,177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280,615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291,670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Line: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248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15,131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12,477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36,852</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18,391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16,741</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48,644</w:t>
            </w:r>
          </w:p>
        </w:tc>
      </w:tr>
      <w:tr>
        <w:trPr>
          <w:trHeight w:val="215"/>
        </w:trPr>
        <w:tc>
          <w:tcPr>
            <w:tcW w:w="2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13,047</w:t>
            </w:r>
          </w:p>
        </w:tc>
      </w:tr>
      <w:tr>
        <w:trPr>
          <w:trHeight w:val="210"/>
        </w:trPr>
        <w:tc>
          <w:tcPr>
            <w:tcW w:w="2480" w:type="dxa"/>
            <w:vAlign w:val="bottom"/>
          </w:tcPr>
          <w:p>
            <w:pPr>
              <w:ind w:left="220"/>
              <w:spacing w:after="0"/>
              <w:rPr>
                <w:sz w:val="20"/>
                <w:szCs w:val="20"/>
                <w:color w:val="auto"/>
              </w:rPr>
            </w:pPr>
            <w:r>
              <w:rPr>
                <w:rFonts w:ascii="Arial" w:cs="Arial" w:eastAsia="Arial" w:hAnsi="Arial"/>
                <w:sz w:val="16"/>
                <w:szCs w:val="16"/>
                <w:color w:val="auto"/>
              </w:rPr>
              <w:t>Subscription Services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142,636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44,765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223,171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214,837</w:t>
            </w:r>
          </w:p>
        </w:tc>
      </w:tr>
      <w:tr>
        <w:trPr>
          <w:trHeight w:val="213"/>
        </w:trPr>
        <w:tc>
          <w:tcPr>
            <w:tcW w:w="2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15,142</w:t>
            </w: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165,982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54,456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60,177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280,615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162,175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291,670</w:t>
            </w:r>
          </w:p>
        </w:tc>
      </w:tr>
      <w:tr>
        <w:trPr>
          <w:trHeight w:val="20"/>
        </w:trPr>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at December 31, 2021 is $9.0 million.</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800" w:type="dxa"/>
            <w:vAlign w:val="bottom"/>
          </w:tcPr>
          <w:p>
            <w:pPr>
              <w:ind w:left="320"/>
              <w:spacing w:after="0"/>
              <w:rPr>
                <w:sz w:val="20"/>
                <w:szCs w:val="20"/>
                <w:color w:val="auto"/>
              </w:rPr>
            </w:pPr>
            <w:r>
              <w:rPr>
                <w:rFonts w:ascii="Arial" w:cs="Arial" w:eastAsia="Arial" w:hAnsi="Arial"/>
                <w:sz w:val="18"/>
                <w:szCs w:val="18"/>
                <w:color w:val="auto"/>
                <w:w w:val="96"/>
              </w:rPr>
              <w:t>Significant changes in the contract liabilities balance (current and noncurrent) during the period are as follows:</w:t>
            </w:r>
          </w:p>
        </w:tc>
        <w:tc>
          <w:tcPr>
            <w:tcW w:w="2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5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371"/>
              <w:spacing w:after="0" w:line="254" w:lineRule="exact"/>
              <w:rPr>
                <w:sz w:val="20"/>
                <w:szCs w:val="20"/>
                <w:color w:val="auto"/>
              </w:rPr>
            </w:pPr>
            <w:r>
              <w:rPr>
                <w:rFonts w:ascii="Arial" w:cs="Arial" w:eastAsia="Arial" w:hAnsi="Arial"/>
                <w:sz w:val="18"/>
                <w:szCs w:val="18"/>
                <w:b w:val="1"/>
                <w:bCs w:val="1"/>
                <w:color w:val="auto"/>
                <w:w w:val="98"/>
              </w:rPr>
              <w:t>Contract Liabilities</w:t>
            </w:r>
            <w:r>
              <w:rPr>
                <w:rFonts w:ascii="Arial" w:cs="Arial" w:eastAsia="Arial" w:hAnsi="Arial"/>
                <w:sz w:val="23"/>
                <w:szCs w:val="23"/>
                <w:b w:val="1"/>
                <w:bCs w:val="1"/>
                <w:color w:val="auto"/>
                <w:w w:val="98"/>
                <w:vertAlign w:val="superscript"/>
              </w:rPr>
              <w:t>1</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 2021</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45,614</w:t>
            </w:r>
          </w:p>
        </w:tc>
      </w:tr>
      <w:tr>
        <w:trPr>
          <w:trHeight w:val="225"/>
        </w:trPr>
        <w:tc>
          <w:tcPr>
            <w:tcW w:w="8800" w:type="dxa"/>
            <w:vAlign w:val="bottom"/>
          </w:tcPr>
          <w:p>
            <w:pPr>
              <w:ind w:left="260"/>
              <w:spacing w:after="0"/>
              <w:rPr>
                <w:sz w:val="20"/>
                <w:szCs w:val="20"/>
                <w:color w:val="auto"/>
              </w:rPr>
            </w:pPr>
            <w:r>
              <w:rPr>
                <w:rFonts w:ascii="Arial" w:cs="Arial" w:eastAsia="Arial" w:hAnsi="Arial"/>
                <w:sz w:val="18"/>
                <w:szCs w:val="18"/>
                <w:color w:val="auto"/>
              </w:rPr>
              <w:t>Revenue recognized in the period</w:t>
            </w:r>
          </w:p>
        </w:tc>
        <w:tc>
          <w:tcPr>
            <w:tcW w:w="2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(279,269)</w:t>
            </w:r>
          </w:p>
        </w:tc>
      </w:tr>
      <w:tr>
        <w:trPr>
          <w:trHeight w:val="226"/>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billed but not recognized as revenue</w:t>
            </w:r>
          </w:p>
        </w:tc>
        <w:tc>
          <w:tcPr>
            <w:tcW w:w="2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256,571</w:t>
            </w:r>
          </w:p>
        </w:tc>
      </w:tr>
      <w:tr>
        <w:trPr>
          <w:trHeight w:val="220"/>
        </w:trPr>
        <w:tc>
          <w:tcPr>
            <w:tcW w:w="8800" w:type="dxa"/>
            <w:vAlign w:val="bottom"/>
          </w:tcPr>
          <w:p>
            <w:pPr>
              <w:ind w:left="20"/>
              <w:spacing w:after="0"/>
              <w:rPr>
                <w:sz w:val="20"/>
                <w:szCs w:val="20"/>
                <w:color w:val="auto"/>
              </w:rPr>
            </w:pPr>
            <w:r>
              <w:rPr>
                <w:rFonts w:ascii="Arial" w:cs="Arial" w:eastAsia="Arial" w:hAnsi="Arial"/>
                <w:sz w:val="18"/>
                <w:szCs w:val="18"/>
                <w:color w:val="auto"/>
              </w:rPr>
              <w:t>Balance - December 31, 2021</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22,916</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64" w:lineRule="exact"/>
        <w:rPr>
          <w:sz w:val="20"/>
          <w:szCs w:val="20"/>
          <w:color w:val="auto"/>
        </w:rPr>
      </w:pPr>
    </w:p>
    <w:p>
      <w:pPr>
        <w:ind w:left="220" w:hanging="214"/>
        <w:spacing w:after="0"/>
        <w:tabs>
          <w:tab w:leader="none" w:pos="22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Comprised of deferred revenue</w:t>
      </w:r>
    </w:p>
    <w:p>
      <w:pPr>
        <w:spacing w:after="0" w:line="219"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Revenues recognized during the year ended December 31, 2021 for performance obligations satisfied or partially satisfied in previous periods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costs</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For contracts that have a duration of less than one year, the Company follows a Topic 606 practical expedient and expenses these costs over the estimated customer life, because it does not pay commissions upon renewals that are commensurate with the initial contract. During the year ended December 31, 2021, the amount of amortization was immaterial and there was no impairment loss in relation to costs capitalized.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Fulfillment Costs</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As of December 31, 2021 and 2020, the Company had $1.5 million and $0.1 million of capitalized contract fulfillment costs,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45" w:lineRule="exact"/>
        <w:rPr>
          <w:sz w:val="20"/>
          <w:szCs w:val="20"/>
          <w:color w:val="auto"/>
        </w:rPr>
      </w:pPr>
    </w:p>
    <w:p>
      <w:pPr>
        <w:jc w:val="both"/>
        <w:ind w:right="20" w:firstLine="319"/>
        <w:spacing w:after="0" w:line="329"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December 31, 2021. The Company has elected not to disclose transaction price allocated to remaining performance obligations for:</w:t>
      </w:r>
    </w:p>
    <w:p>
      <w:pPr>
        <w:spacing w:after="0" w:line="160" w:lineRule="exact"/>
        <w:rPr>
          <w:sz w:val="20"/>
          <w:szCs w:val="20"/>
          <w:color w:val="auto"/>
        </w:rPr>
      </w:pPr>
    </w:p>
    <w:p>
      <w:pPr>
        <w:ind w:left="640" w:hanging="315"/>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9" w:lineRule="exact"/>
        <w:rPr>
          <w:rFonts w:ascii="Arial" w:cs="Arial" w:eastAsia="Arial" w:hAnsi="Arial"/>
          <w:sz w:val="16"/>
          <w:szCs w:val="16"/>
          <w:color w:val="auto"/>
        </w:rPr>
      </w:pPr>
    </w:p>
    <w:p>
      <w:pPr>
        <w:ind w:left="640" w:hanging="315"/>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5" w:lineRule="exact"/>
        <w:rPr>
          <w:rFonts w:ascii="Arial" w:cs="Arial" w:eastAsia="Arial" w:hAnsi="Arial"/>
          <w:sz w:val="18"/>
          <w:szCs w:val="18"/>
          <w:color w:val="auto"/>
        </w:rPr>
      </w:pPr>
    </w:p>
    <w:p>
      <w:pPr>
        <w:jc w:val="both"/>
        <w:ind w:left="640" w:hanging="315"/>
        <w:spacing w:after="0" w:line="248"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Company’s remaining performance obligations, all of which will be resolved in the period in which amounts are known:</w:t>
      </w:r>
    </w:p>
    <w:p>
      <w:pPr>
        <w:spacing w:after="0" w:line="6" w:lineRule="exact"/>
        <w:rPr>
          <w:sz w:val="20"/>
          <w:szCs w:val="20"/>
          <w:color w:val="auto"/>
        </w:rPr>
      </w:pPr>
    </w:p>
    <w:p>
      <w:pPr>
        <w:ind w:left="1280" w:hanging="396"/>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5" w:lineRule="exact"/>
        <w:rPr>
          <w:rFonts w:ascii="Arial" w:cs="Arial" w:eastAsia="Arial" w:hAnsi="Arial"/>
          <w:sz w:val="18"/>
          <w:szCs w:val="18"/>
          <w:color w:val="auto"/>
        </w:rPr>
      </w:pPr>
    </w:p>
    <w:p>
      <w:pPr>
        <w:ind w:left="1280" w:hanging="396"/>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third-party data</w:t>
      </w:r>
    </w:p>
    <w:p>
      <w:pPr>
        <w:spacing w:after="0" w:line="5" w:lineRule="exact"/>
        <w:rPr>
          <w:rFonts w:ascii="Arial" w:cs="Arial" w:eastAsia="Arial" w:hAnsi="Arial"/>
          <w:sz w:val="18"/>
          <w:szCs w:val="18"/>
          <w:color w:val="auto"/>
        </w:rPr>
      </w:pPr>
    </w:p>
    <w:p>
      <w:pPr>
        <w:ind w:left="1280" w:hanging="396"/>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the aggregate amount of transaction price allocated to remaining performance obligations, other than those meeting the exclusion criteria above, was $208.3 million, of which approximately 93.51% is expected to be recognized as revenues within 2 years, and the remainder thereafter.</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Credit Losses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Effective January 1, 2020, the Company adopted ASU 2016-13, “Financial Instruments – Credit Losses (Topic 326): Measurement of Credit Losses on Financial Instruments,” prospectively. ASU 2016-13 replaces the incurred loss impairment model with an expected credit loss impairment model for financial instruments, including trade receivables. The guidance requires entities to consider forward-looking information to estimate expected credit losses, resulting in earlier recognition of losses for receivables that are current or not yet due.</w:t>
      </w:r>
    </w:p>
    <w:p>
      <w:pPr>
        <w:spacing w:after="0" w:line="21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accounts receivable balance on the Company’s consolidated balance sheet as of December 31, 2021 was $47.6 million, net of $0.5 million of allowances. Changes in the allowance were not material for the year ended December 31, 2021. The following table provides a roll-forward of the allowance for credit losses that is deducted from the amortized cost basis of accounts receivable to present the net amount expected to be collected: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5"/>
              </w:rPr>
              <w:t>Allowance for credit losses</w:t>
            </w:r>
          </w:p>
        </w:tc>
      </w:tr>
      <w:tr>
        <w:trPr>
          <w:trHeight w:val="219"/>
        </w:trPr>
        <w:tc>
          <w:tcPr>
            <w:tcW w:w="86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2280" w:type="dxa"/>
            <w:vAlign w:val="bottom"/>
          </w:tcPr>
          <w:p>
            <w:pPr>
              <w:ind w:left="1940"/>
              <w:spacing w:after="0"/>
              <w:rPr>
                <w:sz w:val="20"/>
                <w:szCs w:val="20"/>
                <w:color w:val="auto"/>
              </w:rPr>
            </w:pPr>
            <w:r>
              <w:rPr>
                <w:rFonts w:ascii="Arial" w:cs="Arial" w:eastAsia="Arial" w:hAnsi="Arial"/>
                <w:sz w:val="18"/>
                <w:szCs w:val="18"/>
                <w:color w:val="auto"/>
              </w:rPr>
              <w:t>543</w:t>
            </w:r>
          </w:p>
        </w:tc>
      </w:tr>
      <w:tr>
        <w:trPr>
          <w:trHeight w:val="22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period change for expected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w w:val="93"/>
              </w:rPr>
              <w:t>(65)</w:t>
            </w:r>
          </w:p>
        </w:tc>
      </w:tr>
      <w:tr>
        <w:trPr>
          <w:trHeight w:val="220"/>
        </w:trPr>
        <w:tc>
          <w:tcPr>
            <w:tcW w:w="86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478</w:t>
            </w:r>
          </w:p>
        </w:tc>
      </w:tr>
      <w:tr>
        <w:trPr>
          <w:trHeight w:val="20"/>
        </w:trPr>
        <w:tc>
          <w:tcPr>
            <w:tcW w:w="8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215"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16" w:lineRule="exact"/>
        <w:rPr>
          <w:rFonts w:ascii="Arial" w:cs="Arial" w:eastAsia="Arial" w:hAnsi="Arial"/>
          <w:sz w:val="18"/>
          <w:szCs w:val="18"/>
          <w:color w:val="auto"/>
        </w:rPr>
      </w:pPr>
    </w:p>
    <w:p>
      <w:pPr>
        <w:jc w:val="both"/>
        <w:ind w:left="320" w:hanging="314"/>
        <w:spacing w:after="0" w:line="246"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20" w:hanging="314"/>
        <w:spacing w:after="0" w:line="253"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6"/>
        </w:trPr>
        <w:tc>
          <w:tcPr>
            <w:tcW w:w="59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31,504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31,504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1"/>
              <w:spacing w:after="0" w:line="194"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Temporary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9"/>
        </w:trPr>
        <w:tc>
          <w:tcPr>
            <w:tcW w:w="5940" w:type="dxa"/>
            <w:vAlign w:val="bottom"/>
          </w:tcPr>
          <w:p>
            <w:pPr>
              <w:ind w:left="20"/>
              <w:spacing w:after="0"/>
              <w:rPr>
                <w:sz w:val="20"/>
                <w:szCs w:val="20"/>
                <w:color w:val="auto"/>
              </w:rPr>
            </w:pPr>
            <w:r>
              <w:rPr>
                <w:rFonts w:ascii="Arial" w:cs="Arial" w:eastAsia="Arial" w:hAnsi="Arial"/>
                <w:sz w:val="18"/>
                <w:szCs w:val="18"/>
                <w:color w:val="auto"/>
              </w:rPr>
              <w:t>Total temporary equity</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1"/>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6"/>
        </w:trPr>
        <w:tc>
          <w:tcPr>
            <w:tcW w:w="59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33,671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33,671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1"/>
              <w:spacing w:after="0" w:line="194"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Temporary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9"/>
        </w:trPr>
        <w:tc>
          <w:tcPr>
            <w:tcW w:w="5980" w:type="dxa"/>
            <w:vAlign w:val="bottom"/>
          </w:tcPr>
          <w:p>
            <w:pPr>
              <w:ind w:left="20"/>
              <w:spacing w:after="0"/>
              <w:rPr>
                <w:sz w:val="20"/>
                <w:szCs w:val="20"/>
                <w:color w:val="auto"/>
              </w:rPr>
            </w:pPr>
            <w:r>
              <w:rPr>
                <w:rFonts w:ascii="Arial" w:cs="Arial" w:eastAsia="Arial" w:hAnsi="Arial"/>
                <w:sz w:val="18"/>
                <w:szCs w:val="18"/>
                <w:color w:val="auto"/>
              </w:rPr>
              <w:t>Total temporary equity</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1"/>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64" w:lineRule="exact"/>
        <w:rPr>
          <w:sz w:val="20"/>
          <w:szCs w:val="20"/>
          <w:color w:val="auto"/>
        </w:rPr>
      </w:pPr>
    </w:p>
    <w:p>
      <w:pPr>
        <w:ind w:left="160" w:hanging="154"/>
        <w:spacing w:after="0"/>
        <w:tabs>
          <w:tab w:leader="none" w:pos="16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Put arrangements held by the noncontrolling interests in certain of the Company’s joint ventures.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Consolidated Balance Sheets.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year ended December 31, 2021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jc w:val="right"/>
              <w:ind w:right="171"/>
              <w:spacing w:after="0"/>
              <w:rPr>
                <w:sz w:val="20"/>
                <w:szCs w:val="20"/>
                <w:color w:val="auto"/>
              </w:rPr>
            </w:pPr>
            <w:r>
              <w:rPr>
                <w:rFonts w:ascii="Arial" w:cs="Arial" w:eastAsia="Arial" w:hAnsi="Arial"/>
                <w:sz w:val="18"/>
                <w:szCs w:val="18"/>
                <w:b w:val="1"/>
                <w:bCs w:val="1"/>
                <w:color w:val="auto"/>
                <w:w w:val="90"/>
              </w:rPr>
              <w:t>Redeemable noncontrolling</w:t>
            </w:r>
          </w:p>
        </w:tc>
      </w:tr>
      <w:tr>
        <w:trPr>
          <w:trHeight w:val="226"/>
        </w:trPr>
        <w:tc>
          <w:tcPr>
            <w:tcW w:w="8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b w:val="1"/>
                <w:bCs w:val="1"/>
                <w:color w:val="auto"/>
              </w:rPr>
              <w:t>interests</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5"/>
        </w:trPr>
        <w:tc>
          <w:tcPr>
            <w:tcW w:w="8620" w:type="dxa"/>
            <w:vAlign w:val="bottom"/>
          </w:tcPr>
          <w:p>
            <w:pPr>
              <w:ind w:left="220"/>
              <w:spacing w:after="0"/>
              <w:rPr>
                <w:sz w:val="20"/>
                <w:szCs w:val="20"/>
                <w:color w:val="auto"/>
              </w:rPr>
            </w:pPr>
            <w:r>
              <w:rPr>
                <w:rFonts w:ascii="Arial" w:cs="Arial" w:eastAsia="Arial" w:hAnsi="Arial"/>
                <w:sz w:val="18"/>
                <w:szCs w:val="18"/>
                <w:color w:val="auto"/>
              </w:rPr>
              <w:t>Fair value adjustment</w:t>
            </w:r>
          </w:p>
        </w:tc>
        <w:tc>
          <w:tcPr>
            <w:tcW w:w="2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0"/>
        </w:trPr>
        <w:tc>
          <w:tcPr>
            <w:tcW w:w="86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4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21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The Note has been reflected in Loan Receivable on the Consolidated balance sheet. No gain or loss was recognized as a result of the transaction. As of December 31, 2021 the Company reassessed the fair value of the note and there were no material changes.</w:t>
      </w:r>
    </w:p>
    <w:p>
      <w:pPr>
        <w:spacing w:after="0" w:line="19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connection with the PIK note, the Company recorded a CECL adjustment of $1.6 million which offset the current year accretion of the interest of $1.6 million.</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2019, changes to the STIN business led the Company to conclude that its collection of certain STIN receivables was no longer probable. Accordingly, the Company determined a contingency reserve was required, which included a reduction of revenue in the amount $26.0 million in the third quarter of 2019. The impacts of this change are reflected in the STIN affiliate revenue and accounts receivable.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52"/>
        </w:trPr>
        <w:tc>
          <w:tcPr>
            <w:tcW w:w="40" w:type="dxa"/>
            <w:vAlign w:val="bottom"/>
          </w:tcPr>
          <w:p>
            <w:pPr>
              <w:spacing w:after="0"/>
              <w:rPr>
                <w:sz w:val="24"/>
                <w:szCs w:val="24"/>
                <w:color w:val="auto"/>
              </w:rPr>
            </w:pPr>
          </w:p>
        </w:tc>
        <w:tc>
          <w:tcPr>
            <w:tcW w:w="8200" w:type="dxa"/>
            <w:vAlign w:val="bottom"/>
          </w:tcPr>
          <w:p>
            <w:pPr>
              <w:ind w:left="280"/>
              <w:spacing w:after="0"/>
              <w:rPr>
                <w:sz w:val="20"/>
                <w:szCs w:val="20"/>
                <w:color w:val="auto"/>
              </w:rPr>
            </w:pPr>
            <w:r>
              <w:rPr>
                <w:rFonts w:ascii="Arial" w:cs="Arial" w:eastAsia="Arial" w:hAnsi="Arial"/>
                <w:sz w:val="18"/>
                <w:szCs w:val="18"/>
                <w:color w:val="auto"/>
              </w:rPr>
              <w:t>Property and equipment consist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3"/>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8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89"/>
              </w:rPr>
              <w:t>2020</w:t>
            </w:r>
          </w:p>
        </w:tc>
      </w:tr>
      <w:tr>
        <w:trPr>
          <w:trHeight w:val="219"/>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184,145</w:t>
            </w:r>
          </w:p>
        </w:tc>
      </w:tr>
      <w:tr>
        <w:trPr>
          <w:trHeight w:val="225"/>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52,135</w:t>
            </w:r>
          </w:p>
        </w:tc>
      </w:tr>
      <w:tr>
        <w:trPr>
          <w:trHeight w:val="227"/>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w:t>
            </w:r>
          </w:p>
        </w:tc>
      </w:tr>
      <w:tr>
        <w:trPr>
          <w:trHeight w:val="225"/>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23,389</w:t>
            </w:r>
          </w:p>
        </w:tc>
      </w:tr>
      <w:tr>
        <w:trPr>
          <w:trHeight w:val="220"/>
        </w:trPr>
        <w:tc>
          <w:tcPr>
            <w:tcW w:w="40" w:type="dxa"/>
            <w:vAlign w:val="bottom"/>
          </w:tcPr>
          <w:p>
            <w:pPr>
              <w:spacing w:after="0"/>
              <w:rPr>
                <w:sz w:val="19"/>
                <w:szCs w:val="19"/>
                <w:color w:val="auto"/>
              </w:rPr>
            </w:pPr>
          </w:p>
        </w:tc>
        <w:tc>
          <w:tcPr>
            <w:tcW w:w="8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268,620</w:t>
            </w:r>
          </w:p>
        </w:tc>
      </w:tr>
      <w:tr>
        <w:trPr>
          <w:trHeight w:val="225"/>
        </w:trPr>
        <w:tc>
          <w:tcPr>
            <w:tcW w:w="4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(256,888)</w:t>
            </w:r>
          </w:p>
        </w:tc>
      </w:tr>
      <w:tr>
        <w:trPr>
          <w:trHeight w:val="245"/>
        </w:trPr>
        <w:tc>
          <w:tcPr>
            <w:tcW w:w="40" w:type="dxa"/>
            <w:vAlign w:val="bottom"/>
          </w:tcPr>
          <w:p>
            <w:pPr>
              <w:spacing w:after="0"/>
              <w:rPr>
                <w:sz w:val="20"/>
                <w:szCs w:val="20"/>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r>
      <w:tr>
        <w:trPr>
          <w:trHeight w:val="20"/>
        </w:trPr>
        <w:tc>
          <w:tcPr>
            <w:tcW w:w="40" w:type="dxa"/>
            <w:vAlign w:val="bottom"/>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Depreciation expense was approximately $6.5 million, $15.6 million and $43.5 million for the year ended December 31, 2021, 2020, and 2019, respectively. Amortization of property and equipment recorded under capital leases are included in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records goodwill which represents the excess of the purchase price over the fair value of assets acquired, including other definite-lived intangible assets. Goodwill is reviewed annually for impairment or upon the occurrence of events or changes in circumstances that would more likely than not reduce the fair value of the reporting unit below its carrying amount.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20" w:type="dxa"/>
            <w:vAlign w:val="bottom"/>
          </w:tcPr>
          <w:p>
            <w:pPr>
              <w:ind w:left="320"/>
              <w:spacing w:after="0"/>
              <w:rPr>
                <w:sz w:val="20"/>
                <w:szCs w:val="20"/>
                <w:color w:val="auto"/>
              </w:rPr>
            </w:pPr>
            <w:r>
              <w:rPr>
                <w:rFonts w:ascii="Arial" w:cs="Arial" w:eastAsia="Arial" w:hAnsi="Arial"/>
                <w:sz w:val="18"/>
                <w:szCs w:val="18"/>
                <w:color w:val="auto"/>
              </w:rPr>
              <w:t>The following table shows the adjustments to goodwill during 2021 and 2020:</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73"/>
        </w:trPr>
        <w:tc>
          <w:tcPr>
            <w:tcW w:w="9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Goodwill</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222,969</w:t>
            </w:r>
          </w:p>
        </w:tc>
      </w:tr>
      <w:tr>
        <w:trPr>
          <w:trHeight w:val="225"/>
        </w:trPr>
        <w:tc>
          <w:tcPr>
            <w:tcW w:w="9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adjustments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232,771</w:t>
            </w:r>
          </w:p>
        </w:tc>
      </w:tr>
      <w:tr>
        <w:trPr>
          <w:trHeight w:val="225"/>
        </w:trPr>
        <w:tc>
          <w:tcPr>
            <w:tcW w:w="9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adjustments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r>
      <w:tr>
        <w:trPr>
          <w:trHeight w:val="245"/>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224,577</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When performing its annual impairment test, the Company compares the fair value of each reporting unit to its carrying amount with the fair values derived from the market approach the income approach. Under the market approach, the Company estimates fair value based on market multiples of revenue and earnings derived from comparable publicly-traded companies with similar operating and investment characteristics as the reporting unit. The Company weights the fair value derived from the market approach depending on the level of comparability of these publicly-traded companies to the reporting unit. When market comparables are not meaningful or not available, the Company estimates the fair value of a reporting unit using only the income approach. Under the income approach, the Company estimates the fair value of a reporting unit based on the present value of estimated future cash flows. The Company bases cash flow projections on management’s estimates of revenue growth rates and operating margins, taking into consideration industry and market conditions. The Company bases the discount rate on the weighted-average cost of capital adjusted for the relevant risk associated with business-specific characteristics and the uncertainty related to the reporting unit’s ability to execute on the projected cash flows.</w:t>
      </w:r>
    </w:p>
    <w:p>
      <w:pPr>
        <w:spacing w:after="0" w:line="19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In order to assess the reasonableness of the estimated fair value of the Company’s reporting units,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 This re-evaluation could result in a change to the estimated fair value for certain or all reporting units. If the fair value of a reporting unit exceeds the carrying amount of the net assets assigned to that reporting unit, goodwill is not impaired.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recognized no goodwill impairment charges for the years ended December 31, 2021, 2020, and 2019.</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Company’s intangible assets with definite lives consist primarily of technology, capitalized software, trade names, and customer lists and relationships. These intangible assets are being amortized on the straight-line method over the estimated useful lives of the assets. Amortization expense related to intangible assets for the years ended December 31, 2021, 2020 and 2019 was $28.3 million, $27.0 million and $33.5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19"/>
        <w:spacing w:after="0" w:line="329" w:lineRule="auto"/>
        <w:rPr>
          <w:sz w:val="20"/>
          <w:szCs w:val="20"/>
          <w:color w:val="auto"/>
        </w:rPr>
      </w:pPr>
      <w:r>
        <w:rPr>
          <w:rFonts w:ascii="Arial" w:cs="Arial" w:eastAsia="Arial" w:hAnsi="Arial"/>
          <w:sz w:val="16"/>
          <w:szCs w:val="16"/>
          <w:color w:val="auto"/>
        </w:rPr>
        <w:t>The Company recognized impairment charges to its intangible assets of $1.3 million, $0.9 million and nil for the years ended December 31, 2021, 2020 and 2019 respectively. The Company includes these impairments within depreciation and amortization in its Consolidated Statements of Operations.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intangible assets consist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88"/>
              </w:rPr>
              <w:t>December 31, 2021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1"/>
              </w:rPr>
              <w:t>Accumulated</w:t>
            </w:r>
          </w:p>
        </w:tc>
        <w:tc>
          <w:tcPr>
            <w:tcW w:w="360" w:type="dxa"/>
            <w:vAlign w:val="bottom"/>
          </w:tcPr>
          <w:p>
            <w:pPr>
              <w:spacing w:after="0"/>
              <w:rPr>
                <w:sz w:val="13"/>
                <w:szCs w:val="13"/>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25"/>
        </w:trPr>
        <w:tc>
          <w:tcPr>
            <w:tcW w:w="6760" w:type="dxa"/>
            <w:vAlign w:val="bottom"/>
          </w:tcPr>
          <w:p>
            <w:pPr>
              <w:ind w:left="140"/>
              <w:spacing w:after="0"/>
              <w:rPr>
                <w:sz w:val="20"/>
                <w:szCs w:val="20"/>
                <w:color w:val="auto"/>
              </w:rPr>
            </w:pPr>
            <w:r>
              <w:rPr>
                <w:rFonts w:ascii="Arial" w:cs="Arial" w:eastAsia="Arial" w:hAnsi="Arial"/>
                <w:sz w:val="18"/>
                <w:szCs w:val="18"/>
                <w:color w:val="auto"/>
              </w:rPr>
              <w:t>Customer lists and relationships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21,730</w:t>
            </w:r>
          </w:p>
        </w:tc>
        <w:tc>
          <w:tcPr>
            <w:tcW w:w="0" w:type="dxa"/>
            <w:vAlign w:val="bottom"/>
          </w:tcPr>
          <w:p>
            <w:pPr>
              <w:spacing w:after="0"/>
              <w:rPr>
                <w:sz w:val="1"/>
                <w:szCs w:val="1"/>
                <w:color w:val="auto"/>
              </w:rPr>
            </w:pPr>
          </w:p>
        </w:tc>
      </w:tr>
      <w:tr>
        <w:trPr>
          <w:trHeight w:val="227"/>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software and patents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Trade name</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7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88"/>
              </w:rPr>
              <w:t>December 31, 2020</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1"/>
              </w:rPr>
              <w:t>Accumulated</w:t>
            </w:r>
          </w:p>
        </w:tc>
        <w:tc>
          <w:tcPr>
            <w:tcW w:w="360" w:type="dxa"/>
            <w:vAlign w:val="bottom"/>
          </w:tcPr>
          <w:p>
            <w:pPr>
              <w:spacing w:after="0"/>
              <w:rPr>
                <w:sz w:val="13"/>
                <w:szCs w:val="13"/>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25"/>
        </w:trPr>
        <w:tc>
          <w:tcPr>
            <w:tcW w:w="6760" w:type="dxa"/>
            <w:vAlign w:val="bottom"/>
          </w:tcPr>
          <w:p>
            <w:pPr>
              <w:ind w:left="140"/>
              <w:spacing w:after="0"/>
              <w:rPr>
                <w:sz w:val="20"/>
                <w:szCs w:val="20"/>
                <w:color w:val="auto"/>
              </w:rPr>
            </w:pPr>
            <w:r>
              <w:rPr>
                <w:rFonts w:ascii="Arial" w:cs="Arial" w:eastAsia="Arial" w:hAnsi="Arial"/>
                <w:sz w:val="18"/>
                <w:szCs w:val="18"/>
                <w:color w:val="auto"/>
              </w:rPr>
              <w:t>Customer lists and relationships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30,032</w:t>
            </w:r>
          </w:p>
        </w:tc>
        <w:tc>
          <w:tcPr>
            <w:tcW w:w="0" w:type="dxa"/>
            <w:vAlign w:val="bottom"/>
          </w:tcPr>
          <w:p>
            <w:pPr>
              <w:spacing w:after="0"/>
              <w:rPr>
                <w:sz w:val="1"/>
                <w:szCs w:val="1"/>
                <w:color w:val="auto"/>
              </w:rPr>
            </w:pPr>
          </w:p>
        </w:tc>
      </w:tr>
      <w:tr>
        <w:trPr>
          <w:trHeight w:val="227"/>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software and patents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Trade name</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280" w:type="dxa"/>
            <w:vAlign w:val="bottom"/>
            <w:gridSpan w:val="2"/>
          </w:tcPr>
          <w:p>
            <w:pPr>
              <w:ind w:left="320"/>
              <w:spacing w:after="0"/>
              <w:rPr>
                <w:sz w:val="20"/>
                <w:szCs w:val="20"/>
                <w:color w:val="auto"/>
              </w:rPr>
            </w:pPr>
            <w:r>
              <w:rPr>
                <w:rFonts w:ascii="Arial" w:cs="Arial" w:eastAsia="Arial" w:hAnsi="Arial"/>
                <w:sz w:val="18"/>
                <w:szCs w:val="18"/>
                <w:color w:val="auto"/>
                <w:w w:val="89"/>
              </w:rPr>
              <w:t>Estimated future amortization expense of its intangible assets for the next five years is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760" w:type="dxa"/>
            <w:vAlign w:val="bottom"/>
          </w:tcPr>
          <w:p>
            <w:pPr>
              <w:ind w:left="140"/>
              <w:spacing w:after="0"/>
              <w:rPr>
                <w:sz w:val="20"/>
                <w:szCs w:val="20"/>
                <w:color w:val="auto"/>
              </w:rPr>
            </w:pPr>
            <w:r>
              <w:rPr>
                <w:rFonts w:ascii="Arial" w:cs="Arial" w:eastAsia="Arial" w:hAnsi="Arial"/>
                <w:sz w:val="16"/>
                <w:szCs w:val="16"/>
                <w:b w:val="1"/>
                <w:bCs w:val="1"/>
                <w:color w:val="auto"/>
              </w:rPr>
              <w:t>Year</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0" w:type="dxa"/>
            <w:vAlign w:val="bottom"/>
          </w:tcPr>
          <w:p>
            <w:pPr>
              <w:spacing w:after="0"/>
              <w:rPr>
                <w:sz w:val="1"/>
                <w:szCs w:val="1"/>
                <w:color w:val="auto"/>
              </w:rPr>
            </w:pPr>
          </w:p>
        </w:tc>
      </w:tr>
      <w:tr>
        <w:trPr>
          <w:trHeight w:val="225"/>
        </w:trPr>
        <w:tc>
          <w:tcPr>
            <w:tcW w:w="6760" w:type="dxa"/>
            <w:vAlign w:val="bottom"/>
          </w:tcPr>
          <w:p>
            <w:pPr>
              <w:ind w:left="14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13,212</w:t>
            </w:r>
          </w:p>
        </w:tc>
        <w:tc>
          <w:tcPr>
            <w:tcW w:w="0" w:type="dxa"/>
            <w:vAlign w:val="bottom"/>
          </w:tcPr>
          <w:p>
            <w:pPr>
              <w:spacing w:after="0"/>
              <w:rPr>
                <w:sz w:val="1"/>
                <w:szCs w:val="1"/>
                <w:color w:val="auto"/>
              </w:rPr>
            </w:pPr>
          </w:p>
        </w:tc>
      </w:tr>
      <w:tr>
        <w:trPr>
          <w:trHeight w:val="227"/>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25"/>
        </w:trPr>
        <w:tc>
          <w:tcPr>
            <w:tcW w:w="6760" w:type="dxa"/>
            <w:vAlign w:val="bottom"/>
          </w:tcPr>
          <w:p>
            <w:pPr>
              <w:ind w:left="14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27"/>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0"/>
                <w:szCs w:val="20"/>
                <w:color w:val="auto"/>
                <w:vertAlign w:val="superscript"/>
              </w:rPr>
              <w:t>1</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41" w:lineRule="exact"/>
        <w:rPr>
          <w:sz w:val="20"/>
          <w:szCs w:val="20"/>
          <w:color w:val="auto"/>
        </w:rPr>
      </w:pPr>
    </w:p>
    <w:p>
      <w:pPr>
        <w:ind w:left="320" w:hanging="314"/>
        <w:spacing w:after="0" w:line="227" w:lineRule="auto"/>
        <w:tabs>
          <w:tab w:leader="none" w:pos="287"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As of December 31, 2021, the Company had $10.6 million of capitalized software costs that are currently in the development stage. Amortization of these costs will begin once the software projects are complete and ready for their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expenses consist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6"/>
        </w:trPr>
        <w:tc>
          <w:tcPr>
            <w:tcW w:w="82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benefits</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29,773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28,172</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Accrued professional service fees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5,344</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telecommunications and hosting</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Accrued income taxes payable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preferred dividend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Accrued operating lease liabilities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10,078</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third party tech services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r>
      <w:tr>
        <w:trPr>
          <w:trHeight w:val="225"/>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11,755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w:t>
            </w: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61,916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2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is party to certain sublease arrangements, primarily related to the Company’s real estate leases, where it acts as the lessee and intermediate lessor. The Company does not have material sublease arrangements.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tcPr>
          <w:p>
            <w:pPr>
              <w:ind w:left="32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December 31, 2021:</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21"/>
        </w:trPr>
        <w:tc>
          <w:tcPr>
            <w:tcW w:w="9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800" w:type="dxa"/>
            <w:vAlign w:val="bottom"/>
          </w:tcPr>
          <w:p>
            <w:pPr>
              <w:ind w:left="140"/>
              <w:spacing w:after="0"/>
              <w:rPr>
                <w:sz w:val="20"/>
                <w:szCs w:val="20"/>
                <w:color w:val="auto"/>
              </w:rPr>
            </w:pPr>
            <w:r>
              <w:rPr>
                <w:rFonts w:ascii="Arial" w:cs="Arial" w:eastAsia="Arial" w:hAnsi="Arial"/>
                <w:sz w:val="18"/>
                <w:szCs w:val="18"/>
                <w:color w:val="auto"/>
              </w:rPr>
              <w:t>Non-current operating lease ROU assets</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26,399</w:t>
            </w:r>
          </w:p>
        </w:tc>
      </w:tr>
      <w:tr>
        <w:trPr>
          <w:trHeight w:val="267"/>
        </w:trPr>
        <w:tc>
          <w:tcPr>
            <w:tcW w:w="98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98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Current operating lease liabilities</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r>
      <w:tr>
        <w:trPr>
          <w:trHeight w:val="225"/>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35,578</w:t>
            </w:r>
          </w:p>
        </w:tc>
      </w:tr>
      <w:tr>
        <w:trPr>
          <w:trHeight w:val="24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64" w:lineRule="exact"/>
        <w:rPr>
          <w:sz w:val="20"/>
          <w:szCs w:val="20"/>
          <w:color w:val="auto"/>
        </w:rPr>
      </w:pPr>
    </w:p>
    <w:p>
      <w:pPr>
        <w:ind w:left="240" w:hanging="234"/>
        <w:spacing w:after="0"/>
        <w:tabs>
          <w:tab w:leader="none" w:pos="24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Amounts are included in Accrued Expenses on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0" w:type="dxa"/>
        <w:tblCellMar>
          <w:top w:w="0" w:type="dxa"/>
          <w:left w:w="0" w:type="dxa"/>
          <w:bottom w:w="0" w:type="dxa"/>
          <w:right w:w="0" w:type="dxa"/>
        </w:tblCellMar>
      </w:tblPr>
      <w:tr>
        <w:trPr>
          <w:trHeight w:val="224"/>
        </w:trPr>
        <w:tc>
          <w:tcPr>
            <w:tcW w:w="9800" w:type="dxa"/>
            <w:vAlign w:val="bottom"/>
          </w:tcPr>
          <w:p>
            <w:pPr>
              <w:ind w:left="320"/>
              <w:spacing w:after="0"/>
              <w:rPr>
                <w:sz w:val="20"/>
                <w:szCs w:val="20"/>
                <w:color w:val="auto"/>
              </w:rPr>
            </w:pPr>
            <w:r>
              <w:rPr>
                <w:rFonts w:ascii="Arial" w:cs="Arial" w:eastAsia="Arial" w:hAnsi="Arial"/>
                <w:sz w:val="18"/>
                <w:szCs w:val="18"/>
                <w:color w:val="auto"/>
                <w:w w:val="96"/>
              </w:rPr>
              <w:t>The following table presents information about lease expense and sublease income for the year ended December 31, 2021:</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21"/>
        </w:trPr>
        <w:tc>
          <w:tcPr>
            <w:tcW w:w="9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26"/>
        </w:trPr>
        <w:tc>
          <w:tcPr>
            <w:tcW w:w="98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0"/>
                <w:szCs w:val="20"/>
                <w:color w:val="auto"/>
                <w:vertAlign w:val="superscript"/>
              </w:rPr>
              <w:t>1</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Other lease costs and income:</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9800" w:type="dxa"/>
            <w:vAlign w:val="bottom"/>
            <w:shd w:val="clear" w:color="auto" w:fill="CCEEFF"/>
          </w:tcPr>
          <w:p>
            <w:pPr>
              <w:ind w:left="240"/>
              <w:spacing w:after="0" w:line="227"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0"/>
                <w:szCs w:val="20"/>
                <w:color w:val="auto"/>
                <w:vertAlign w:val="superscript"/>
              </w:rPr>
              <w:t>1 2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Operating lease impairments/remeasurements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27"/>
        </w:trPr>
        <w:tc>
          <w:tcPr>
            <w:tcW w:w="9800" w:type="dxa"/>
            <w:vAlign w:val="bottom"/>
            <w:shd w:val="clear" w:color="auto" w:fill="CCEEFF"/>
          </w:tcPr>
          <w:p>
            <w:pPr>
              <w:ind w:left="240"/>
              <w:spacing w:after="0" w:line="227" w:lineRule="exact"/>
              <w:rPr>
                <w:sz w:val="20"/>
                <w:szCs w:val="20"/>
                <w:color w:val="auto"/>
              </w:rPr>
            </w:pPr>
            <w:r>
              <w:rPr>
                <w:rFonts w:ascii="Arial" w:cs="Arial" w:eastAsia="Arial" w:hAnsi="Arial"/>
                <w:sz w:val="18"/>
                <w:szCs w:val="18"/>
                <w:color w:val="auto"/>
              </w:rPr>
              <w:t>Sublease income</w:t>
            </w:r>
            <w:r>
              <w:rPr>
                <w:rFonts w:ascii="Arial" w:cs="Arial" w:eastAsia="Arial" w:hAnsi="Arial"/>
                <w:sz w:val="20"/>
                <w:szCs w:val="20"/>
                <w:color w:val="auto"/>
                <w:vertAlign w:val="superscript"/>
              </w:rPr>
              <w:t>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r>
      <w:tr>
        <w:trPr>
          <w:trHeight w:val="219"/>
        </w:trPr>
        <w:tc>
          <w:tcPr>
            <w:tcW w:w="980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________________________________</w:t>
      </w:r>
    </w:p>
    <w:p>
      <w:pPr>
        <w:spacing w:after="0" w:line="101" w:lineRule="exact"/>
        <w:rPr>
          <w:sz w:val="20"/>
          <w:szCs w:val="20"/>
          <w:color w:val="auto"/>
        </w:rPr>
      </w:pPr>
    </w:p>
    <w:p>
      <w:pPr>
        <w:ind w:left="420" w:hanging="314"/>
        <w:spacing w:after="0" w:line="220" w:lineRule="auto"/>
        <w:tabs>
          <w:tab w:leader="none" w:pos="347"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Amounts are included in Cost of revenues, Selling, general and administrative and/or Research and development based on the function that each underlying leased asset supports. This is reflected in the Consolidated Statements of Operations.</w:t>
      </w:r>
    </w:p>
    <w:p>
      <w:pPr>
        <w:spacing w:after="0" w:line="75" w:lineRule="exact"/>
        <w:rPr>
          <w:sz w:val="20"/>
          <w:szCs w:val="20"/>
          <w:color w:val="auto"/>
        </w:rPr>
      </w:pPr>
    </w:p>
    <w:p>
      <w:pPr>
        <w:ind w:left="420" w:hanging="314"/>
        <w:spacing w:after="0" w:line="232" w:lineRule="auto"/>
        <w:tabs>
          <w:tab w:leader="none" w:pos="346"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As part of the Company’s in year cost savings initiatives, the Company closed certain office spaces and terminated various lease agreements. These actions resulted in a $1.4 million ROU asset impairment charge, which was determined by the present value of the forecasted future cash flows for the remaining lease term.</w:t>
      </w:r>
    </w:p>
    <w:p>
      <w:pPr>
        <w:spacing w:after="0" w:line="220" w:lineRule="exact"/>
        <w:rPr>
          <w:sz w:val="20"/>
          <w:szCs w:val="20"/>
          <w:color w:val="auto"/>
        </w:rPr>
      </w:pPr>
    </w:p>
    <w:p>
      <w:pPr>
        <w:jc w:val="both"/>
        <w:ind w:left="100" w:firstLine="319"/>
        <w:spacing w:after="0" w:line="256" w:lineRule="auto"/>
        <w:rPr>
          <w:sz w:val="20"/>
          <w:szCs w:val="20"/>
          <w:color w:val="auto"/>
        </w:rPr>
      </w:pPr>
      <w:r>
        <w:rPr>
          <w:rFonts w:ascii="Arial" w:cs="Arial" w:eastAsia="Arial" w:hAnsi="Arial"/>
          <w:sz w:val="18"/>
          <w:szCs w:val="18"/>
          <w:color w:val="auto"/>
        </w:rPr>
        <w:t>The following table provides the undiscounted amount of future cash flows included in the Company’s lease liabilities at December 31, 2021 for each of the five years subsequent to December 31, 2021 and thereafter, as well as a reconciliation of such undiscounted cash flows to the Company’s lease liabilities at December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6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w w:val="88"/>
              </w:rPr>
              <w:t>Operating Leases</w:t>
            </w:r>
          </w:p>
        </w:tc>
      </w:tr>
      <w:tr>
        <w:trPr>
          <w:trHeight w:val="219"/>
        </w:trPr>
        <w:tc>
          <w:tcPr>
            <w:tcW w:w="6580" w:type="dxa"/>
            <w:vAlign w:val="bottom"/>
            <w:gridSpan w:val="2"/>
          </w:tcPr>
          <w:p>
            <w:pPr>
              <w:spacing w:after="0"/>
              <w:rPr>
                <w:sz w:val="20"/>
                <w:szCs w:val="20"/>
                <w:color w:val="auto"/>
              </w:rPr>
            </w:pPr>
            <w:r>
              <w:rPr>
                <w:rFonts w:ascii="Arial" w:cs="Arial" w:eastAsia="Arial" w:hAnsi="Arial"/>
                <w:sz w:val="18"/>
                <w:szCs w:val="18"/>
                <w:color w:val="auto"/>
              </w:rPr>
              <w:t>022</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10,558</w:t>
            </w:r>
          </w:p>
        </w:tc>
      </w:tr>
      <w:tr>
        <w:trPr>
          <w:trHeight w:val="226"/>
        </w:trPr>
        <w:tc>
          <w:tcPr>
            <w:tcW w:w="6580" w:type="dxa"/>
            <w:vAlign w:val="bottom"/>
            <w:gridSpan w:val="2"/>
          </w:tcPr>
          <w:p>
            <w:pPr>
              <w:spacing w:after="0"/>
              <w:rPr>
                <w:sz w:val="20"/>
                <w:szCs w:val="20"/>
                <w:color w:val="auto"/>
              </w:rPr>
            </w:pPr>
            <w:r>
              <w:rPr>
                <w:rFonts w:ascii="Arial" w:cs="Arial" w:eastAsia="Arial" w:hAnsi="Arial"/>
                <w:sz w:val="18"/>
                <w:szCs w:val="18"/>
                <w:color w:val="auto"/>
              </w:rPr>
              <w:t>023</w:t>
            </w:r>
          </w:p>
        </w:tc>
        <w:tc>
          <w:tcPr>
            <w:tcW w:w="28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8,481</w:t>
            </w:r>
          </w:p>
        </w:tc>
      </w:tr>
      <w:tr>
        <w:trPr>
          <w:trHeight w:val="226"/>
        </w:trPr>
        <w:tc>
          <w:tcPr>
            <w:tcW w:w="6580" w:type="dxa"/>
            <w:vAlign w:val="bottom"/>
            <w:gridSpan w:val="2"/>
          </w:tcPr>
          <w:p>
            <w:pPr>
              <w:spacing w:after="0"/>
              <w:rPr>
                <w:sz w:val="20"/>
                <w:szCs w:val="20"/>
                <w:color w:val="auto"/>
              </w:rPr>
            </w:pPr>
            <w:r>
              <w:rPr>
                <w:rFonts w:ascii="Arial" w:cs="Arial" w:eastAsia="Arial" w:hAnsi="Arial"/>
                <w:sz w:val="18"/>
                <w:szCs w:val="18"/>
                <w:color w:val="auto"/>
              </w:rPr>
              <w:t>024</w:t>
            </w:r>
          </w:p>
        </w:tc>
        <w:tc>
          <w:tcPr>
            <w:tcW w:w="28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8,325</w:t>
            </w:r>
          </w:p>
        </w:tc>
      </w:tr>
      <w:tr>
        <w:trPr>
          <w:trHeight w:val="226"/>
        </w:trPr>
        <w:tc>
          <w:tcPr>
            <w:tcW w:w="6580" w:type="dxa"/>
            <w:vAlign w:val="bottom"/>
            <w:gridSpan w:val="2"/>
          </w:tcPr>
          <w:p>
            <w:pPr>
              <w:spacing w:after="0"/>
              <w:rPr>
                <w:sz w:val="20"/>
                <w:szCs w:val="20"/>
                <w:color w:val="auto"/>
              </w:rPr>
            </w:pPr>
            <w:r>
              <w:rPr>
                <w:rFonts w:ascii="Arial" w:cs="Arial" w:eastAsia="Arial" w:hAnsi="Arial"/>
                <w:sz w:val="18"/>
                <w:szCs w:val="18"/>
                <w:color w:val="auto"/>
              </w:rPr>
              <w:t>025</w:t>
            </w:r>
          </w:p>
        </w:tc>
        <w:tc>
          <w:tcPr>
            <w:tcW w:w="28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8,162</w:t>
            </w:r>
          </w:p>
        </w:tc>
      </w:tr>
      <w:tr>
        <w:trPr>
          <w:trHeight w:val="226"/>
        </w:trPr>
        <w:tc>
          <w:tcPr>
            <w:tcW w:w="6580" w:type="dxa"/>
            <w:vAlign w:val="bottom"/>
            <w:gridSpan w:val="2"/>
          </w:tcPr>
          <w:p>
            <w:pPr>
              <w:spacing w:after="0"/>
              <w:rPr>
                <w:sz w:val="20"/>
                <w:szCs w:val="20"/>
                <w:color w:val="auto"/>
              </w:rPr>
            </w:pPr>
            <w:r>
              <w:rPr>
                <w:rFonts w:ascii="Arial" w:cs="Arial" w:eastAsia="Arial" w:hAnsi="Arial"/>
                <w:sz w:val="18"/>
                <w:szCs w:val="18"/>
                <w:color w:val="auto"/>
              </w:rPr>
              <w:t>026</w:t>
            </w:r>
          </w:p>
        </w:tc>
        <w:tc>
          <w:tcPr>
            <w:tcW w:w="28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7,988</w:t>
            </w:r>
          </w:p>
        </w:tc>
      </w:tr>
      <w:tr>
        <w:trPr>
          <w:trHeight w:val="22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hereafter</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r>
      <w:tr>
        <w:trPr>
          <w:trHeight w:val="219"/>
        </w:trPr>
        <w:tc>
          <w:tcPr>
            <w:tcW w:w="6580" w:type="dxa"/>
            <w:vAlign w:val="bottom"/>
            <w:gridSpan w:val="2"/>
          </w:tcPr>
          <w:p>
            <w:pPr>
              <w:spacing w:after="0"/>
              <w:rPr>
                <w:sz w:val="20"/>
                <w:szCs w:val="20"/>
                <w:color w:val="auto"/>
              </w:rPr>
            </w:pPr>
            <w:r>
              <w:rPr>
                <w:rFonts w:ascii="Arial" w:cs="Arial" w:eastAsia="Arial" w:hAnsi="Arial"/>
                <w:sz w:val="18"/>
                <w:szCs w:val="18"/>
                <w:color w:val="auto"/>
              </w:rPr>
              <w:t>tal future lease payments</w:t>
            </w:r>
          </w:p>
        </w:tc>
        <w:tc>
          <w:tcPr>
            <w:tcW w:w="28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54,029</w:t>
            </w:r>
          </w:p>
        </w:tc>
      </w:tr>
      <w:tr>
        <w:trPr>
          <w:trHeight w:val="227"/>
        </w:trPr>
        <w:tc>
          <w:tcPr>
            <w:tcW w:w="6580" w:type="dxa"/>
            <w:vAlign w:val="bottom"/>
            <w:gridSpan w:val="2"/>
          </w:tcPr>
          <w:p>
            <w:pPr>
              <w:spacing w:after="0"/>
              <w:rPr>
                <w:sz w:val="20"/>
                <w:szCs w:val="20"/>
                <w:color w:val="auto"/>
              </w:rPr>
            </w:pPr>
            <w:r>
              <w:rPr>
                <w:rFonts w:ascii="Arial" w:cs="Arial" w:eastAsia="Arial" w:hAnsi="Arial"/>
                <w:sz w:val="18"/>
                <w:szCs w:val="18"/>
                <w:color w:val="auto"/>
              </w:rPr>
              <w:t>ss: amount representing interest</w:t>
            </w:r>
          </w:p>
        </w:tc>
        <w:tc>
          <w:tcPr>
            <w:tcW w:w="28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(10,960)</w:t>
            </w:r>
          </w:p>
        </w:tc>
      </w:tr>
      <w:tr>
        <w:trPr>
          <w:trHeight w:val="245"/>
        </w:trPr>
        <w:tc>
          <w:tcPr>
            <w:tcW w:w="100" w:type="dxa"/>
            <w:vAlign w:val="bottom"/>
          </w:tcPr>
          <w:p>
            <w:pPr>
              <w:spacing w:after="0"/>
              <w:rPr>
                <w:sz w:val="20"/>
                <w:szCs w:val="20"/>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lease payments (lease liability)</w:t>
            </w:r>
          </w:p>
        </w:tc>
        <w:tc>
          <w:tcPr>
            <w:tcW w:w="2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43,069</w:t>
            </w:r>
          </w:p>
        </w:tc>
      </w:tr>
      <w:tr>
        <w:trPr>
          <w:trHeight w:val="20"/>
        </w:trPr>
        <w:tc>
          <w:tcPr>
            <w:tcW w:w="10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-1350010</wp:posOffset>
            </wp:positionV>
            <wp:extent cx="6931660" cy="151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31660" cy="15176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-1054735</wp:posOffset>
            </wp:positionV>
            <wp:extent cx="6931660" cy="143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31660" cy="14351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-767715</wp:posOffset>
            </wp:positionV>
            <wp:extent cx="6931660" cy="143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31660" cy="14351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-480695</wp:posOffset>
            </wp:positionV>
            <wp:extent cx="6931660" cy="151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31660" cy="151765"/>
                    </a:xfrm>
                    <a:prstGeom prst="rect">
                      <a:avLst/>
                    </a:prstGeom>
                    <a:noFill/>
                  </pic:spPr>
                </pic:pic>
              </a:graphicData>
            </a:graphic>
          </wp:anchor>
        </w:drawing>
      </w:r>
    </w:p>
    <w:p>
      <w:pPr>
        <w:spacing w:after="0" w:line="287" w:lineRule="exact"/>
        <w:rPr>
          <w:sz w:val="20"/>
          <w:szCs w:val="20"/>
          <w:color w:val="auto"/>
        </w:rPr>
      </w:pPr>
    </w:p>
    <w:p>
      <w:pPr>
        <w:ind w:left="100" w:firstLine="319"/>
        <w:spacing w:after="0" w:line="266" w:lineRule="auto"/>
        <w:rPr>
          <w:sz w:val="20"/>
          <w:szCs w:val="20"/>
          <w:color w:val="auto"/>
        </w:rPr>
      </w:pPr>
      <w:r>
        <w:rPr>
          <w:rFonts w:ascii="Arial" w:cs="Arial" w:eastAsia="Arial" w:hAnsi="Arial"/>
          <w:sz w:val="18"/>
          <w:szCs w:val="18"/>
          <w:color w:val="auto"/>
        </w:rPr>
        <w:t>The following table provides the weighted-average remaining lease term and weighted-average discount rates for the Company’s leases as of December 31, 2021:</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980" w:type="dxa"/>
            <w:vAlign w:val="bottom"/>
            <w:shd w:val="clear" w:color="auto" w:fill="CCEEFF"/>
          </w:tcPr>
          <w:p>
            <w:pPr>
              <w:spacing w:after="0"/>
              <w:rPr>
                <w:sz w:val="19"/>
                <w:szCs w:val="19"/>
                <w:color w:val="auto"/>
              </w:rPr>
            </w:pPr>
          </w:p>
        </w:tc>
      </w:tr>
      <w:tr>
        <w:trPr>
          <w:trHeight w:val="225"/>
        </w:trPr>
        <w:tc>
          <w:tcPr>
            <w:tcW w:w="9260" w:type="dxa"/>
            <w:vAlign w:val="bottom"/>
          </w:tcPr>
          <w:p>
            <w:pPr>
              <w:ind w:left="14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198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27"/>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bl>
    <w:p>
      <w:pPr>
        <w:spacing w:after="0" w:line="3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the Company’s lease liabilities for the year ended</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December 31, 2021:</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48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13,244</w:t>
            </w:r>
          </w:p>
        </w:tc>
      </w:tr>
      <w:tr>
        <w:trPr>
          <w:trHeight w:val="227"/>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 arising from obtaining right-of-use assets</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66040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2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2021 Senior Notes due 2026</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21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8"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6"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6"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9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amounts of the Company’s borrowings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Senior Notes</w:t>
            </w:r>
          </w:p>
        </w:tc>
        <w:tc>
          <w:tcPr>
            <w:tcW w:w="15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2"/>
              </w:rPr>
              <w:t>December 31, 2021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r>
      <w:tr>
        <w:trPr>
          <w:trHeight w:val="22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Non-convertible 8.375% Senior Notes due 2026</w:t>
            </w: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141,077</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Unamortized discount and debt issuance cost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Senior Notes</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issuance are deferred and amortized into interest expense using the effective interest method.</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total fair value of the outstanding Senior Notes was $134.1 million as of December 31, 2021. The Company is in compliance with its debt covenants as of December 31,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Convertible Senior Notes due 2019</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August 12, 2014, the Company issued $230.0 million aggregate principal amount of its 0.75% Convertible Senior Notes due in 2019 (the “2019 Notes”). The 2019 Notes were paid at maturity on August 15, 2019. The 2019 Notes bore an interest rate of 0.75% per annum payable semi-annually in arrears on February 15 and August 15 of each year. The Company accounted for the $230.0 million face value of the debt as a liability and capitalized approximately $7.1 million of financing fees, related to the issuance.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0.0%.</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June 30, 2021, the Company paid off the outstanding balance and closed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60" w:right="238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2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52"/>
        </w:trPr>
        <w:tc>
          <w:tcPr>
            <w:tcW w:w="6420" w:type="dxa"/>
            <w:vAlign w:val="bottom"/>
          </w:tcPr>
          <w:p>
            <w:pPr>
              <w:ind w:left="320"/>
              <w:spacing w:after="0"/>
              <w:rPr>
                <w:sz w:val="20"/>
                <w:szCs w:val="20"/>
                <w:color w:val="auto"/>
              </w:rPr>
            </w:pPr>
            <w:r>
              <w:rPr>
                <w:rFonts w:ascii="Arial" w:cs="Arial" w:eastAsia="Arial" w:hAnsi="Arial"/>
                <w:sz w:val="18"/>
                <w:szCs w:val="18"/>
                <w:color w:val="auto"/>
              </w:rPr>
              <w:t>The following table summarizes the Company’s interest expense:</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6"/>
        </w:trPr>
        <w:tc>
          <w:tcPr>
            <w:tcW w:w="64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Twelve Months Ended December 31,</w:t>
            </w:r>
          </w:p>
        </w:tc>
        <w:tc>
          <w:tcPr>
            <w:tcW w:w="960" w:type="dxa"/>
            <w:vAlign w:val="bottom"/>
            <w:tcBorders>
              <w:bottom w:val="single" w:sz="8" w:color="auto"/>
            </w:tcBorders>
          </w:tcPr>
          <w:p>
            <w:pPr>
              <w:spacing w:after="0"/>
              <w:rPr>
                <w:sz w:val="24"/>
                <w:szCs w:val="24"/>
                <w:color w:val="auto"/>
              </w:rPr>
            </w:pPr>
          </w:p>
        </w:tc>
      </w:tr>
      <w:tr>
        <w:trPr>
          <w:trHeight w:val="220"/>
        </w:trPr>
        <w:tc>
          <w:tcPr>
            <w:tcW w:w="64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9"/>
              </w:rPr>
              <w:t>2019</w:t>
            </w:r>
          </w:p>
        </w:tc>
      </w:tr>
      <w:tr>
        <w:trPr>
          <w:trHeight w:val="206"/>
        </w:trPr>
        <w:tc>
          <w:tcPr>
            <w:tcW w:w="6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2021 Non-Convertible Senior Notes due 2026:</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5"/>
        </w:trPr>
        <w:tc>
          <w:tcPr>
            <w:tcW w:w="642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tcPr>
          <w:p>
            <w:pPr>
              <w:jc w:val="right"/>
              <w:ind w:right="79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20" w:type="dxa"/>
            <w:vAlign w:val="bottom"/>
          </w:tcPr>
          <w:p>
            <w:pPr>
              <w:ind w:left="220"/>
              <w:spacing w:after="0"/>
              <w:rPr>
                <w:sz w:val="20"/>
                <w:szCs w:val="20"/>
                <w:color w:val="auto"/>
              </w:rPr>
            </w:pPr>
            <w:r>
              <w:rPr>
                <w:rFonts w:ascii="Arial" w:cs="Arial" w:eastAsia="Arial" w:hAnsi="Arial"/>
                <w:sz w:val="18"/>
                <w:szCs w:val="18"/>
                <w:color w:val="auto"/>
              </w:rPr>
              <w:t>Amortization of debt discount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Convertible Senior Notes due 2019:</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642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7"/>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2019 Revolving Credit Facility :</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6420" w:type="dxa"/>
            <w:vAlign w:val="bottom"/>
          </w:tcPr>
          <w:p>
            <w:pPr>
              <w:ind w:left="220"/>
              <w:spacing w:after="0"/>
              <w:rPr>
                <w:sz w:val="20"/>
                <w:szCs w:val="20"/>
                <w:color w:val="auto"/>
              </w:rPr>
            </w:pPr>
            <w:r>
              <w:rPr>
                <w:rFonts w:ascii="Arial" w:cs="Arial" w:eastAsia="Arial" w:hAnsi="Arial"/>
                <w:sz w:val="18"/>
                <w:szCs w:val="18"/>
                <w:color w:val="auto"/>
              </w:rPr>
              <w:t>Commitment fee</w:t>
            </w: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4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 / Income</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accumulated other comprehensive (loss) income during the years ended December 31,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Balance at 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Other comprehensive</w:t>
            </w: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Tax effect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Balance at December 31,</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291"/>
              <w:spacing w:after="0"/>
              <w:rPr>
                <w:sz w:val="20"/>
                <w:szCs w:val="20"/>
                <w:color w:val="auto"/>
              </w:rPr>
            </w:pPr>
            <w:r>
              <w:rPr>
                <w:rFonts w:ascii="Arial" w:cs="Arial" w:eastAsia="Arial" w:hAnsi="Arial"/>
                <w:sz w:val="12"/>
                <w:szCs w:val="12"/>
                <w:b w:val="1"/>
                <w:bCs w:val="1"/>
                <w:color w:val="auto"/>
                <w:w w:val="89"/>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(loss) income</w:t>
            </w:r>
          </w:p>
        </w:tc>
        <w:tc>
          <w:tcPr>
            <w:tcW w:w="10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71"/>
              <w:spacing w:after="0"/>
              <w:rPr>
                <w:sz w:val="20"/>
                <w:szCs w:val="20"/>
                <w:color w:val="auto"/>
              </w:rPr>
            </w:pPr>
            <w:r>
              <w:rPr>
                <w:rFonts w:ascii="Arial" w:cs="Arial" w:eastAsia="Arial" w:hAnsi="Arial"/>
                <w:sz w:val="12"/>
                <w:szCs w:val="12"/>
                <w:b w:val="1"/>
                <w:bCs w:val="1"/>
                <w:color w:val="auto"/>
                <w:w w:val="97"/>
              </w:rPr>
              <w:t>2021</w:t>
            </w:r>
          </w:p>
        </w:tc>
        <w:tc>
          <w:tcPr>
            <w:tcW w:w="0" w:type="dxa"/>
            <w:vAlign w:val="bottom"/>
          </w:tcPr>
          <w:p>
            <w:pPr>
              <w:spacing w:after="0"/>
              <w:rPr>
                <w:sz w:val="1"/>
                <w:szCs w:val="1"/>
                <w:color w:val="auto"/>
              </w:rPr>
            </w:pPr>
          </w:p>
        </w:tc>
      </w:tr>
      <w:tr>
        <w:trPr>
          <w:trHeight w:val="18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w:t>
            </w:r>
          </w:p>
        </w:tc>
        <w:tc>
          <w:tcPr>
            <w:tcW w:w="340" w:type="dxa"/>
            <w:vAlign w:val="bottom"/>
            <w:tcBorders>
              <w:top w:val="single" w:sz="8" w:color="auto"/>
            </w:tcBorders>
            <w:gridSpan w:val="2"/>
            <w:shd w:val="clear" w:color="auto" w:fill="CCEEFF"/>
          </w:tcPr>
          <w:p>
            <w:pPr>
              <w:jc w:val="right"/>
              <w:ind w:right="193"/>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(29,350)</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loss on intra-entity foreign currency transactions</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gridSpan w:val="2"/>
            <w:shd w:val="clear" w:color="auto" w:fill="CCEEFF"/>
          </w:tcPr>
          <w:p>
            <w:pPr>
              <w:jc w:val="right"/>
              <w:ind w:right="193"/>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(32,985)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3"/>
              </w:rPr>
              <w:t>Balance at 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Other comprehensive</w:t>
            </w: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Tax effect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Balance at December 31,</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251"/>
              <w:spacing w:after="0"/>
              <w:rPr>
                <w:sz w:val="20"/>
                <w:szCs w:val="20"/>
                <w:color w:val="auto"/>
              </w:rPr>
            </w:pPr>
            <w:r>
              <w:rPr>
                <w:rFonts w:ascii="Arial" w:cs="Arial" w:eastAsia="Arial" w:hAnsi="Arial"/>
                <w:sz w:val="12"/>
                <w:szCs w:val="12"/>
                <w:b w:val="1"/>
                <w:bCs w:val="1"/>
                <w:color w:val="auto"/>
                <w:w w:val="89"/>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(loss) income</w:t>
            </w:r>
          </w:p>
        </w:tc>
        <w:tc>
          <w:tcPr>
            <w:tcW w:w="10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71"/>
              <w:spacing w:after="0"/>
              <w:rPr>
                <w:sz w:val="20"/>
                <w:szCs w:val="20"/>
                <w:color w:val="auto"/>
              </w:rPr>
            </w:pPr>
            <w:r>
              <w:rPr>
                <w:rFonts w:ascii="Arial" w:cs="Arial" w:eastAsia="Arial" w:hAnsi="Arial"/>
                <w:sz w:val="12"/>
                <w:szCs w:val="12"/>
                <w:b w:val="1"/>
                <w:bCs w:val="1"/>
                <w:color w:val="auto"/>
                <w:w w:val="97"/>
              </w:rPr>
              <w:t>2020</w:t>
            </w:r>
          </w:p>
        </w:tc>
        <w:tc>
          <w:tcPr>
            <w:tcW w:w="0" w:type="dxa"/>
            <w:vAlign w:val="bottom"/>
          </w:tcPr>
          <w:p>
            <w:pPr>
              <w:spacing w:after="0"/>
              <w:rPr>
                <w:sz w:val="1"/>
                <w:szCs w:val="1"/>
                <w:color w:val="auto"/>
              </w:rPr>
            </w:pPr>
          </w:p>
        </w:tc>
      </w:tr>
      <w:tr>
        <w:trPr>
          <w:trHeight w:val="18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(28,204)</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(26,076)</w:t>
            </w:r>
          </w:p>
        </w:tc>
        <w:tc>
          <w:tcPr>
            <w:tcW w:w="0" w:type="dxa"/>
            <w:vAlign w:val="bottom"/>
          </w:tcPr>
          <w:p>
            <w:pPr>
              <w:spacing w:after="0"/>
              <w:rPr>
                <w:sz w:val="1"/>
                <w:szCs w:val="1"/>
                <w:color w:val="auto"/>
              </w:rPr>
            </w:pPr>
          </w:p>
        </w:tc>
      </w:tr>
      <w:tr>
        <w:trPr>
          <w:trHeight w:val="183"/>
        </w:trPr>
        <w:tc>
          <w:tcPr>
            <w:tcW w:w="5080" w:type="dxa"/>
            <w:vAlign w:val="bottom"/>
          </w:tcPr>
          <w:p>
            <w:pPr>
              <w:ind w:left="20"/>
              <w:spacing w:after="0"/>
              <w:rPr>
                <w:sz w:val="20"/>
                <w:szCs w:val="20"/>
                <w:color w:val="auto"/>
              </w:rPr>
            </w:pPr>
            <w:r>
              <w:rPr>
                <w:rFonts w:ascii="Arial" w:cs="Arial" w:eastAsia="Arial" w:hAnsi="Arial"/>
                <w:sz w:val="14"/>
                <w:szCs w:val="14"/>
                <w:color w:val="auto"/>
              </w:rPr>
              <w:t>Unrealized income (loss) on intra-entity foreign currency transactions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3,130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holding gains (losses) on marketable debt securities</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080" w:type="dxa"/>
            <w:vAlign w:val="bottom"/>
          </w:tcPr>
          <w:p>
            <w:pPr>
              <w:ind w:left="2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(33,261)</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6,009</w:t>
            </w:r>
          </w:p>
        </w:tc>
        <w:tc>
          <w:tcPr>
            <w:tcW w:w="1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(28,213)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3"/>
              </w:rPr>
              <w:t>Balance at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Other comprehensive</w:t>
            </w: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Tax effect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Balance at December 31,</w:t>
            </w:r>
          </w:p>
        </w:tc>
        <w:tc>
          <w:tcPr>
            <w:tcW w:w="0" w:type="dxa"/>
            <w:vAlign w:val="bottom"/>
          </w:tcPr>
          <w:p>
            <w:pPr>
              <w:spacing w:after="0"/>
              <w:rPr>
                <w:sz w:val="1"/>
                <w:szCs w:val="1"/>
                <w:color w:val="auto"/>
              </w:rPr>
            </w:pPr>
          </w:p>
        </w:tc>
      </w:tr>
      <w:tr>
        <w:trPr>
          <w:trHeight w:val="167"/>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251"/>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(loss) income</w:t>
            </w:r>
          </w:p>
        </w:tc>
        <w:tc>
          <w:tcPr>
            <w:tcW w:w="10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71"/>
              <w:spacing w:after="0"/>
              <w:rPr>
                <w:sz w:val="20"/>
                <w:szCs w:val="20"/>
                <w:color w:val="auto"/>
              </w:rPr>
            </w:pPr>
            <w:r>
              <w:rPr>
                <w:rFonts w:ascii="Arial" w:cs="Arial" w:eastAsia="Arial" w:hAnsi="Arial"/>
                <w:sz w:val="12"/>
                <w:szCs w:val="12"/>
                <w:b w:val="1"/>
                <w:bCs w:val="1"/>
                <w:color w:val="auto"/>
                <w:w w:val="97"/>
              </w:rPr>
              <w:t>2019</w:t>
            </w:r>
          </w:p>
        </w:tc>
        <w:tc>
          <w:tcPr>
            <w:tcW w:w="0" w:type="dxa"/>
            <w:vAlign w:val="bottom"/>
          </w:tcPr>
          <w:p>
            <w:pPr>
              <w:spacing w:after="0"/>
              <w:rPr>
                <w:sz w:val="1"/>
                <w:szCs w:val="1"/>
                <w:color w:val="auto"/>
              </w:rPr>
            </w:pPr>
          </w:p>
        </w:tc>
      </w:tr>
      <w:tr>
        <w:trPr>
          <w:trHeight w:val="18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(26,436)</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(28,204)</w:t>
            </w:r>
          </w:p>
        </w:tc>
        <w:tc>
          <w:tcPr>
            <w:tcW w:w="0" w:type="dxa"/>
            <w:vAlign w:val="bottom"/>
          </w:tcPr>
          <w:p>
            <w:pPr>
              <w:spacing w:after="0"/>
              <w:rPr>
                <w:sz w:val="1"/>
                <w:szCs w:val="1"/>
                <w:color w:val="auto"/>
              </w:rPr>
            </w:pPr>
          </w:p>
        </w:tc>
      </w:tr>
      <w:tr>
        <w:trPr>
          <w:trHeight w:val="183"/>
        </w:trPr>
        <w:tc>
          <w:tcPr>
            <w:tcW w:w="5080" w:type="dxa"/>
            <w:vAlign w:val="bottom"/>
          </w:tcPr>
          <w:p>
            <w:pPr>
              <w:ind w:left="20"/>
              <w:spacing w:after="0"/>
              <w:rPr>
                <w:sz w:val="20"/>
                <w:szCs w:val="20"/>
                <w:color w:val="auto"/>
              </w:rPr>
            </w:pPr>
            <w:r>
              <w:rPr>
                <w:rFonts w:ascii="Arial" w:cs="Arial" w:eastAsia="Arial" w:hAnsi="Arial"/>
                <w:sz w:val="14"/>
                <w:szCs w:val="14"/>
                <w:color w:val="auto"/>
              </w:rPr>
              <w:t>Unrealized (loss) income on intra-entity foreign currency transactions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(4,306)</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holding gains (losses) on marketable debt securities</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79"/>
        </w:trPr>
        <w:tc>
          <w:tcPr>
            <w:tcW w:w="5080" w:type="dxa"/>
            <w:vAlign w:val="bottom"/>
          </w:tcPr>
          <w:p>
            <w:pPr>
              <w:ind w:left="2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(30,383)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(3,057)</w:t>
            </w:r>
          </w:p>
        </w:tc>
        <w:tc>
          <w:tcPr>
            <w:tcW w:w="1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(33,261)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Structure</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the Company’s authorized capital stock was 110 million shares of stock with a par value of $0.0001, of which 100 million shares were designated as common stock and 10 million shares were designated as preferred stock, 75,000 of which were designated Series B Perpetual Non-Convertible Preferred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5" w:lineRule="exact"/>
        <w:rPr>
          <w:sz w:val="20"/>
          <w:szCs w:val="20"/>
          <w:color w:val="auto"/>
        </w:rPr>
      </w:pPr>
    </w:p>
    <w:p>
      <w:pPr>
        <w:jc w:val="both"/>
        <w:ind w:right="20" w:firstLine="319"/>
        <w:spacing w:after="0" w:line="296"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42,307,692 shares of common stock, inclusive of 3,846,154 shares of common stock issued pursuant to the full exercise of the Underwriters’ option to purchase additional shares of common stock. The Company used the net proceeds for the redemption of the Series A Convertible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February 4, 2016, the Company announced that the Board of Directors approved a share repurchase program under which the Company may repurchase up to $100.0 million of its outstanding common stock for 12 to 18 months following the announcement. In 2016, the Company repurchased approximately 1.3 million shares of the Company’s common stock under this program for an aggregate repurchase price of $40.0 million. There were no share repurchases subsequent to 2016. In 2018, in connection with execution of the Share Purchase Agreement, the Company received approximately 6.0 million shares of Synchronoss common stock, which have been recorded as Treasury shares as of December 31, 2020. Additionally, in 2018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Company retired 3.9 million shares of common stock that were previously repurchased in prior years. Any related additional paid in capital and par values were removed from the common stock numbers. In the second quarter of 2021, the entire balance of Treasury Stock was sold in the underwritten public offering. Treasury Stock balance is zero as of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Non-Convertible Preferred Stock</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B Preferred Stock</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2021, the Liquidation Value and Redemption Value of the Series B Preferred Shares was $78.6 million.</w:t>
      </w:r>
    </w:p>
    <w:p>
      <w:pPr>
        <w:spacing w:after="0" w:line="197"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20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Company is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45"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25"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A summary of the Company’s Series B Preferred Stock balance at December 31, 2021 and changes during the year ended December 31, 2021, are presented below:</w:t>
      </w:r>
    </w:p>
    <w:p>
      <w:pPr>
        <w:spacing w:after="0" w:line="1"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Series B Preferred Stock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Shares</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Amount</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220" w:type="dxa"/>
            <w:vAlign w:val="bottom"/>
            <w:gridSpan w:val="2"/>
          </w:tcPr>
          <w:p>
            <w:pPr>
              <w:ind w:left="140"/>
              <w:spacing w:after="0"/>
              <w:rPr>
                <w:sz w:val="20"/>
                <w:szCs w:val="20"/>
                <w:color w:val="auto"/>
              </w:rPr>
            </w:pPr>
            <w:r>
              <w:rPr>
                <w:rFonts w:ascii="Arial" w:cs="Arial" w:eastAsia="Arial" w:hAnsi="Arial"/>
                <w:sz w:val="18"/>
                <w:szCs w:val="18"/>
                <w:color w:val="auto"/>
              </w:rPr>
              <w:t>Issuance of Series B preferred stock</w:t>
            </w:r>
          </w:p>
        </w:tc>
        <w:tc>
          <w:tcPr>
            <w:tcW w:w="380" w:type="dxa"/>
            <w:vAlign w:val="bottom"/>
          </w:tcPr>
          <w:p>
            <w:pPr>
              <w:ind w:left="1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26"/>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costs related to preferred stock</w:t>
            </w: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2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2021</w:t>
            </w:r>
          </w:p>
        </w:tc>
        <w:tc>
          <w:tcPr>
            <w:tcW w:w="380" w:type="dxa"/>
            <w:vAlign w:val="bottom"/>
          </w:tcPr>
          <w:p>
            <w:pPr>
              <w:ind w:left="1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72,505</w:t>
            </w:r>
          </w:p>
        </w:tc>
      </w:tr>
      <w:tr>
        <w:trPr>
          <w:trHeight w:val="20"/>
        </w:trPr>
        <w:tc>
          <w:tcPr>
            <w:tcW w:w="8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January 3, 2022 the Company paid the accrued Series B Perpetual Non-Convertible Preferred Stock dividend of $1.8 million in the form of cash.</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were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“Series A Preferred Dividends”). The Series A Preferred Dividends were due on January 1, April 1, July 1 and October 1 of each year (each, a “Series A Dividend Payment Date”).</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had the option to choose to pay the Series A Preferred Dividends in cash or in additional shares of Series A Preferred Stock. In the event the Company did not declare and pay a dividend in-kind or in cash on any Series A Dividend Payment Date, the unpaid amount of the Series A Preferred Dividend was added to the Liquidation Preference.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net proceeds from the common stock public offering, Senior Note offering and the Series B Transaction was used in part to fully redeem all outstanding shares of the Company’s Series A Preferred Stock on June 30, 2021 (the “Redemption”).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2021. In addition, on June 30, 2021, in connection with the redemption of the Series A Preferred Stock, the Investor Rights Agreement between the Company and Silver terminated.</w:t>
      </w:r>
    </w:p>
    <w:p>
      <w:pPr>
        <w:spacing w:after="0" w:line="218" w:lineRule="exact"/>
        <w:rPr>
          <w:sz w:val="20"/>
          <w:szCs w:val="20"/>
          <w:color w:val="auto"/>
        </w:rPr>
      </w:pPr>
    </w:p>
    <w:p>
      <w:pPr>
        <w:jc w:val="both"/>
        <w:ind w:firstLine="239"/>
        <w:spacing w:after="0" w:line="266" w:lineRule="auto"/>
        <w:rPr>
          <w:sz w:val="20"/>
          <w:szCs w:val="20"/>
          <w:color w:val="auto"/>
        </w:rPr>
      </w:pPr>
      <w:r>
        <w:rPr>
          <w:rFonts w:ascii="Arial" w:cs="Arial" w:eastAsia="Arial" w:hAnsi="Arial"/>
          <w:sz w:val="18"/>
          <w:szCs w:val="18"/>
          <w:color w:val="auto"/>
        </w:rPr>
        <w:t>A summary of the Company’s Series A Convertible Participating Perpetual Preferred Stock balance at December 31, 2021 and changes during the year ended December 31, 2021, are presented below:</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Series A Preferred Stock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89"/>
              </w:rPr>
              <w:t>Shares</w:t>
            </w: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Amount</w:t>
            </w:r>
          </w:p>
        </w:tc>
      </w:tr>
      <w:tr>
        <w:trPr>
          <w:trHeight w:val="219"/>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237,641</w:t>
            </w:r>
          </w:p>
        </w:tc>
      </w:tr>
      <w:tr>
        <w:trPr>
          <w:trHeight w:val="225"/>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Amortization of preferred stock issuance costs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12,791</w:t>
            </w:r>
          </w:p>
        </w:tc>
      </w:tr>
      <w:tr>
        <w:trPr>
          <w:trHeight w:val="227"/>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Issuance of preferred PIK dividend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w:t>
            </w:r>
          </w:p>
        </w:tc>
      </w:tr>
      <w:tr>
        <w:trPr>
          <w:trHeight w:val="225"/>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Payment of preferred dividend</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9,748</w:t>
            </w:r>
          </w:p>
        </w:tc>
      </w:tr>
      <w:tr>
        <w:trPr>
          <w:trHeight w:val="226"/>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of Series A preferred shares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(278,665)</w:t>
            </w:r>
          </w:p>
        </w:tc>
      </w:tr>
      <w:tr>
        <w:trPr>
          <w:trHeight w:val="22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2021</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239"/>
        <w:spacing w:after="0" w:line="278" w:lineRule="auto"/>
        <w:rPr>
          <w:sz w:val="20"/>
          <w:szCs w:val="20"/>
          <w:color w:val="auto"/>
        </w:rPr>
      </w:pPr>
      <w:r>
        <w:rPr>
          <w:rFonts w:ascii="Arial" w:cs="Arial" w:eastAsia="Arial" w:hAnsi="Arial"/>
          <w:sz w:val="17"/>
          <w:szCs w:val="17"/>
          <w:color w:val="auto"/>
        </w:rPr>
        <w:t>The Company and Siris Capital Group, LLC (“Siris”) entered into an Advisory Services Agreement dated as of May 18, 2020 under which Siris may provide consulting and advisory services to the Company on operational, business, financial and strategic matters. All obligations related to this Advisory Services Agreement were paid by the Company and the Advisory Services Agreement was terminated as of June 30,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Plans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March 2015, the Company adopted the 2015 Equity Incentive Plan (the “2015 Plan”). The 2015 Plan replaces the Company’s prior 2000 Equity Incentive Plan (the “2000 Plan”) and the 2006 Equity Incentive Plan (the “2006 Plan”) (collectively, the “Plans”). Beginning March 2015, all awards were granted under the 2015 Plan. In addition, any awards that were previously granted under any prior Plans that terminate without issuance of shares, shall be eligible for issuance under the 2015 Plan.</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Under the 2015 Plan, the Company may grant to its employees, outside directors and consultants awards in the form of non-qualified stock options, shares of restricted stock, stock units, or stock appreciation rights and performance shares. The Company’s Board of Directors administers the Plan and is responsible for determining the individuals to be granted options or shares, the number of options or shares each individual will receive, the price per share and the exercise period of each option.</w:t>
      </w:r>
    </w:p>
    <w:p>
      <w:pPr>
        <w:spacing w:after="0" w:line="218"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On June 10, 2021, the Company’s stockholders approved the amendment and restatement of the Company’s 2015 Equity Incentive Plan to increase the number of shares of common stock issuable thereunder by 3.0 million shares from 26,297,175 shares to a new aggregate total of 29,297,175 shares.</w:t>
      </w:r>
    </w:p>
    <w:p>
      <w:pPr>
        <w:spacing w:after="0" w:line="160"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On December 15, 2017, the Compensation Committee adopted the 2017 New Hire Equity Incentive Plan (“2017 New Hire Plan”), which is intended to be exempt from the stockholder approval requirements under the “inducement grant exception” provided by the Inducement Rule. The Committee authorized the issuance of up to 1.5 million Common Shares to new hires, with the purpose of promoting the long-term success of the Company and the creation of stockholder value by (a) providing for the attraction and retention of new employees with exceptional qualifications, (b) encouraging new employees to focus on critical long-range objectives, and (c) linking new employees directly to stockholder interests through increased stock ownership. As required by the Inducement Rule, the Company issues a press release promptly upon issuing shares to new employees pursuant to the 2017 New Hire Plan.</w:t>
      </w:r>
    </w:p>
    <w:p>
      <w:pPr>
        <w:spacing w:after="0" w:line="196"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On November 1, 2021 Synchronoss Technologies, Inc. 2017 New Hire Equity Incentive Plan was amended to increase the maximum number of shares of Common Stock authorized for issuance under the 2017 Incentive Plan by 566,711 shares from 1,500,000 shares to a new aggregate total of 2,066,711 shares.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As of December 31, 2021, there were 1.6 million shares available for the grant or award under the Company’s 2015 Plan and 0.5 million shares available for the grant or award under the Company’s 2017 New Hire Equity Incentive Plan.</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has reflected such awards in accrued expenses. As of December 31, 2021, the liability for such awards is approximately $0.4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Twelve Months Ended December 31,</w:t>
            </w:r>
          </w:p>
        </w:tc>
        <w:tc>
          <w:tcPr>
            <w:tcW w:w="960" w:type="dxa"/>
            <w:vAlign w:val="bottom"/>
            <w:tcBorders>
              <w:bottom w:val="single" w:sz="8" w:color="auto"/>
            </w:tcBorders>
          </w:tcPr>
          <w:p>
            <w:pPr>
              <w:spacing w:after="0"/>
              <w:rPr>
                <w:sz w:val="20"/>
                <w:szCs w:val="20"/>
                <w:color w:val="auto"/>
              </w:rPr>
            </w:pPr>
          </w:p>
        </w:tc>
      </w:tr>
      <w:tr>
        <w:trPr>
          <w:trHeight w:val="220"/>
        </w:trPr>
        <w:tc>
          <w:tcPr>
            <w:tcW w:w="6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w w:val="99"/>
              </w:rPr>
              <w:t>2019</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r>
      <w:tr>
        <w:trPr>
          <w:trHeight w:val="225"/>
        </w:trPr>
        <w:tc>
          <w:tcPr>
            <w:tcW w:w="64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4,227</w:t>
            </w:r>
          </w:p>
        </w:tc>
      </w:tr>
      <w:tr>
        <w:trPr>
          <w:trHeight w:val="226"/>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15,094</w:t>
            </w:r>
          </w:p>
        </w:tc>
      </w:tr>
      <w:tr>
        <w:trPr>
          <w:trHeight w:val="220"/>
        </w:trPr>
        <w:tc>
          <w:tcPr>
            <w:tcW w:w="64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22,250</w:t>
            </w: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6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Twelve Months Ended December 31,</w:t>
            </w:r>
          </w:p>
        </w:tc>
        <w:tc>
          <w:tcPr>
            <w:tcW w:w="980" w:type="dxa"/>
            <w:vAlign w:val="bottom"/>
            <w:tcBorders>
              <w:bottom w:val="single" w:sz="8" w:color="auto"/>
            </w:tcBorders>
          </w:tcPr>
          <w:p>
            <w:pPr>
              <w:spacing w:after="0"/>
              <w:rPr>
                <w:sz w:val="20"/>
                <w:szCs w:val="20"/>
                <w:color w:val="auto"/>
              </w:rPr>
            </w:pPr>
          </w:p>
        </w:tc>
      </w:tr>
      <w:tr>
        <w:trPr>
          <w:trHeight w:val="220"/>
        </w:trPr>
        <w:tc>
          <w:tcPr>
            <w:tcW w:w="62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w w:val="89"/>
              </w:rPr>
              <w:t>2019</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r>
      <w:tr>
        <w:trPr>
          <w:trHeight w:val="225"/>
        </w:trPr>
        <w:tc>
          <w:tcPr>
            <w:tcW w:w="626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14,775</w:t>
            </w:r>
          </w:p>
        </w:tc>
      </w:tr>
      <w:tr>
        <w:trPr>
          <w:trHeight w:val="227"/>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Based Cash Units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stock-based compensation before taxes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22,250</w:t>
            </w:r>
          </w:p>
        </w:tc>
      </w:tr>
      <w:tr>
        <w:trPr>
          <w:trHeight w:val="24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total stock-based compensation cost related to unvested equity awards as of December 31, 2021 was approximately $9.5 million. The expense is expected to be recognized over a weighted-average period of approximately 1.2 years.</w:t>
      </w:r>
    </w:p>
    <w:p>
      <w:pPr>
        <w:spacing w:after="0" w:line="206" w:lineRule="exact"/>
        <w:rPr>
          <w:sz w:val="20"/>
          <w:szCs w:val="20"/>
          <w:color w:val="auto"/>
        </w:rPr>
      </w:pPr>
    </w:p>
    <w:p>
      <w:pPr>
        <w:ind w:right="20" w:firstLine="319"/>
        <w:spacing w:after="0" w:line="266" w:lineRule="auto"/>
        <w:rPr>
          <w:sz w:val="20"/>
          <w:szCs w:val="20"/>
          <w:color w:val="auto"/>
        </w:rPr>
      </w:pPr>
      <w:r>
        <w:rPr>
          <w:rFonts w:ascii="Arial" w:cs="Arial" w:eastAsia="Arial" w:hAnsi="Arial"/>
          <w:sz w:val="18"/>
          <w:szCs w:val="18"/>
          <w:color w:val="auto"/>
        </w:rPr>
        <w:t>The total stock-based compensation cost related to unvested performance-based cash units as of December 31, 2021 was approximately $0.6 million. The expense is expected to be recognized over a weighted-average period of approximately 2.0 years.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5" w:lineRule="exact"/>
        <w:rPr>
          <w:sz w:val="20"/>
          <w:szCs w:val="20"/>
          <w:color w:val="auto"/>
        </w:rPr>
      </w:pPr>
    </w:p>
    <w:p>
      <w:pPr>
        <w:ind w:right="20" w:firstLine="319"/>
        <w:spacing w:after="0" w:line="266" w:lineRule="auto"/>
        <w:rPr>
          <w:sz w:val="20"/>
          <w:szCs w:val="20"/>
          <w:color w:val="auto"/>
        </w:rPr>
      </w:pPr>
      <w:r>
        <w:rPr>
          <w:rFonts w:ascii="Arial" w:cs="Arial" w:eastAsia="Arial" w:hAnsi="Arial"/>
          <w:sz w:val="18"/>
          <w:szCs w:val="18"/>
          <w:color w:val="auto"/>
        </w:rPr>
        <w:t>Options that were granted under the Company’s 2000, 2006 and 2015 Plans generally vest 25% on the first-year anniversary of the date of grant plus an additional 1/48th for each month of continuous service thereafter.</w:t>
      </w: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Options that were granted under the Company’s 2010 Plan generally vest 50% on the second-year anniversary and an additional 1/48th for each month of continuous service thereafter.</w:t>
      </w: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Incentive options that were granted under the 2000 and 2006 Plans generally vest 25% on the first-year anniversary on the date of grant and an additional 1/48th for each month of continuous service thereafter.</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Other than as set forth above, there were no significant changes to the Company’s Stock Option Plans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1"/>
          </w:tcPr>
          <w:p>
            <w:pPr>
              <w:jc w:val="right"/>
              <w:ind w:right="934"/>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69.6 %</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fair value (PSV) of the options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531"/>
        </w:trPr>
        <w:tc>
          <w:tcPr>
            <w:tcW w:w="8100" w:type="dxa"/>
            <w:vAlign w:val="bottom"/>
            <w:gridSpan w:val="9"/>
          </w:tcPr>
          <w:p>
            <w:pPr>
              <w:ind w:left="320"/>
              <w:spacing w:after="0"/>
              <w:rPr>
                <w:sz w:val="20"/>
                <w:szCs w:val="20"/>
                <w:color w:val="auto"/>
              </w:rPr>
            </w:pPr>
            <w:r>
              <w:rPr>
                <w:rFonts w:ascii="Arial" w:cs="Arial" w:eastAsia="Arial" w:hAnsi="Arial"/>
                <w:sz w:val="18"/>
                <w:szCs w:val="18"/>
                <w:color w:val="auto"/>
                <w:w w:val="95"/>
              </w:rPr>
              <w:t>The following table summarizes information about stock options outstanding as of December 31, 2021: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Weighted-Average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center"/>
              <w:ind w:right="13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vMerge w:val="restart"/>
          </w:tcPr>
          <w:p>
            <w:pPr>
              <w:ind w:left="340"/>
              <w:spacing w:after="0"/>
              <w:rPr>
                <w:sz w:val="20"/>
                <w:szCs w:val="20"/>
                <w:color w:val="auto"/>
              </w:rPr>
            </w:pPr>
            <w:r>
              <w:rPr>
                <w:rFonts w:ascii="Arial" w:cs="Arial" w:eastAsia="Arial" w:hAnsi="Arial"/>
                <w:sz w:val="16"/>
                <w:szCs w:val="16"/>
                <w:b w:val="1"/>
                <w:bCs w:val="1"/>
                <w:color w:val="auto"/>
              </w:rPr>
              <w:t>Number of</w:t>
            </w:r>
          </w:p>
        </w:tc>
        <w:tc>
          <w:tcPr>
            <w:tcW w:w="138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w w:val="93"/>
              </w:rPr>
              <w:t>Weighted-Average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2"/>
              </w:rPr>
              <w:t>Remaining</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20" w:type="dxa"/>
            <w:vAlign w:val="bottom"/>
            <w:vMerge w:val="restart"/>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20"/>
              <w:spacing w:after="0" w:line="160" w:lineRule="exact"/>
              <w:rPr>
                <w:sz w:val="20"/>
                <w:szCs w:val="20"/>
                <w:color w:val="auto"/>
              </w:rPr>
            </w:pPr>
            <w:r>
              <w:rPr>
                <w:rFonts w:ascii="Arial" w:cs="Arial" w:eastAsia="Arial" w:hAnsi="Arial"/>
                <w:sz w:val="16"/>
                <w:szCs w:val="16"/>
                <w:b w:val="1"/>
                <w:bCs w:val="1"/>
                <w:color w:val="auto"/>
                <w:w w:val="94"/>
              </w:rPr>
              <w:t>Contractual</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34"/>
              <w:spacing w:after="0" w:line="160"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91"/>
              </w:rPr>
              <w:t>Exercise Price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Term (Years)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9.55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0" w:type="dxa"/>
            <w:vAlign w:val="bottom"/>
            <w:gridSpan w:val="2"/>
          </w:tcPr>
          <w:p>
            <w:pPr>
              <w:ind w:left="20"/>
              <w:spacing w:after="0" w:line="199" w:lineRule="exact"/>
              <w:rPr>
                <w:sz w:val="20"/>
                <w:szCs w:val="20"/>
                <w:color w:val="auto"/>
              </w:rPr>
            </w:pPr>
            <w:r>
              <w:rPr>
                <w:rFonts w:ascii="Arial" w:cs="Arial" w:eastAsia="Arial" w:hAnsi="Arial"/>
                <w:sz w:val="18"/>
                <w:szCs w:val="18"/>
                <w:color w:val="auto"/>
              </w:rPr>
              <w:t>Vested and exercisable at December 31, 2021</w:t>
            </w:r>
          </w:p>
        </w:tc>
        <w:tc>
          <w:tcPr>
            <w:tcW w:w="142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1,404</w:t>
            </w:r>
          </w:p>
        </w:tc>
        <w:tc>
          <w:tcPr>
            <w:tcW w:w="100" w:type="dxa"/>
            <w:vAlign w:val="bottom"/>
          </w:tcPr>
          <w:p>
            <w:pPr>
              <w:spacing w:after="0"/>
              <w:rPr>
                <w:sz w:val="17"/>
                <w:szCs w:val="17"/>
                <w:color w:val="auto"/>
              </w:rPr>
            </w:pPr>
          </w:p>
        </w:tc>
        <w:tc>
          <w:tcPr>
            <w:tcW w:w="18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12.86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c>
          <w:tcPr>
            <w:tcW w:w="320" w:type="dxa"/>
            <w:vAlign w:val="bottom"/>
            <w:gridSpan w:val="2"/>
          </w:tcPr>
          <w:p>
            <w:pPr>
              <w:jc w:val="right"/>
              <w:ind w:right="31"/>
              <w:spacing w:after="0" w:line="19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total intrinsic value of stock options exercised during the year ended December 31, 2021 and 2020 was nil and nil, respectively. The total intrinsic value of stock options exercisable as of December 31, 2021 and 2020 was nil and $2.0 thousand,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Restricted stock awards (“Restricted Stock”) granted under the Company’s Plans generally vest 25% of the applicable shares on the first anniversary of the date of grant and thereafter an additional 1/16th for each three months of continuous service.</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Generally, performance stock awards granted under the Company’s 2015 Plan vest at the end of a three-year period based on service and achievement of certain performance objectives determined by the Company’s Board of Directors.</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year ended December 31, 2021.</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 summary of the Company’s unvested restricted stock at December 31, 2021, and changes during the year ended December 31, 2021, is presented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1"/>
              <w:spacing w:after="0" w:line="173"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3"/>
        </w:trPr>
        <w:tc>
          <w:tcPr>
            <w:tcW w:w="3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Unvested Restricted Stock</w:t>
            </w: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1"/>
              <w:spacing w:after="0" w:line="173" w:lineRule="exact"/>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26"/>
        </w:trPr>
        <w:tc>
          <w:tcPr>
            <w:tcW w:w="3920" w:type="dxa"/>
            <w:vAlign w:val="bottom"/>
            <w:tcBorders>
              <w:bottom w:val="single" w:sz="8" w:color="auto"/>
            </w:tcBorders>
            <w:vMerge w:val="continue"/>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Awards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5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Granted</w:t>
            </w:r>
          </w:p>
        </w:tc>
        <w:tc>
          <w:tcPr>
            <w:tcW w:w="5780" w:type="dxa"/>
            <w:vAlign w:val="bottom"/>
            <w:gridSpan w:val="3"/>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4340" w:type="dxa"/>
            <w:vAlign w:val="bottom"/>
            <w:tcBorders>
              <w:bottom w:val="single" w:sz="8" w:color="CCEEFF"/>
            </w:tcBorders>
            <w:gridSpan w:val="2"/>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5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351"/>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39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92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45"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Performance based cash units (PBCU) generally vest at the end of a three-year period based on service and achievement of certain performance objectives determined by the Company’s Board of Directors. The PBCU can be settled in cash or in equity as determined by the Compensation Committee.</w:t>
      </w:r>
    </w:p>
    <w:p>
      <w:pPr>
        <w:spacing w:after="0" w:line="16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 summary of the Company’s unvested performance-based cash units at December 31, 2021 and changes during the year ended December 31, 2021, is presented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Unvested Cash Units</w:t>
            </w:r>
          </w:p>
        </w:tc>
        <w:tc>
          <w:tcPr>
            <w:tcW w:w="100" w:type="dxa"/>
            <w:vAlign w:val="bottom"/>
            <w:vMerge w:val="restart"/>
          </w:tcPr>
          <w:p>
            <w:pPr>
              <w:spacing w:after="0"/>
              <w:rPr>
                <w:sz w:val="17"/>
                <w:szCs w:val="17"/>
                <w:color w:val="auto"/>
              </w:rPr>
            </w:pPr>
          </w:p>
        </w:tc>
        <w:tc>
          <w:tcPr>
            <w:tcW w:w="1440" w:type="dxa"/>
            <w:vAlign w:val="bottom"/>
          </w:tcPr>
          <w:p>
            <w:pPr>
              <w:jc w:val="right"/>
              <w:ind w:right="211"/>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11"/>
              <w:spacing w:after="0"/>
              <w:rPr>
                <w:sz w:val="20"/>
                <w:szCs w:val="20"/>
                <w:color w:val="auto"/>
              </w:rPr>
            </w:pPr>
            <w:r>
              <w:rPr>
                <w:rFonts w:ascii="Arial" w:cs="Arial" w:eastAsia="Arial" w:hAnsi="Arial"/>
                <w:sz w:val="18"/>
                <w:szCs w:val="18"/>
                <w:b w:val="1"/>
                <w:bCs w:val="1"/>
                <w:color w:val="auto"/>
                <w:w w:val="96"/>
              </w:rPr>
              <w:t>Period end</w:t>
            </w:r>
          </w:p>
        </w:tc>
        <w:tc>
          <w:tcPr>
            <w:tcW w:w="0" w:type="dxa"/>
            <w:vAlign w:val="bottom"/>
          </w:tcPr>
          <w:p>
            <w:pPr>
              <w:spacing w:after="0"/>
              <w:rPr>
                <w:sz w:val="1"/>
                <w:szCs w:val="1"/>
                <w:color w:val="auto"/>
              </w:rPr>
            </w:pPr>
          </w:p>
        </w:tc>
      </w:tr>
      <w:tr>
        <w:trPr>
          <w:trHeight w:val="226"/>
        </w:trPr>
        <w:tc>
          <w:tcPr>
            <w:tcW w:w="8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Awards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5"/>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gridSpan w:val="2"/>
            <w:shd w:val="clear" w:color="auto" w:fill="CCEEFF"/>
          </w:tcPr>
          <w:p>
            <w:pPr>
              <w:ind w:left="40"/>
              <w:spacing w:after="0" w:line="227" w:lineRule="exact"/>
              <w:rPr>
                <w:sz w:val="20"/>
                <w:szCs w:val="20"/>
                <w:color w:val="auto"/>
              </w:rPr>
            </w:pPr>
            <w:r>
              <w:rPr>
                <w:rFonts w:ascii="Arial" w:cs="Arial" w:eastAsia="Arial" w:hAnsi="Arial"/>
                <w:sz w:val="18"/>
                <w:szCs w:val="18"/>
                <w:color w:val="auto"/>
              </w:rPr>
              <w:t xml:space="preserve">Granted adjustment </w:t>
            </w:r>
            <w:r>
              <w:rPr>
                <w:rFonts w:ascii="Arial" w:cs="Arial" w:eastAsia="Arial" w:hAnsi="Arial"/>
                <w:sz w:val="20"/>
                <w:szCs w:val="20"/>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64" w:lineRule="exact"/>
        <w:rPr>
          <w:sz w:val="20"/>
          <w:szCs w:val="20"/>
          <w:color w:val="auto"/>
        </w:rPr>
      </w:pPr>
    </w:p>
    <w:p>
      <w:pPr>
        <w:ind w:left="160" w:hanging="154"/>
        <w:spacing w:after="0"/>
        <w:tabs>
          <w:tab w:leader="none" w:pos="16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Includes changes in the unvested units due to performance adjustments</w:t>
      </w:r>
    </w:p>
    <w:p>
      <w:pPr>
        <w:spacing w:after="0" w:line="21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as well as the percentage achievement of the performance metrics at each reporting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has a 401(k) plan (the “401(k) Plan”) covering all eligible employees. The 401(k) Plan allows for a discretionary employer match. The Company incurred and expensed $2.5 million, $2.9 million, and $2.6 million for the years ended December 31, 2021, 2020 and 2019, respectively, in 401(k) Plan match contributions.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continues to identify workforce optimization opportunities to better align the Company’s resources with its key strategic priorities.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summary of the Company’s restructuring accrual at December 31, 2021 and changes during the year ended December 31, 2021, are presented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80" w:type="dxa"/>
            <w:vAlign w:val="bottom"/>
          </w:tcPr>
          <w:p>
            <w:pPr>
              <w:spacing w:after="0"/>
              <w:rPr>
                <w:sz w:val="15"/>
                <w:szCs w:val="15"/>
                <w:color w:val="auto"/>
              </w:rPr>
            </w:pPr>
          </w:p>
        </w:tc>
        <w:tc>
          <w:tcPr>
            <w:tcW w:w="154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Balance at December</w:t>
            </w:r>
          </w:p>
        </w:tc>
        <w:tc>
          <w:tcPr>
            <w:tcW w:w="280" w:type="dxa"/>
            <w:vAlign w:val="bottom"/>
          </w:tcPr>
          <w:p>
            <w:pPr>
              <w:spacing w:after="0"/>
              <w:rPr>
                <w:sz w:val="15"/>
                <w:szCs w:val="1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Charges</w:t>
            </w:r>
          </w:p>
        </w:tc>
        <w:tc>
          <w:tcPr>
            <w:tcW w:w="260" w:type="dxa"/>
            <w:vAlign w:val="bottom"/>
          </w:tcPr>
          <w:p>
            <w:pPr>
              <w:spacing w:after="0"/>
              <w:rPr>
                <w:sz w:val="15"/>
                <w:szCs w:val="15"/>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Payments</w:t>
            </w:r>
          </w:p>
        </w:tc>
        <w:tc>
          <w:tcPr>
            <w:tcW w:w="154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Other Adjustments</w:t>
            </w:r>
          </w:p>
        </w:tc>
        <w:tc>
          <w:tcPr>
            <w:tcW w:w="1420" w:type="dxa"/>
            <w:vAlign w:val="bottom"/>
            <w:gridSpan w:val="2"/>
          </w:tcPr>
          <w:p>
            <w:pPr>
              <w:ind w:left="20"/>
              <w:spacing w:after="0"/>
              <w:rPr>
                <w:sz w:val="20"/>
                <w:szCs w:val="20"/>
                <w:color w:val="auto"/>
              </w:rPr>
            </w:pPr>
            <w:r>
              <w:rPr>
                <w:rFonts w:ascii="Arial" w:cs="Arial" w:eastAsia="Arial" w:hAnsi="Arial"/>
                <w:sz w:val="15"/>
                <w:szCs w:val="15"/>
                <w:b w:val="1"/>
                <w:bCs w:val="1"/>
                <w:color w:val="auto"/>
                <w:w w:val="90"/>
              </w:rPr>
              <w:t>Balance at December</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78"/>
              <w:spacing w:after="0"/>
              <w:rPr>
                <w:sz w:val="20"/>
                <w:szCs w:val="20"/>
                <w:color w:val="auto"/>
              </w:rPr>
            </w:pPr>
            <w:r>
              <w:rPr>
                <w:rFonts w:ascii="Arial" w:cs="Arial" w:eastAsia="Arial" w:hAnsi="Arial"/>
                <w:sz w:val="15"/>
                <w:szCs w:val="15"/>
                <w:b w:val="1"/>
                <w:bCs w:val="1"/>
                <w:color w:val="auto"/>
              </w:rPr>
              <w:t>31, 2020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58"/>
              <w:spacing w:after="0"/>
              <w:rPr>
                <w:sz w:val="20"/>
                <w:szCs w:val="20"/>
                <w:color w:val="auto"/>
              </w:rPr>
            </w:pPr>
            <w:r>
              <w:rPr>
                <w:rFonts w:ascii="Arial" w:cs="Arial" w:eastAsia="Arial" w:hAnsi="Arial"/>
                <w:sz w:val="15"/>
                <w:szCs w:val="15"/>
                <w:b w:val="1"/>
                <w:bCs w:val="1"/>
                <w:color w:val="auto"/>
              </w:rPr>
              <w:t>31, 2021</w:t>
            </w:r>
          </w:p>
        </w:tc>
        <w:tc>
          <w:tcPr>
            <w:tcW w:w="0" w:type="dxa"/>
            <w:vAlign w:val="bottom"/>
          </w:tcPr>
          <w:p>
            <w:pPr>
              <w:spacing w:after="0"/>
              <w:rPr>
                <w:sz w:val="1"/>
                <w:szCs w:val="1"/>
                <w:color w:val="auto"/>
              </w:rPr>
            </w:pPr>
          </w:p>
        </w:tc>
      </w:tr>
      <w:tr>
        <w:trPr>
          <w:trHeight w:val="222"/>
        </w:trPr>
        <w:tc>
          <w:tcPr>
            <w:tcW w:w="3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Employment termination costs</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or (loss) from continuing operations before income taxes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ind w:left="651"/>
              <w:spacing w:after="0"/>
              <w:rPr>
                <w:sz w:val="20"/>
                <w:szCs w:val="20"/>
                <w:color w:val="auto"/>
              </w:rPr>
            </w:pPr>
            <w:r>
              <w:rPr>
                <w:rFonts w:ascii="Arial" w:cs="Arial" w:eastAsia="Arial" w:hAnsi="Arial"/>
                <w:sz w:val="18"/>
                <w:szCs w:val="18"/>
                <w:b w:val="1"/>
                <w:bCs w:val="1"/>
                <w:color w:val="auto"/>
                <w:w w:val="88"/>
              </w:rPr>
              <w:t>Year Ended December 31,</w:t>
            </w:r>
          </w:p>
        </w:tc>
        <w:tc>
          <w:tcPr>
            <w:tcW w:w="1080" w:type="dxa"/>
            <w:vAlign w:val="bottom"/>
            <w:tcBorders>
              <w:bottom w:val="single" w:sz="8" w:color="auto"/>
            </w:tcBorders>
          </w:tcPr>
          <w:p>
            <w:pPr>
              <w:spacing w:after="0"/>
              <w:rPr>
                <w:sz w:val="20"/>
                <w:szCs w:val="20"/>
                <w:color w:val="auto"/>
              </w:rPr>
            </w:pPr>
          </w:p>
        </w:tc>
      </w:tr>
      <w:tr>
        <w:trPr>
          <w:trHeight w:val="220"/>
        </w:trPr>
        <w:tc>
          <w:tcPr>
            <w:tcW w:w="67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19"/>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(104,445)</w:t>
            </w:r>
          </w:p>
        </w:tc>
      </w:tr>
      <w:tr>
        <w:trPr>
          <w:trHeight w:val="225"/>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w:t>
            </w:r>
          </w:p>
        </w:tc>
      </w:tr>
      <w:tr>
        <w:trPr>
          <w:trHeight w:val="245"/>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7060" w:type="dxa"/>
            <w:vAlign w:val="bottom"/>
            <w:gridSpan w:val="2"/>
          </w:tcPr>
          <w:p>
            <w:pPr>
              <w:ind w:left="320"/>
              <w:spacing w:after="0"/>
              <w:rPr>
                <w:sz w:val="20"/>
                <w:szCs w:val="20"/>
                <w:color w:val="auto"/>
              </w:rPr>
            </w:pPr>
            <w:r>
              <w:rPr>
                <w:rFonts w:ascii="Arial" w:cs="Arial" w:eastAsia="Arial" w:hAnsi="Arial"/>
                <w:sz w:val="18"/>
                <w:szCs w:val="18"/>
                <w:color w:val="auto"/>
                <w:w w:val="92"/>
              </w:rPr>
              <w:t>The components of income tax (expense) benefit from continuing operations are as follows: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6"/>
        </w:trPr>
        <w:tc>
          <w:tcPr>
            <w:tcW w:w="6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651"/>
              <w:spacing w:after="0"/>
              <w:rPr>
                <w:sz w:val="20"/>
                <w:szCs w:val="20"/>
                <w:color w:val="auto"/>
              </w:rPr>
            </w:pPr>
            <w:r>
              <w:rPr>
                <w:rFonts w:ascii="Arial" w:cs="Arial" w:eastAsia="Arial" w:hAnsi="Arial"/>
                <w:sz w:val="18"/>
                <w:szCs w:val="18"/>
                <w:b w:val="1"/>
                <w:bCs w:val="1"/>
                <w:color w:val="auto"/>
                <w:w w:val="88"/>
              </w:rPr>
              <w:t>Year Ended December 31,</w:t>
            </w:r>
          </w:p>
        </w:tc>
        <w:tc>
          <w:tcPr>
            <w:tcW w:w="1080" w:type="dxa"/>
            <w:vAlign w:val="bottom"/>
            <w:tcBorders>
              <w:bottom w:val="single" w:sz="8" w:color="auto"/>
            </w:tcBorders>
          </w:tcPr>
          <w:p>
            <w:pPr>
              <w:spacing w:after="0"/>
              <w:rPr>
                <w:sz w:val="24"/>
                <w:szCs w:val="24"/>
                <w:color w:val="auto"/>
              </w:rPr>
            </w:pPr>
          </w:p>
        </w:tc>
      </w:tr>
      <w:tr>
        <w:trPr>
          <w:trHeight w:val="220"/>
        </w:trPr>
        <w:tc>
          <w:tcPr>
            <w:tcW w:w="67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r>
      <w:tr>
        <w:trPr>
          <w:trHeight w:val="206"/>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5"/>
        </w:trPr>
        <w:tc>
          <w:tcPr>
            <w:tcW w:w="6720" w:type="dxa"/>
            <w:vAlign w:val="bottom"/>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30,365</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7"/>
        </w:trPr>
        <w:tc>
          <w:tcPr>
            <w:tcW w:w="6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6720" w:type="dxa"/>
            <w:vAlign w:val="bottom"/>
          </w:tcPr>
          <w:p>
            <w:pPr>
              <w:ind w:left="2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20" w:type="dxa"/>
            <w:vAlign w:val="bottom"/>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7"/>
        </w:trPr>
        <w:tc>
          <w:tcPr>
            <w:tcW w:w="6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6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36" w:lineRule="auto"/>
        <w:rPr>
          <w:sz w:val="20"/>
          <w:szCs w:val="20"/>
          <w:color w:val="auto"/>
        </w:rPr>
      </w:pPr>
      <w:r>
        <w:rPr>
          <w:rFonts w:ascii="Arial" w:cs="Arial" w:eastAsia="Arial" w:hAnsi="Arial"/>
          <w:sz w:val="17"/>
          <w:szCs w:val="17"/>
          <w:color w:val="auto"/>
        </w:rPr>
        <w:t>The Company recognized approximately $7.2 million and $27.1 million in related income tax benefit during the years ended December 31, 2021 and 2020, respectively. The effective tax rate was approximately 23.7% for the year ended December 31, 2021, which was higher than the U.S. federal statutory rate primarily due to the benefit of the CARES Act provision allowing for a 5 year carryback of Net Operating Losses arising in 2018, 2019 and 2020. This tax benefit was partially offset in our effective tax rate by unfavorable permanent book-tax differences. The Company’s effective tax rate was approximately 72.4% for the year ended December 31, 2020, which was higher than the U.S. statutory rate primarily due to the benefit of the CARES Act provision allowing for a 5 year carryback of Net Operating Losses arising in 2018,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Reconciliations of the statutory tax rates and the effective tax rates from continuing operations for the years ended December 31, 2021, 2020 and 2019 are as follows:</w:t>
      </w:r>
    </w:p>
    <w:p>
      <w:pPr>
        <w:spacing w:after="0" w:line="125"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19"/>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Statutory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rates different than statutory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Minority interest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Non-deductible Bad Debt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Basis Differences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Regulatory matters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w:t>
            </w:r>
          </w:p>
        </w:tc>
        <w:tc>
          <w:tcPr>
            <w:tcW w:w="10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permanent differences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 credit</w:t>
            </w:r>
          </w:p>
        </w:tc>
        <w:tc>
          <w:tcPr>
            <w:tcW w:w="5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valuation allowance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Uncertain tax positions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Investment in JV</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7"/>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Global Intangible Low-Taxed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7400" w:type="dxa"/>
            <w:vAlign w:val="bottom"/>
            <w:gridSpan w:val="2"/>
          </w:tcPr>
          <w:p>
            <w:pPr>
              <w:ind w:left="140"/>
              <w:spacing w:after="0"/>
              <w:rPr>
                <w:sz w:val="20"/>
                <w:szCs w:val="20"/>
                <w:color w:val="auto"/>
              </w:rPr>
            </w:pPr>
            <w:r>
              <w:rPr>
                <w:rFonts w:ascii="Arial" w:cs="Arial" w:eastAsia="Arial" w:hAnsi="Arial"/>
                <w:sz w:val="18"/>
                <w:szCs w:val="18"/>
                <w:color w:val="auto"/>
              </w:rPr>
              <w:t>Base Erosion Anti-Abuse Tax and Related Elections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6"/>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NOL Carryback and Other Refund Claims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0"/>
        </w:trPr>
        <w:tc>
          <w:tcPr>
            <w:tcW w:w="7400" w:type="dxa"/>
            <w:vAlign w:val="bottom"/>
            <w:gridSpan w:val="2"/>
          </w:tcPr>
          <w:p>
            <w:pPr>
              <w:ind w:left="360"/>
              <w:spacing w:after="0"/>
              <w:rPr>
                <w:sz w:val="20"/>
                <w:szCs w:val="20"/>
                <w:color w:val="auto"/>
              </w:rPr>
            </w:pPr>
            <w:r>
              <w:rPr>
                <w:rFonts w:ascii="Arial" w:cs="Arial" w:eastAsia="Arial" w:hAnsi="Arial"/>
                <w:sz w:val="18"/>
                <w:szCs w:val="18"/>
                <w:color w:val="auto"/>
              </w:rPr>
              <w:t>Effective tax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23.7 %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As of December 31,</w:t>
            </w:r>
          </w:p>
        </w:tc>
      </w:tr>
      <w:tr>
        <w:trPr>
          <w:trHeight w:val="222"/>
        </w:trPr>
        <w:tc>
          <w:tcPr>
            <w:tcW w:w="8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06"/>
        </w:trPr>
        <w:tc>
          <w:tcPr>
            <w:tcW w:w="8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82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Bad debts reserve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Federal net operating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8,876</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net operating loss carry 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w:t>
            </w: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Foreign net operating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10,036</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Capital loss carry forward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10,365</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Basis difference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6,256</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Credits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Limitation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9"/>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86,372</w:t>
            </w:r>
          </w:p>
        </w:tc>
      </w:tr>
      <w:tr>
        <w:trPr>
          <w:trHeight w:val="233"/>
        </w:trPr>
        <w:tc>
          <w:tcPr>
            <w:tcW w:w="8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Basis difference</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(1,555)</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r>
      <w:tr>
        <w:trPr>
          <w:trHeight w:val="225"/>
        </w:trPr>
        <w:tc>
          <w:tcPr>
            <w:tcW w:w="8260" w:type="dxa"/>
            <w:vAlign w:val="bottom"/>
          </w:tcPr>
          <w:p>
            <w:pPr>
              <w:ind w:left="260"/>
              <w:spacing w:after="0"/>
              <w:rPr>
                <w:sz w:val="20"/>
                <w:szCs w:val="20"/>
                <w:color w:val="auto"/>
              </w:rPr>
            </w:pPr>
            <w:r>
              <w:rPr>
                <w:rFonts w:ascii="Arial" w:cs="Arial" w:eastAsia="Arial" w:hAnsi="Arial"/>
                <w:sz w:val="18"/>
                <w:szCs w:val="18"/>
                <w:color w:val="auto"/>
              </w:rPr>
              <w:t>Prepaids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25"/>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w:t>
            </w:r>
          </w:p>
        </w:tc>
      </w:tr>
      <w:tr>
        <w:trPr>
          <w:trHeight w:val="225"/>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(74,961)</w:t>
            </w: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 assets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As of December 31, 2021, the Company has federal and state income tax net operating loss (“NOL”) carryforwards of $63.9 million and $149.4 million, respectively, including NOL carryforwards which will expire at various dates from 2022 through 2040, and NOL carryforwards which do not expire. The Company also has foreign NOL carryforwards in various jurisdictions of $91.8 million that have various carryforward periods. Such NOL carryforwards expire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8"/>
                <w:szCs w:val="18"/>
                <w:b w:val="1"/>
                <w:bCs w:val="1"/>
                <w:color w:val="auto"/>
              </w:rPr>
              <w:t>NOL</w:t>
            </w:r>
          </w:p>
        </w:tc>
        <w:tc>
          <w:tcPr>
            <w:tcW w:w="0" w:type="dxa"/>
            <w:vAlign w:val="bottom"/>
          </w:tcPr>
          <w:p>
            <w:pPr>
              <w:spacing w:after="0"/>
              <w:rPr>
                <w:sz w:val="1"/>
                <w:szCs w:val="1"/>
                <w:color w:val="auto"/>
              </w:rPr>
            </w:pPr>
          </w:p>
        </w:tc>
      </w:tr>
      <w:tr>
        <w:trPr>
          <w:trHeight w:val="226"/>
        </w:trPr>
        <w:tc>
          <w:tcPr>
            <w:tcW w:w="98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6"/>
              </w:rPr>
              <w:t>carryforward</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5"/>
        </w:trPr>
        <w:tc>
          <w:tcPr>
            <w:tcW w:w="9800" w:type="dxa"/>
            <w:vAlign w:val="bottom"/>
          </w:tcPr>
          <w:p>
            <w:pPr>
              <w:ind w:left="1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27"/>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2024 - 2039</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184,107</w:t>
            </w:r>
          </w:p>
        </w:tc>
        <w:tc>
          <w:tcPr>
            <w:tcW w:w="0" w:type="dxa"/>
            <w:vAlign w:val="bottom"/>
          </w:tcPr>
          <w:p>
            <w:pPr>
              <w:spacing w:after="0"/>
              <w:rPr>
                <w:sz w:val="1"/>
                <w:szCs w:val="1"/>
                <w:color w:val="auto"/>
              </w:rPr>
            </w:pPr>
          </w:p>
        </w:tc>
      </w:tr>
      <w:tr>
        <w:trPr>
          <w:trHeight w:val="225"/>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w:t>
            </w:r>
          </w:p>
        </w:tc>
        <w:tc>
          <w:tcPr>
            <w:tcW w:w="0" w:type="dxa"/>
            <w:vAlign w:val="bottom"/>
          </w:tcPr>
          <w:p>
            <w:pPr>
              <w:spacing w:after="0"/>
              <w:rPr>
                <w:sz w:val="1"/>
                <w:szCs w:val="1"/>
                <w:color w:val="auto"/>
              </w:rPr>
            </w:pPr>
          </w:p>
        </w:tc>
      </w:tr>
      <w:tr>
        <w:trPr>
          <w:trHeight w:val="245"/>
        </w:trPr>
        <w:tc>
          <w:tcPr>
            <w:tcW w:w="9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305,061</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evaluating the Company’s ability to recover its deferred tax assets within the jurisdiction from which they arise, the Company considers all available positive and negative evidence, including scheduled reversals of deferred tax liabilities, projected future taxable income, tax-planning strategies, and results of recent operations. In projecting future taxable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 begins with historical results and incorporates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the Company is using to manage the underlying businesses.</w:t>
      </w:r>
    </w:p>
    <w:p>
      <w:pPr>
        <w:spacing w:after="0" w:line="181" w:lineRule="exact"/>
        <w:rPr>
          <w:sz w:val="20"/>
          <w:szCs w:val="20"/>
          <w:color w:val="auto"/>
        </w:rPr>
      </w:pPr>
    </w:p>
    <w:p>
      <w:pPr>
        <w:jc w:val="both"/>
        <w:ind w:right="20" w:firstLine="319"/>
        <w:spacing w:after="0" w:line="296" w:lineRule="auto"/>
        <w:rPr>
          <w:sz w:val="20"/>
          <w:szCs w:val="20"/>
          <w:color w:val="auto"/>
        </w:rPr>
      </w:pPr>
      <w:r>
        <w:rPr>
          <w:rFonts w:ascii="Arial" w:cs="Arial" w:eastAsia="Arial" w:hAnsi="Arial"/>
          <w:sz w:val="17"/>
          <w:szCs w:val="17"/>
          <w:color w:val="auto"/>
        </w:rPr>
        <w:t>The foreign NOL carryforwards in the income tax returns filed included unrecognized tax benefits taken in prior years. The NOLs for which a deferred tax asset is recognized for financial statement purposes in accordance with ASC 740 are presented net of these unrecognized tax benefits.</w:t>
      </w:r>
    </w:p>
    <w:p>
      <w:pPr>
        <w:spacing w:after="0" w:line="183"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6"/>
          <w:szCs w:val="16"/>
          <w:color w:val="auto"/>
        </w:rPr>
        <w:t>The Company continues to evaluate the ability to realize all of its net deferred tax assets at each reporting date and records a benefit for deferred tax assets to the extent it has deferred tax liabilities that provide a source of income to benefit the deferred tax asset. As a result of this analysis, the Company recorded a valuation allowance against the net deferred tax assets of certain foreign jurisdictions as the realization of these assets is not more likely than not, given uncertainty of future earnings in these jurisdictions. The valuation allowance decreased by $1.5 million and increased by $1.6 million during the years ended December 31, 2021 and December 31, 2020, respectively. The decrease in tax year ended December 31, 2021 is primarily related to a decrease in deferred tax assets including deferred revenue, partially offset by a decrease in deferred tax liabilities primarily associated with intangible assets during the period. The increase in tax year ended December 31, 2020 was primarily related to NOL and tax credits generated during the period and a decrease in deferred tax liabilities, partially offset by decreases in other deferred tax assets due to current year activity.</w:t>
      </w:r>
    </w:p>
    <w:p>
      <w:pPr>
        <w:spacing w:after="0" w:line="19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As of December 31, 2021, the Company’s tax years for 2017 through 2020 are subject to examination by the tax authorities. With few exceptions, as of December 31, 2021, the Company is no longer subject to U.S. federal, state, local, or foreign examinations by tax authorities for years before 2016. Due to the amended returns filed to carryback NOLs under the CARES Act, U.S. federal tax returns for years 2013 – 2016 remain subject to future examination by the tax authorities. Additionally, to the extent we utilize our NOL carryforwards in the future, the tax years in which the attribute was generated may still be adjusted upon examination by the tax authorities in the future period when the attribute is utilized.</w:t>
      </w:r>
    </w:p>
    <w:p>
      <w:pPr>
        <w:spacing w:after="0" w:line="222"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During 2021 the Internal Revenue Service commenced an audit of certain of the Company’s prior year U.S. federal income tax filings, including the 2015 through 2020 tax years. The Company does not believe that the results of this audit will have a material effect on its financial position or results of operations.</w:t>
      </w:r>
    </w:p>
    <w:p>
      <w:pPr>
        <w:spacing w:after="0" w:line="160"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In 2017, the TCJA included a transition tax based on undistributed, untaxed foreign earnings analyzed in aggregate. The final analysis performed by the Company resulted in an overall untaxed deficit and no transition tax. In addition, no income taxes have been provided for any remaining undistributed foreign earnings not subject to the transition tax, or any additional outside basis difference inherent in these entities, as these amounts continue to be indefinitely reinvested in foreign operations. Should the Company decide to repatriate the foreign earnings, it would need to adjust its income tax provision in the period it determined that the earnings will no longer be indefinitely invested outside the United States. Due to the timing and circumstances of repatriation of such earnings, if any, it is not practicable to determine the unrecognized deferred tax liability relating to such amounts.</w:t>
      </w:r>
    </w:p>
    <w:p>
      <w:pPr>
        <w:spacing w:after="0" w:line="19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204"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March 11, 2021 the American Rescue Plan Act ("ARPA") was signed into law which is aimed at addressing the continuing economic and health impacts of the COVID-19 pandemic. This legislation relief, along with the previous governmental relief packages provide for numerous changes to current tax law. ARPA does not materially impact the Company’s financial statements in the year ending December 31,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tcPr>
          <w:p>
            <w:pPr>
              <w:ind w:left="320"/>
              <w:spacing w:after="0"/>
              <w:rPr>
                <w:sz w:val="20"/>
                <w:szCs w:val="20"/>
                <w:color w:val="auto"/>
              </w:rPr>
            </w:pPr>
            <w:r>
              <w:rPr>
                <w:rFonts w:ascii="Arial" w:cs="Arial" w:eastAsia="Arial" w:hAnsi="Arial"/>
                <w:sz w:val="18"/>
                <w:szCs w:val="18"/>
                <w:color w:val="auto"/>
              </w:rPr>
              <w:t>A reconciliation of the amounts of unrecognized tax benefits excluding interest, are as follows: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0"/>
        </w:trPr>
        <w:tc>
          <w:tcPr>
            <w:tcW w:w="98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Unrecognized tax</w:t>
            </w:r>
          </w:p>
        </w:tc>
      </w:tr>
      <w:tr>
        <w:trPr>
          <w:trHeight w:val="226"/>
        </w:trPr>
        <w:tc>
          <w:tcPr>
            <w:tcW w:w="9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benefits</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25"/>
        </w:trPr>
        <w:tc>
          <w:tcPr>
            <w:tcW w:w="9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Decrease related to Lapse of Statute of Limitations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20"/>
        </w:trPr>
        <w:tc>
          <w:tcPr>
            <w:tcW w:w="9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r>
      <w:tr>
        <w:trPr>
          <w:trHeight w:val="225"/>
        </w:trPr>
        <w:tc>
          <w:tcPr>
            <w:tcW w:w="9800" w:type="dxa"/>
            <w:vAlign w:val="bottom"/>
          </w:tcPr>
          <w:p>
            <w:pPr>
              <w:ind w:left="260"/>
              <w:spacing w:after="0"/>
              <w:rPr>
                <w:sz w:val="20"/>
                <w:szCs w:val="20"/>
                <w:color w:val="auto"/>
              </w:rPr>
            </w:pPr>
            <w:r>
              <w:rPr>
                <w:rFonts w:ascii="Arial" w:cs="Arial" w:eastAsia="Arial" w:hAnsi="Arial"/>
                <w:sz w:val="18"/>
                <w:szCs w:val="18"/>
                <w:color w:val="auto"/>
              </w:rPr>
              <w:t>Decrease related to Lapse of Statute of Limitations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7"/>
        </w:trPr>
        <w:tc>
          <w:tcPr>
            <w:tcW w:w="9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 for tax positions of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9"/>
        </w:trPr>
        <w:tc>
          <w:tcPr>
            <w:tcW w:w="98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3,283</w:t>
            </w:r>
          </w:p>
        </w:tc>
      </w:tr>
      <w:tr>
        <w:trPr>
          <w:trHeight w:val="227"/>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 related to Lapse of Statute of Limitations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25"/>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Increase for tax positions of current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r>
      <w:tr>
        <w:trPr>
          <w:trHeight w:val="24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Included in the balance of unrecognized tax benefits as of the years ended December 31, 2021 and 2020, are $3.9 million and $2.7 million, respectively, of tax benefits that, if recognized, would affect the effective tax rate.</w:t>
      </w:r>
    </w:p>
    <w:p>
      <w:pPr>
        <w:spacing w:after="0" w:line="193" w:lineRule="exact"/>
        <w:rPr>
          <w:sz w:val="20"/>
          <w:szCs w:val="20"/>
          <w:color w:val="auto"/>
        </w:rPr>
      </w:pPr>
    </w:p>
    <w:p>
      <w:pPr>
        <w:jc w:val="both"/>
        <w:ind w:firstLine="319"/>
        <w:spacing w:after="0" w:line="260" w:lineRule="auto"/>
        <w:rPr>
          <w:sz w:val="20"/>
          <w:szCs w:val="20"/>
          <w:color w:val="auto"/>
        </w:rPr>
      </w:pPr>
      <w:r>
        <w:rPr>
          <w:rFonts w:ascii="Arial" w:cs="Arial" w:eastAsia="Arial" w:hAnsi="Arial"/>
          <w:sz w:val="16"/>
          <w:szCs w:val="16"/>
          <w:color w:val="auto"/>
        </w:rPr>
        <w:t>The Company recognizes interest and penalties, if any, related to unrecognized tax benefits in interest expense. The liability for unrecognized tax benefits excludes accrued interest of $0.4 million, $0.3 million and $0.3 million, for the years ended December 31, 2021, 2020 and 2019, respectively. The Company believes that it is reasonably possible that approximately $1.0 million of its currently unrecognized tax benefits primarily related to research and development</w:t>
      </w:r>
    </w:p>
    <w:p>
      <w:pPr>
        <w:jc w:val="both"/>
        <w:spacing w:after="0" w:line="237" w:lineRule="auto"/>
        <w:rPr>
          <w:sz w:val="20"/>
          <w:szCs w:val="20"/>
          <w:color w:val="auto"/>
        </w:rPr>
      </w:pPr>
      <w:r>
        <w:rPr>
          <w:rFonts w:ascii="Arial" w:cs="Arial" w:eastAsia="Arial" w:hAnsi="Arial"/>
          <w:sz w:val="18"/>
          <w:szCs w:val="18"/>
          <w:color w:val="auto"/>
        </w:rPr>
        <w:t>credits and uncertain tax benefits in non-U.S. jurisdictions, which are individually insignificant, may be recognized by the end of 2022 as a result of a lapse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Common Share (“EPS”)</w:t>
      </w:r>
    </w:p>
    <w:p>
      <w:pPr>
        <w:spacing w:after="0" w:line="25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operations.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7"/>
          </w:tcPr>
          <w:p>
            <w:pPr>
              <w:jc w:val="right"/>
              <w:ind w:right="791"/>
              <w:spacing w:after="0"/>
              <w:rPr>
                <w:sz w:val="20"/>
                <w:szCs w:val="20"/>
                <w:color w:val="auto"/>
              </w:rPr>
            </w:pPr>
            <w:r>
              <w:rPr>
                <w:rFonts w:ascii="Arial" w:cs="Arial" w:eastAsia="Arial" w:hAnsi="Arial"/>
                <w:sz w:val="18"/>
                <w:szCs w:val="18"/>
                <w:b w:val="1"/>
                <w:bCs w:val="1"/>
                <w:color w:val="auto"/>
              </w:rPr>
              <w:t>Twelve Months Ended December 31,</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6"/>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 - Basic:</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260"/>
              <w:spacing w:after="0"/>
              <w:rPr>
                <w:sz w:val="20"/>
                <w:szCs w:val="20"/>
                <w:color w:val="auto"/>
              </w:rPr>
            </w:pPr>
            <w:r>
              <w:rPr>
                <w:rFonts w:ascii="Arial" w:cs="Arial" w:eastAsia="Arial" w:hAnsi="Arial"/>
                <w:sz w:val="18"/>
                <w:szCs w:val="18"/>
                <w:color w:val="auto"/>
              </w:rPr>
              <w:t>Net loss from operations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(103,467)</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redeemable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Preferred stock dividend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(32,134)</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Synchronoss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 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loss from operations attributable to Synchronoss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(136,727)</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Synchronoss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40,694</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shd w:val="clear" w:color="auto" w:fill="CCEEFF"/>
          </w:tcPr>
          <w:p>
            <w:pPr>
              <w:ind w:left="260"/>
              <w:spacing w:after="0" w:line="200" w:lineRule="exact"/>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line="200"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31"/>
              <w:spacing w:after="0" w:line="17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8"/>
                <w:szCs w:val="18"/>
                <w:color w:val="auto"/>
              </w:rPr>
              <w:t>(0.90)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31"/>
              <w:spacing w:after="0" w:line="17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1"/>
              <w:spacing w:after="0" w:line="17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Anti-dilutive stock options excluded</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agreements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has various non-cancelable arrangements such as services for hosting, support, and software that expire at various dates, with the latest expiration in 2025.</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Aggregate annual future minimum payments under non-cancelable agreements as of December 31, 2021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6"/>
                <w:szCs w:val="16"/>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w w:val="89"/>
              </w:rPr>
              <w:t>Non-cancelable</w:t>
            </w:r>
          </w:p>
        </w:tc>
        <w:tc>
          <w:tcPr>
            <w:tcW w:w="0" w:type="dxa"/>
            <w:vAlign w:val="bottom"/>
          </w:tcPr>
          <w:p>
            <w:pPr>
              <w:spacing w:after="0"/>
              <w:rPr>
                <w:sz w:val="1"/>
                <w:szCs w:val="1"/>
                <w:color w:val="auto"/>
              </w:rPr>
            </w:pPr>
          </w:p>
        </w:tc>
      </w:tr>
      <w:tr>
        <w:trPr>
          <w:trHeight w:val="210"/>
        </w:trPr>
        <w:tc>
          <w:tcPr>
            <w:tcW w:w="98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agreements</w:t>
            </w:r>
          </w:p>
        </w:tc>
        <w:tc>
          <w:tcPr>
            <w:tcW w:w="0" w:type="dxa"/>
            <w:vAlign w:val="bottom"/>
          </w:tcPr>
          <w:p>
            <w:pPr>
              <w:spacing w:after="0"/>
              <w:rPr>
                <w:sz w:val="1"/>
                <w:szCs w:val="1"/>
                <w:color w:val="auto"/>
              </w:rPr>
            </w:pPr>
          </w:p>
        </w:tc>
      </w:tr>
      <w:tr>
        <w:trPr>
          <w:trHeight w:val="222"/>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w:t>
            </w:r>
          </w:p>
        </w:tc>
        <w:tc>
          <w:tcPr>
            <w:tcW w:w="0" w:type="dxa"/>
            <w:vAlign w:val="bottom"/>
          </w:tcPr>
          <w:p>
            <w:pPr>
              <w:spacing w:after="0"/>
              <w:rPr>
                <w:sz w:val="1"/>
                <w:szCs w:val="1"/>
                <w:color w:val="auto"/>
              </w:rPr>
            </w:pPr>
          </w:p>
        </w:tc>
      </w:tr>
      <w:tr>
        <w:trPr>
          <w:trHeight w:val="225"/>
        </w:trPr>
        <w:tc>
          <w:tcPr>
            <w:tcW w:w="9800" w:type="dxa"/>
            <w:vAlign w:val="bottom"/>
          </w:tcPr>
          <w:p>
            <w:pPr>
              <w:ind w:left="1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16,276</w:t>
            </w:r>
          </w:p>
        </w:tc>
        <w:tc>
          <w:tcPr>
            <w:tcW w:w="0" w:type="dxa"/>
            <w:vAlign w:val="bottom"/>
          </w:tcPr>
          <w:p>
            <w:pPr>
              <w:spacing w:after="0"/>
              <w:rPr>
                <w:sz w:val="1"/>
                <w:szCs w:val="1"/>
                <w:color w:val="auto"/>
              </w:rPr>
            </w:pPr>
          </w:p>
        </w:tc>
      </w:tr>
      <w:tr>
        <w:trPr>
          <w:trHeight w:val="227"/>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25"/>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2025 and 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45"/>
        </w:trPr>
        <w:tc>
          <w:tcPr>
            <w:tcW w:w="9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Legal Matters</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211"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United States District Court for the District of New Jersey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 allowing lead plaintiff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The plaintiff seeks unspecified damages, fees, interest, and costs. On October 4, 2019, the defendants moved to dismiss the second amended complaint in its entirety. On May 29, 2020, the Court granted in part and denied in part defendants’ motion to dismiss the second amended complaint, without prejudice. Plaintiff filed its motion for class certification on October 30, 2020.</w:t>
      </w:r>
    </w:p>
    <w:p>
      <w:pPr>
        <w:spacing w:after="0" w:line="20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On September 15, 2017, October 24, 2017, October 27, 2017 and October 30, 2017, Company shareholders filed derivative lawsuits against certain of the Company’s current and former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On March 11, 2019, the defendants filed a motion to dismiss the Operative Complaint, which the Court granted in substantial part on November 26, 2019. On December 10, 2019, the defendants filed a motion for reconsideration respecting the only claim to survive the motion to dismiss. On June 12, 2020,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Court granted the defendants’ motion for reconsideration and dismissed the remaining claim without prejudice, allowing lead plaintiff leave to amend her complaint. On July 13, 2020, lead plaintiff filed an amended complaint. The amended complaint alleges claims related to breaches of fiduciary duties and unjust enrichment. The amended complaint’s allegations relate to substantially the same facts as those underlying the Securities Law Action described above. On April 30, 2021, the Court dismissed Plaintiff’s amended complaint in its entirety. Plaintiff filed a notice of appeal on May 28, 2021.</w:t>
      </w:r>
    </w:p>
    <w:p>
      <w:pPr>
        <w:spacing w:after="0" w:line="189"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(the “Delaware Litigation”). Plaintiffs seek unspecified damages and for the Company to take steps to improve its corporate governance and internal procedures. On May 20, 2019, the parties stipulated to a stay of the action pending a ruling on the pending motion to dismiss in the Derivative Suits.</w:t>
      </w:r>
    </w:p>
    <w:p>
      <w:pPr>
        <w:spacing w:after="0" w:line="208"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On June 11, 2020 and June 12, 2020, Company shareholders filed derivative lawsuits against certain of the Company’s current and former officers and directors and the Company (as nominal defendant) in the United States District Court for the District of New Jersey (the “Demand Refused Derivative Complaints” and together with the Delaware Litigation and the Derivative Suits, the “Derivative Actions”). The Demand Refused Derivative Complaints allege claims related to breaches of fiduciary duty, unjust enrichment, and alleged violations of securities laws. The complainants’ allegations relate substantially to the same facts as those underlying the Securities Law Action described above. The Demand Refused Derivative Complaints further allege that each plaintiff made a demand upon the Company’s Board of Directors to investigate the alleged misconduct and that such demand was wrongfully refused. Plaintiffs seek unspecified damages and for the Company to take steps to improve its corporate governance and internal procedures. On October 20, 2020, the Court consolidated the actions and appointed co-lead plaintiffs. On December 4, 2020, co-lead plaintiffs filed a consolidated amended complaint. On February 3, 2021, the defendants filed motions to dismiss the amended complaint.</w:t>
      </w:r>
    </w:p>
    <w:p>
      <w:pPr>
        <w:spacing w:after="0" w:line="19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On May 7, 2021, a mediation took place concerning the Securities Law Action and the Derivative Actions. On August 19, 2021, the parties to the Securities Law Action entered into a stipulation of settlement. The Court preliminarily approved the proposed settlement in the Securities Law Action on August 25, 2021, and approved final settlement at the hearing on December 8, 2021. On September 9, 2021, the parties to the Derivative Actions entered into a stipulation of settlement. The Court preliminarily approved the proposed settlement in the Derivative Actions on September 14, 2021, and approved the final settlement on December 13, 2021. The Securities Law Action and the Derivative Actions did not have a material adverse effect on the Company’s financial position, prospects, or results of operations as the settlements were within insurance policy limits. The Securities Law Action and the Derivative Actions have been dismissed in all venues and the settlements have been funded.</w:t>
      </w:r>
    </w:p>
    <w:p>
      <w:pPr>
        <w:spacing w:after="0" w:line="206"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In the third quarter of 2017, the SEC and Department of Justice initiated investigations in connection with the June 2017 Announcement and certain transactions that the Company restated in the third quarter of 2018. The Company has received subpoenas, produced documents, and provided additional information to the government in connection with those investigations. On June 22, 2021, the Securities and Exchange Commission (“SEC”) staff verbally notified the Company that the staff has made a preliminary determination to recommend that the SEC initiate an enforcement action against the Company. This is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That restatement followed the Company’s announcement, on June 13, 2017 (the “June 2017 Announcement”), that certain of its prior financial statements would need to be restated. Certain individuals, including certain former members of Synchronoss’ management team, received similar notifications. The Company remains in discussions with the SEC staff regarding the prospect of resolving this matter through settlement. If the Company is unable to resolve this matter through settlement then it would expect to receive a “Wells notice” from the SEC staff in connection with this matter. Although a Wells notice is neither a formal charge of wrongdoing nor a final determination that the recipient has violated any law, it is a formal notice that the SEC intends to bring an enforcement action against the recipient. Upon receipt of a Wells notice, the recipient has the opportunity to respond to the SEC staff’s position before any formal enforcement action is taken. Due to the inherent uncertainties of government investigations, the Company cannot predict the outcome of these government investigations or the SEC staff’s preliminary determination at this time and can give no assurance that the asserted claims will not have a material adverse effect on its financial position, prospects, or results of operations.</w:t>
      </w:r>
    </w:p>
    <w:p>
      <w:pPr>
        <w:spacing w:after="0" w:line="199"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7" w:lineRule="exact"/>
        <w:rPr>
          <w:sz w:val="20"/>
          <w:szCs w:val="20"/>
          <w:color w:val="auto"/>
        </w:rPr>
      </w:pPr>
    </w:p>
    <w:p>
      <w:pPr>
        <w:jc w:val="center"/>
        <w:ind w:left="340" w:right="2400"/>
        <w:spacing w:after="0" w:line="250" w:lineRule="auto"/>
        <w:rPr>
          <w:sz w:val="20"/>
          <w:szCs w:val="20"/>
          <w:color w:val="auto"/>
        </w:rPr>
      </w:pPr>
      <w:r>
        <w:rPr>
          <w:rFonts w:ascii="Arial" w:cs="Arial" w:eastAsia="Arial" w:hAnsi="Arial"/>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DXP and Activation Solutions</w:t>
      </w:r>
    </w:p>
    <w:p>
      <w:pPr>
        <w:spacing w:after="0" w:line="25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On March 7, 2022, Synchronoss and iQmetrix Global Ltd. (“iQmetrix ”), entered into an Asset Purchase Agreement (the “Purchase Agreement”) pursuant to which Synchronoss has agreed to sell its Digital Experience Platform and activation solutions (the “DXP Business”) to iQmetrix (the “Transaction”) for up to a total purchase price of $14,000,000, and iQmetrix has agreed to assume liabilities of the DXP Business. The purchase price is payable as follows: (i) $10,500,000 on the closing date of the Transaction (the “Closing Date”), (ii) $500,000 deposited into an escrow account on the Closing Date, (iii) $1,000,000 paid twelve (12) months from the Closing Date, and (iv) $2,000,000 that may be payable as an earn-out, consisting of up to $1,000,000 payable after one (1) year from the Closing Date and up to $1,000,000 payable after two (2) years from the Closing Date, in each case if specified revenue targets are satisfied.</w:t>
      </w:r>
    </w:p>
    <w:p>
      <w:pPr>
        <w:spacing w:after="0" w:line="22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Purchase Agreement contains customary representations and warranties, covenants and indemnification provisions. The completion of the Transaction is subject to iQmetrix obtaining sufficient financing to pay the purchase price and the satisfaction or waiver of customary closing conditions. At the closing of the Transaction, iQmetrix will license the DXP software back to Synchronoss for internal use.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Additional Financial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components of Other income (expense) included in the Consolidated Statements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Twelve Months Ended December 31,</w:t>
            </w:r>
          </w:p>
        </w:tc>
        <w:tc>
          <w:tcPr>
            <w:tcW w:w="1020" w:type="dxa"/>
            <w:vAlign w:val="bottom"/>
            <w:tcBorders>
              <w:bottom w:val="single" w:sz="8" w:color="auto"/>
            </w:tcBorders>
          </w:tcPr>
          <w:p>
            <w:pPr>
              <w:spacing w:after="0"/>
              <w:rPr>
                <w:sz w:val="16"/>
                <w:szCs w:val="16"/>
                <w:color w:val="auto"/>
              </w:rPr>
            </w:pPr>
          </w:p>
        </w:tc>
      </w:tr>
      <w:tr>
        <w:trPr>
          <w:trHeight w:val="209"/>
        </w:trPr>
        <w:tc>
          <w:tcPr>
            <w:tcW w:w="67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222"/>
        </w:trPr>
        <w:tc>
          <w:tcPr>
            <w:tcW w:w="672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FX gains (losses)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67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Government refunds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6"/>
        </w:trPr>
        <w:tc>
          <w:tcPr>
            <w:tcW w:w="6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Income from sale of intangible assets </w:t>
            </w:r>
            <w:r>
              <w:rPr>
                <w:rFonts w:ascii="Arial" w:cs="Arial" w:eastAsia="Arial" w:hAnsi="Arial"/>
                <w:sz w:val="23"/>
                <w:szCs w:val="23"/>
                <w:color w:val="auto"/>
                <w:vertAlign w:val="superscript"/>
              </w:rPr>
              <w:t>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26"/>
        </w:trPr>
        <w:tc>
          <w:tcPr>
            <w:tcW w:w="672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3"/>
                <w:szCs w:val="23"/>
                <w:color w:val="auto"/>
                <w:vertAlign w:val="superscript"/>
              </w:rPr>
              <w:t>4</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44"/>
        </w:trPr>
        <w:tc>
          <w:tcPr>
            <w:tcW w:w="67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(4,877)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01" w:lineRule="exact"/>
        <w:rPr>
          <w:sz w:val="20"/>
          <w:szCs w:val="20"/>
          <w:color w:val="auto"/>
        </w:rPr>
      </w:pPr>
    </w:p>
    <w:p>
      <w:pPr>
        <w:jc w:val="center"/>
        <w:ind w:left="320" w:right="8060" w:hanging="314"/>
        <w:spacing w:after="0" w:line="217" w:lineRule="auto"/>
        <w:tabs>
          <w:tab w:leader="none" w:pos="156"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 xml:space="preserve">Fair value of foreign exchange gains and losses </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Represents government and tax refunds</w:t>
      </w:r>
    </w:p>
    <w:p>
      <w:pPr>
        <w:spacing w:after="0" w:line="1" w:lineRule="exact"/>
        <w:rPr>
          <w:rFonts w:ascii="Arial" w:cs="Arial" w:eastAsia="Arial" w:hAnsi="Arial"/>
          <w:sz w:val="19"/>
          <w:szCs w:val="19"/>
          <w:color w:val="auto"/>
          <w:vertAlign w:val="superscript"/>
        </w:rPr>
      </w:pPr>
    </w:p>
    <w:p>
      <w:pPr>
        <w:ind w:left="320" w:right="6460"/>
        <w:spacing w:after="0" w:line="27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Represents gain on sale on the Company’s IP addresses and patents </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an aggregate of individually immaterial transactions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We maintain disclosure controls and procedures (as defined in Rule 13a-15(e) or Rule 15d-15(e) under the Exchange Act) that are designed to ensure that information required to be disclosed by us in reports that we file under the Exchange Act is recorded, processed, summarized, and reported within the time periods specified in the SEC’s rules and forms and that such information required to be disclosed by us in reports that we file under the Exchange Act is accumulated and communicated to our management, including our Chief Executive Officer, or CEO, and our Chief Financial Officer, or CFO, to allow timely decisions regarding required disclosure. Management, with the participation of our CEO and CFO, performed an evaluation of the effectiveness of our disclosure controls and procedures as of December 31, 2021. Based on that evaluation, our CEO and CFO concluded that our disclosure controls and procedures were effective as of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Rule 15d-15(f) under the Exchange Act). Under the supervision and with the participation of our management, including our CEO and CFO, we conducted an evaluation of the effectiveness of our internal control over financial reporting based on the framework in Internal Control-Integrated Framework issued by the Committee of Sponsoring Organizations of the Treadway Commission (2013 Framework). Based on that evaluation, our management concluded that our internal control over financial reporting was effective as of December 31, 2021 to provide reasonable assurance regarding the reliability of financial reporting and the preparation of consolidated financial statements for external reporting purposes in accordance with GAAP.</w:t>
      </w:r>
    </w:p>
    <w:p>
      <w:pPr>
        <w:spacing w:after="0" w:line="19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Ernst &amp; Young LLP, the independent registered public accounting firm that audited our consolidated financial statements included in this Annual Report on Form 10-K, audited the effectiveness of our internal control over financial reporting as of December 31, 2021. Ernst &amp; Young LLP has issued their report which is included elsewhere herein.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Rule 15d-15(f) under the Exchange Act) identified in connection with the evaluation of our controls performed during the year ended December 31, 2021 that have materially affected, or are reasonably likely to materially affect, our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5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Synchronoss Technologies, Inc.: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audited Synchronoss Technologies, Inc.’s internal control over financial reporting as of December 31, 2021, based on criteria established in Internal Control—Integrated Framework issued by the Committee of Sponsoring Organizations of the Treadway Commission (2013 framework) (the COSO criteria). In our opinion, Synchronoss Technologies, Inc. (the Company) maintained, in all material respects, effective internal control over financial reporting as of December 31, 2021, based on the COSO criteria.</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(loss) income, stockholders’ equity and cash flows for each of the three years in the period ended December 31, 2021, and the related notes and financial statements listed in the Index at Item 15(a)(2) and our report dated March 15, 2022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34" w:lineRule="exact"/>
        <w:rPr>
          <w:sz w:val="20"/>
          <w:szCs w:val="20"/>
          <w:color w:val="auto"/>
        </w:rPr>
      </w:pPr>
    </w:p>
    <w:p>
      <w:pPr>
        <w:ind w:left="640" w:hanging="315"/>
        <w:spacing w:after="0" w:line="266" w:lineRule="auto"/>
        <w:tabs>
          <w:tab w:leader="none" w:pos="6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Identification of Directors. Information concerning the directors of Synchronoss is set forth under the heading “Election of Directors” in the Synchronoss Proxy Statement for the 2022 Annual Meeting of Stockholders and is incorporated herein by reference.</w:t>
      </w:r>
    </w:p>
    <w:p>
      <w:pPr>
        <w:spacing w:after="0" w:line="205" w:lineRule="exact"/>
        <w:rPr>
          <w:rFonts w:ascii="Arial" w:cs="Arial" w:eastAsia="Arial" w:hAnsi="Arial"/>
          <w:sz w:val="18"/>
          <w:szCs w:val="18"/>
          <w:color w:val="auto"/>
        </w:rPr>
      </w:pPr>
    </w:p>
    <w:p>
      <w:pPr>
        <w:ind w:left="640" w:hanging="315"/>
        <w:spacing w:after="0" w:line="296"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Audit Committee Financial Expert. Information concerning Synchronoss’ audit committee financial expert is set forth under the heading “Audit Committee” in the Synchronoss Proxy Statement for the 2022 Annual Meeting of Stockholders and is incorporated herein by reference.</w:t>
      </w:r>
    </w:p>
    <w:p>
      <w:pPr>
        <w:spacing w:after="0" w:line="182" w:lineRule="exact"/>
        <w:rPr>
          <w:rFonts w:ascii="Arial" w:cs="Arial" w:eastAsia="Arial" w:hAnsi="Arial"/>
          <w:sz w:val="17"/>
          <w:szCs w:val="17"/>
          <w:color w:val="auto"/>
        </w:rPr>
      </w:pPr>
    </w:p>
    <w:p>
      <w:pPr>
        <w:ind w:left="640" w:hanging="315"/>
        <w:spacing w:after="0" w:line="296" w:lineRule="auto"/>
        <w:tabs>
          <w:tab w:leader="none" w:pos="6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Identification of the Audit Committee. Information concerning the audit committee of Synchronoss is set forth under the heading “Audit Committee” in the Synchronoss Proxy Statement for the 2022 Annual Meeting of Stockholders and is incorporated herein by reference.</w:t>
      </w:r>
    </w:p>
    <w:p>
      <w:pPr>
        <w:spacing w:after="0" w:line="182"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Delinquent Section 16(a) Reports. Information concerning non-compliance, if any, with beneficial ownership reporting requirements is set forth under the caption “Delinquent Section 16(a) Reports” in the Synchronoss Proxy Statement for the 2022 Annual Meeting of Stockholders and is incorporated herein by reference.</w:t>
      </w:r>
    </w:p>
    <w:p>
      <w:pPr>
        <w:spacing w:after="0" w:line="215" w:lineRule="exact"/>
        <w:rPr>
          <w:rFonts w:ascii="Arial" w:cs="Arial" w:eastAsia="Arial" w:hAnsi="Arial"/>
          <w:sz w:val="18"/>
          <w:szCs w:val="18"/>
          <w:color w:val="auto"/>
        </w:rPr>
      </w:pPr>
    </w:p>
    <w:p>
      <w:pPr>
        <w:jc w:val="both"/>
        <w:ind w:left="640" w:hanging="315"/>
        <w:spacing w:after="0" w:line="256" w:lineRule="auto"/>
        <w:tabs>
          <w:tab w:leader="none" w:pos="6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about our Executive Officers. Information concerning the executive officers of Synchronoss is set forth under the heading “Information about our Executive Officers” in the Synchronoss Proxy Statement for the 2022 Annual Meeting of Stockholders and is incorporated herein by reference.</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Code of Ethics. Information concerning the Synchronoss Workplace Code of Ethics and Business Conduct is set forth under the caption “Workplace Code of Ethics and Business Conduct” in the Synchronoss Proxy Statement for the 2022 Annual Meeting of Stockholders and is incorporated herein by reference. The Company intends to disclose on its website any amendments to, or waivers from, its Code of Business Conduct that are required to be disclosed pursuant to the rules of the SEC. Information contained on, or connected to, our website is not incorporated by reference into this annual report and should not be considered part of this report or any other filing that we make with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Information concerning executive compensation is set forth under the headings “Compensation of Executive Officers” and “Securities Authorized for Issuance Under Equity Compensation Plans” in the Synchronoss Proxy Statement for the 2022 Annual Meeting of Stockholders and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63"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2022 Annual Meeting of Stockholders and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Information concerning certain relationships and related transactions is set forth under the heading “Certain Related Party Transactions” in the Synchronoss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Information concerning fees and services of the Company’s principal accountants is set forth under the heading “Report of the Audit Committee” and “Independent Registered Public Accounting Firm’s Fees” in the Synchronoss Proxy Statement for the 2022 Annual Meeting of Stockholders and is incorporated herein by reference.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60" w:type="dxa"/>
            <w:vAlign w:val="bottom"/>
            <w:gridSpan w:val="2"/>
          </w:tcPr>
          <w:p>
            <w:pPr>
              <w:jc w:val="right"/>
              <w:ind w:right="5131"/>
              <w:spacing w:after="0"/>
              <w:rPr>
                <w:sz w:val="20"/>
                <w:szCs w:val="20"/>
                <w:color w:val="auto"/>
              </w:rPr>
            </w:pPr>
            <w:r>
              <w:rPr>
                <w:rFonts w:ascii="Arial" w:cs="Arial" w:eastAsia="Arial" w:hAnsi="Arial"/>
                <w:sz w:val="18"/>
                <w:szCs w:val="18"/>
                <w:b w:val="1"/>
                <w:bCs w:val="1"/>
                <w:color w:val="auto"/>
              </w:rPr>
              <w:t>PART IV</w:t>
            </w:r>
          </w:p>
        </w:tc>
      </w:tr>
      <w:tr>
        <w:trPr>
          <w:trHeight w:val="372"/>
        </w:trPr>
        <w:tc>
          <w:tcPr>
            <w:tcW w:w="474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w:t>
            </w: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2"/>
        </w:trPr>
        <w:tc>
          <w:tcPr>
            <w:tcW w:w="40" w:type="dxa"/>
            <w:vAlign w:val="bottom"/>
          </w:tcPr>
          <w:p>
            <w:pPr>
              <w:spacing w:after="0"/>
              <w:rPr>
                <w:sz w:val="24"/>
                <w:szCs w:val="24"/>
                <w:color w:val="auto"/>
              </w:rPr>
            </w:pPr>
          </w:p>
        </w:tc>
        <w:tc>
          <w:tcPr>
            <w:tcW w:w="4700" w:type="dxa"/>
            <w:vAlign w:val="bottom"/>
            <w:gridSpan w:val="7"/>
          </w:tcPr>
          <w:p>
            <w:pPr>
              <w:ind w:left="280"/>
              <w:spacing w:after="0"/>
              <w:rPr>
                <w:sz w:val="20"/>
                <w:szCs w:val="20"/>
                <w:color w:val="auto"/>
              </w:rPr>
            </w:pPr>
            <w:r>
              <w:rPr>
                <w:rFonts w:ascii="Arial" w:cs="Arial" w:eastAsia="Arial" w:hAnsi="Arial"/>
                <w:sz w:val="18"/>
                <w:szCs w:val="18"/>
                <w:color w:val="auto"/>
              </w:rPr>
              <w:t>(a)(1) Financial Statements:</w:t>
            </w: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6"/>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No.</w:t>
            </w:r>
          </w:p>
        </w:tc>
      </w:tr>
      <w:tr>
        <w:trPr>
          <w:trHeight w:val="187"/>
        </w:trPr>
        <w:tc>
          <w:tcPr>
            <w:tcW w:w="40" w:type="dxa"/>
            <w:vAlign w:val="bottom"/>
          </w:tcPr>
          <w:p>
            <w:pPr>
              <w:spacing w:after="0"/>
              <w:rPr>
                <w:sz w:val="16"/>
                <w:szCs w:val="16"/>
                <w:color w:val="auto"/>
              </w:rPr>
            </w:pPr>
          </w:p>
        </w:tc>
        <w:tc>
          <w:tcPr>
            <w:tcW w:w="4160" w:type="dxa"/>
            <w:vAlign w:val="bottom"/>
            <w:tcBorders>
              <w:bottom w:val="single" w:sz="8" w:color="0000FF"/>
            </w:tcBorders>
            <w:gridSpan w:val="5"/>
          </w:tcPr>
          <w:p>
            <w:pPr>
              <w:spacing w:after="0" w:line="188"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Report of Independent Registered Public Accounting Firm</w:t>
              </w:r>
            </w:hyperlink>
          </w:p>
        </w:tc>
        <w:tc>
          <w:tcPr>
            <w:tcW w:w="540" w:type="dxa"/>
            <w:vAlign w:val="bottom"/>
            <w:gridSpan w:val="2"/>
          </w:tcPr>
          <w:p>
            <w:pPr>
              <w:spacing w:after="0"/>
              <w:rPr>
                <w:sz w:val="16"/>
                <w:szCs w:val="16"/>
                <w:color w:val="auto"/>
              </w:rPr>
            </w:pPr>
          </w:p>
        </w:tc>
        <w:tc>
          <w:tcPr>
            <w:tcW w:w="62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8"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61</w:t>
              </w:r>
            </w:hyperlink>
          </w:p>
        </w:tc>
      </w:tr>
      <w:tr>
        <w:trPr>
          <w:trHeight w:val="206"/>
        </w:trPr>
        <w:tc>
          <w:tcPr>
            <w:tcW w:w="40" w:type="dxa"/>
            <w:vAlign w:val="bottom"/>
          </w:tcPr>
          <w:p>
            <w:pPr>
              <w:spacing w:after="0"/>
              <w:rPr>
                <w:sz w:val="17"/>
                <w:szCs w:val="17"/>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6460" w:type="dxa"/>
            <w:vAlign w:val="bottom"/>
            <w:gridSpan w:val="2"/>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7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Consolidated Statements of Operations</w:t>
            </w:r>
          </w:p>
        </w:tc>
        <w:tc>
          <w:tcPr>
            <w:tcW w:w="1920" w:type="dxa"/>
            <w:vAlign w:val="bottom"/>
            <w:gridSpan w:val="5"/>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64</w:t>
              </w:r>
            </w:hyperlink>
          </w:p>
        </w:tc>
      </w:tr>
      <w:tr>
        <w:trPr>
          <w:trHeight w:val="206"/>
        </w:trPr>
        <w:tc>
          <w:tcPr>
            <w:tcW w:w="40" w:type="dxa"/>
            <w:vAlign w:val="bottom"/>
          </w:tcPr>
          <w:p>
            <w:pPr>
              <w:spacing w:after="0"/>
              <w:rPr>
                <w:sz w:val="17"/>
                <w:szCs w:val="17"/>
                <w:color w:val="auto"/>
              </w:rPr>
            </w:pPr>
          </w:p>
        </w:tc>
        <w:tc>
          <w:tcPr>
            <w:tcW w:w="4700" w:type="dxa"/>
            <w:vAlign w:val="bottom"/>
            <w:gridSpan w:val="7"/>
          </w:tcPr>
          <w:p>
            <w:pPr>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Consolidated Statements of Comprehensive (Loss) Income</w:t>
              </w:r>
            </w:hyperlink>
          </w:p>
        </w:tc>
        <w:tc>
          <w:tcPr>
            <w:tcW w:w="6460" w:type="dxa"/>
            <w:vAlign w:val="bottom"/>
            <w:gridSpan w:val="2"/>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6"/>
        </w:trPr>
        <w:tc>
          <w:tcPr>
            <w:tcW w:w="4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Stockholders’ Equity</w:t>
            </w:r>
          </w:p>
        </w:tc>
        <w:tc>
          <w:tcPr>
            <w:tcW w:w="680" w:type="dxa"/>
            <w:vAlign w:val="bottom"/>
            <w:tcBorders>
              <w:top w:val="single" w:sz="8" w:color="0000FF"/>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66</w:t>
              </w:r>
            </w:hyperlink>
          </w:p>
        </w:tc>
      </w:tr>
      <w:tr>
        <w:trPr>
          <w:trHeight w:val="206"/>
        </w:trPr>
        <w:tc>
          <w:tcPr>
            <w:tcW w:w="40" w:type="dxa"/>
            <w:vAlign w:val="bottom"/>
          </w:tcPr>
          <w:p>
            <w:pPr>
              <w:spacing w:after="0"/>
              <w:rPr>
                <w:sz w:val="17"/>
                <w:szCs w:val="17"/>
                <w:color w:val="auto"/>
              </w:rPr>
            </w:pPr>
          </w:p>
        </w:tc>
        <w:tc>
          <w:tcPr>
            <w:tcW w:w="470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6460" w:type="dxa"/>
            <w:vAlign w:val="bottom"/>
            <w:gridSpan w:val="2"/>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206"/>
        </w:trPr>
        <w:tc>
          <w:tcPr>
            <w:tcW w:w="40" w:type="dxa"/>
            <w:vAlign w:val="bottom"/>
          </w:tcPr>
          <w:p>
            <w:pPr>
              <w:spacing w:after="0"/>
              <w:rPr>
                <w:sz w:val="17"/>
                <w:szCs w:val="17"/>
                <w:color w:val="auto"/>
              </w:rPr>
            </w:pPr>
          </w:p>
        </w:tc>
        <w:tc>
          <w:tcPr>
            <w:tcW w:w="28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Notes to Financial Statements</w:t>
            </w:r>
          </w:p>
        </w:tc>
        <w:tc>
          <w:tcPr>
            <w:tcW w:w="1880" w:type="dxa"/>
            <w:vAlign w:val="bottom"/>
            <w:gridSpan w:val="4"/>
          </w:tcPr>
          <w:p>
            <w:pPr>
              <w:spacing w:after="0"/>
              <w:rPr>
                <w:sz w:val="17"/>
                <w:szCs w:val="17"/>
                <w:color w:val="auto"/>
              </w:rPr>
            </w:pPr>
          </w:p>
        </w:tc>
        <w:tc>
          <w:tcPr>
            <w:tcW w:w="6280" w:type="dxa"/>
            <w:vAlign w:val="bottom"/>
          </w:tcPr>
          <w:p>
            <w:pPr>
              <w:spacing w:after="0"/>
              <w:rPr>
                <w:sz w:val="17"/>
                <w:szCs w:val="17"/>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69</w:t>
              </w:r>
            </w:hyperlink>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(a)(2) Schedule for the years ended December 31, 2021, 2020, 2019:</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II—Valuation and Qualifying Accounts</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of the Notes to Consolidated Financial Statements in Part II, Item 8 of this Form 10-K thereto.</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(a)(3) Exhibits:</w:t>
      </w:r>
    </w:p>
    <w:p>
      <w:pPr>
        <w:spacing w:after="0" w:line="128"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177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2" w:lineRule="exact"/>
        <w:rPr>
          <w:sz w:val="20"/>
          <w:szCs w:val="20"/>
          <w:color w:val="auto"/>
        </w:rPr>
      </w:pPr>
    </w:p>
    <w:p>
      <w:pPr>
        <w:ind w:left="860"/>
        <w:spacing w:after="0" w:line="161" w:lineRule="exact"/>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3.1</w:t>
      </w:r>
      <w:r>
        <w:rPr>
          <w:sz w:val="20"/>
          <w:szCs w:val="20"/>
          <w:color w:val="auto"/>
        </w:rPr>
        <w:tab/>
      </w:r>
      <w:hyperlink r:id="rId144">
        <w:r>
          <w:rPr>
            <w:rFonts w:ascii="Arial" w:cs="Arial" w:eastAsia="Arial" w:hAnsi="Arial"/>
            <w:sz w:val="12"/>
            <w:szCs w:val="12"/>
            <w:u w:val="single" w:color="auto"/>
            <w:color w:val="0000FF"/>
          </w:rPr>
          <w:t>Restated Certificate of Incorporation of the Registrant, incorporated by reference to Registrant’s Registration Statement on Form S</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1 (Commission File No. 333</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132080).</w:t>
        </w:r>
      </w:hyperlink>
    </w:p>
    <w:p>
      <w:pPr>
        <w:spacing w:after="0" w:line="25" w:lineRule="exact"/>
        <w:rPr>
          <w:sz w:val="20"/>
          <w:szCs w:val="20"/>
          <w:color w:val="auto"/>
        </w:rPr>
      </w:pPr>
    </w:p>
    <w:p>
      <w:pPr>
        <w:ind w:left="860"/>
        <w:spacing w:after="0" w:line="161" w:lineRule="exact"/>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3.2</w:t>
      </w:r>
      <w:r>
        <w:rPr>
          <w:sz w:val="20"/>
          <w:szCs w:val="20"/>
          <w:color w:val="auto"/>
        </w:rPr>
        <w:tab/>
      </w:r>
      <w:hyperlink r:id="rId145">
        <w:r>
          <w:rPr>
            <w:rFonts w:ascii="Arial" w:cs="Arial" w:eastAsia="Arial" w:hAnsi="Arial"/>
            <w:sz w:val="12"/>
            <w:szCs w:val="12"/>
            <w:u w:val="single" w:color="auto"/>
            <w:color w:val="0000FF"/>
          </w:rPr>
          <w:t>Amended and Restated Bylaws of the Registrant, incorporated by reference to Registrant’s Registration Statement on Form S</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1 (Commission File No. 333</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132080).</w:t>
        </w:r>
      </w:hyperlink>
    </w:p>
    <w:p>
      <w:pPr>
        <w:spacing w:after="0" w:line="25" w:lineRule="exact"/>
        <w:rPr>
          <w:sz w:val="20"/>
          <w:szCs w:val="20"/>
          <w:color w:val="auto"/>
        </w:rPr>
      </w:pPr>
    </w:p>
    <w:p>
      <w:pPr>
        <w:ind w:left="1220" w:right="6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3.3</w:t>
      </w:r>
      <w:r>
        <w:rPr>
          <w:sz w:val="20"/>
          <w:szCs w:val="20"/>
          <w:color w:val="auto"/>
        </w:rPr>
        <w:tab/>
      </w:r>
      <w:hyperlink r:id="rId146">
        <w:r>
          <w:rPr>
            <w:rFonts w:ascii="Arial" w:cs="Arial" w:eastAsia="Arial" w:hAnsi="Arial"/>
            <w:sz w:val="14"/>
            <w:szCs w:val="14"/>
            <w:u w:val="single" w:color="auto"/>
            <w:color w:val="0000FF"/>
          </w:rPr>
          <w:t>Amendment No. 1 to the Amended and Restated Bylaws of Synchronoss Technologies, Inc., incorporated by reference to Exhibit 3.2 to the Registrant’s Current Report on</w:t>
        </w:r>
      </w:hyperlink>
      <w:r>
        <w:rPr>
          <w:rFonts w:ascii="Arial" w:cs="Arial" w:eastAsia="Arial" w:hAnsi="Arial"/>
          <w:sz w:val="14"/>
          <w:szCs w:val="14"/>
          <w:u w:val="single" w:color="auto"/>
          <w:color w:val="0000FF"/>
        </w:rPr>
        <w:t xml:space="preserve"> </w:t>
      </w:r>
      <w:hyperlink r:id="rId146">
        <w:r>
          <w:rPr>
            <w:rFonts w:ascii="Arial" w:cs="Arial" w:eastAsia="Arial" w:hAnsi="Arial"/>
            <w:sz w:val="14"/>
            <w:szCs w:val="14"/>
            <w:u w:val="single" w:color="auto"/>
            <w:color w:val="0000FF"/>
          </w:rPr>
          <w:t>Form 8-K filed on February 20, 2018.</w:t>
        </w:r>
      </w:hyperlink>
    </w:p>
    <w:p>
      <w:pPr>
        <w:spacing w:after="0" w:line="7" w:lineRule="exact"/>
        <w:rPr>
          <w:sz w:val="20"/>
          <w:szCs w:val="20"/>
          <w:color w:val="auto"/>
        </w:rPr>
      </w:pPr>
    </w:p>
    <w:p>
      <w:pPr>
        <w:ind w:left="1220" w:right="6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3.4</w:t>
      </w:r>
      <w:r>
        <w:rPr>
          <w:sz w:val="20"/>
          <w:szCs w:val="20"/>
          <w:color w:val="auto"/>
        </w:rPr>
        <w:tab/>
      </w:r>
      <w:hyperlink r:id="rId147">
        <w:r>
          <w:rPr>
            <w:rFonts w:ascii="Arial" w:cs="Arial" w:eastAsia="Arial" w:hAnsi="Arial"/>
            <w:sz w:val="14"/>
            <w:szCs w:val="14"/>
            <w:u w:val="single" w:color="auto"/>
            <w:color w:val="0000FF"/>
          </w:rPr>
          <w:t>Amendment No. 2 to the Amended and Restated Bylaws of Synchronoss Technologies, Inc., incorporated by reference to Exhibit 3.3 to the Registrant’s Current Report on</w:t>
        </w:r>
      </w:hyperlink>
      <w:r>
        <w:rPr>
          <w:rFonts w:ascii="Arial" w:cs="Arial" w:eastAsia="Arial" w:hAnsi="Arial"/>
          <w:sz w:val="14"/>
          <w:szCs w:val="14"/>
          <w:u w:val="single" w:color="auto"/>
          <w:color w:val="0000FF"/>
        </w:rPr>
        <w:t xml:space="preserve"> </w:t>
      </w:r>
      <w:hyperlink r:id="rId147">
        <w:r>
          <w:rPr>
            <w:rFonts w:ascii="Arial" w:cs="Arial" w:eastAsia="Arial" w:hAnsi="Arial"/>
            <w:sz w:val="14"/>
            <w:szCs w:val="14"/>
            <w:u w:val="single" w:color="auto"/>
            <w:color w:val="0000FF"/>
          </w:rPr>
          <w:t>Form 8-K filed on June 30, 2021.</w:t>
        </w:r>
      </w:hyperlink>
    </w:p>
    <w:p>
      <w:pPr>
        <w:spacing w:after="0" w:line="7" w:lineRule="exact"/>
        <w:rPr>
          <w:sz w:val="20"/>
          <w:szCs w:val="20"/>
          <w:color w:val="auto"/>
        </w:rPr>
      </w:pPr>
    </w:p>
    <w:p>
      <w:pPr>
        <w:ind w:left="1220" w:right="4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3.5</w:t>
      </w:r>
      <w:r>
        <w:rPr>
          <w:sz w:val="20"/>
          <w:szCs w:val="20"/>
          <w:color w:val="auto"/>
        </w:rPr>
        <w:tab/>
      </w:r>
      <w:hyperlink r:id="rId148">
        <w:r>
          <w:rPr>
            <w:rFonts w:ascii="Arial" w:cs="Arial" w:eastAsia="Arial" w:hAnsi="Arial"/>
            <w:sz w:val="14"/>
            <w:szCs w:val="14"/>
            <w:u w:val="single" w:color="auto"/>
            <w:color w:val="0000FF"/>
          </w:rPr>
          <w:t>Certificate of Designations of Series A Convertible Participating Perpetual Preferred Stock, incorporated by reference to Exhibit 3.1 to the Registrant’s Current Report on</w:t>
        </w:r>
      </w:hyperlink>
      <w:r>
        <w:rPr>
          <w:rFonts w:ascii="Arial" w:cs="Arial" w:eastAsia="Arial" w:hAnsi="Arial"/>
          <w:sz w:val="14"/>
          <w:szCs w:val="14"/>
          <w:u w:val="single" w:color="auto"/>
          <w:color w:val="0000FF"/>
        </w:rPr>
        <w:t xml:space="preserve"> </w:t>
      </w:r>
      <w:hyperlink r:id="rId148">
        <w:r>
          <w:rPr>
            <w:rFonts w:ascii="Arial" w:cs="Arial" w:eastAsia="Arial" w:hAnsi="Arial"/>
            <w:sz w:val="14"/>
            <w:szCs w:val="14"/>
            <w:u w:val="single" w:color="auto"/>
            <w:color w:val="0000FF"/>
          </w:rPr>
          <w:t>Form 8-K filed on February 20, 2018.</w:t>
        </w:r>
      </w:hyperlink>
    </w:p>
    <w:p>
      <w:pPr>
        <w:spacing w:after="0" w:line="7" w:lineRule="exact"/>
        <w:rPr>
          <w:sz w:val="20"/>
          <w:szCs w:val="20"/>
          <w:color w:val="auto"/>
        </w:rPr>
      </w:pPr>
    </w:p>
    <w:p>
      <w:pPr>
        <w:ind w:left="1220" w:right="4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3.6</w:t>
      </w:r>
      <w:r>
        <w:rPr>
          <w:sz w:val="20"/>
          <w:szCs w:val="20"/>
          <w:color w:val="auto"/>
        </w:rPr>
        <w:tab/>
      </w:r>
      <w:hyperlink r:id="rId149">
        <w:r>
          <w:rPr>
            <w:rFonts w:ascii="Arial" w:cs="Arial" w:eastAsia="Arial" w:hAnsi="Arial"/>
            <w:sz w:val="14"/>
            <w:szCs w:val="14"/>
            <w:u w:val="single" w:color="auto"/>
            <w:color w:val="0000FF"/>
          </w:rPr>
          <w:t>Certificate of Elimination of the Series A Convertible Participating Perpetual Preferred Stock, incorporated by reference to Exhibit 3.2 to the Registrant’s Current Report on</w:t>
        </w:r>
      </w:hyperlink>
      <w:r>
        <w:rPr>
          <w:rFonts w:ascii="Arial" w:cs="Arial" w:eastAsia="Arial" w:hAnsi="Arial"/>
          <w:sz w:val="14"/>
          <w:szCs w:val="14"/>
          <w:u w:val="single" w:color="auto"/>
          <w:color w:val="0000FF"/>
        </w:rPr>
        <w:t xml:space="preserve"> </w:t>
      </w:r>
      <w:hyperlink r:id="rId149">
        <w:r>
          <w:rPr>
            <w:rFonts w:ascii="Arial" w:cs="Arial" w:eastAsia="Arial" w:hAnsi="Arial"/>
            <w:sz w:val="14"/>
            <w:szCs w:val="14"/>
            <w:u w:val="single" w:color="auto"/>
            <w:color w:val="0000FF"/>
          </w:rPr>
          <w:t>Form 8-K filed on June 30, 2021.</w:t>
        </w:r>
      </w:hyperlink>
    </w:p>
    <w:p>
      <w:pPr>
        <w:spacing w:after="0" w:line="7" w:lineRule="exact"/>
        <w:rPr>
          <w:sz w:val="20"/>
          <w:szCs w:val="20"/>
          <w:color w:val="auto"/>
        </w:rPr>
      </w:pPr>
    </w:p>
    <w:p>
      <w:pPr>
        <w:ind w:left="1220" w:right="6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3.7</w:t>
      </w:r>
      <w:r>
        <w:rPr>
          <w:sz w:val="20"/>
          <w:szCs w:val="20"/>
          <w:color w:val="auto"/>
        </w:rPr>
        <w:tab/>
      </w:r>
      <w:hyperlink r:id="rId150">
        <w:r>
          <w:rPr>
            <w:rFonts w:ascii="Arial" w:cs="Arial" w:eastAsia="Arial" w:hAnsi="Arial"/>
            <w:sz w:val="14"/>
            <w:szCs w:val="14"/>
            <w:u w:val="single" w:color="auto"/>
            <w:color w:val="0000FF"/>
          </w:rPr>
          <w:t>Certificate of Designations of the Series B Perpetual Non-Convertible Preferred Stock, incorporated by reference to Exhibit 3.1 to the Registrant’s Current Report on Form 8-K</w:t>
        </w:r>
      </w:hyperlink>
      <w:r>
        <w:rPr>
          <w:rFonts w:ascii="Arial" w:cs="Arial" w:eastAsia="Arial" w:hAnsi="Arial"/>
          <w:sz w:val="14"/>
          <w:szCs w:val="14"/>
          <w:u w:val="single" w:color="auto"/>
          <w:color w:val="0000FF"/>
        </w:rPr>
        <w:t xml:space="preserve"> </w:t>
      </w:r>
      <w:hyperlink r:id="rId150">
        <w:r>
          <w:rPr>
            <w:rFonts w:ascii="Arial" w:cs="Arial" w:eastAsia="Arial" w:hAnsi="Arial"/>
            <w:sz w:val="14"/>
            <w:szCs w:val="14"/>
            <w:u w:val="single" w:color="auto"/>
            <w:color w:val="0000FF"/>
          </w:rPr>
          <w:t>filed on June 30, 2021.</w:t>
        </w:r>
      </w:hyperlink>
    </w:p>
    <w:p>
      <w:pPr>
        <w:spacing w:after="0" w:line="7" w:lineRule="exact"/>
        <w:rPr>
          <w:sz w:val="20"/>
          <w:szCs w:val="20"/>
          <w:color w:val="auto"/>
        </w:rPr>
      </w:pPr>
    </w:p>
    <w:p>
      <w:pPr>
        <w:ind w:left="860"/>
        <w:spacing w:after="0"/>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4.1</w:t>
      </w:r>
      <w:r>
        <w:rPr>
          <w:sz w:val="20"/>
          <w:szCs w:val="20"/>
          <w:color w:val="auto"/>
        </w:rPr>
        <w:tab/>
      </w:r>
      <w:hyperlink r:id="rId151">
        <w:r>
          <w:rPr>
            <w:rFonts w:ascii="Arial" w:cs="Arial" w:eastAsia="Arial" w:hAnsi="Arial"/>
            <w:sz w:val="12"/>
            <w:szCs w:val="12"/>
            <w:u w:val="single" w:color="auto"/>
            <w:color w:val="0000FF"/>
          </w:rPr>
          <w:t>Reference is made to Exhibits 3.1, 3.2, 3.3, 3.4 and 3.7.</w:t>
        </w:r>
      </w:hyperlink>
    </w:p>
    <w:p>
      <w:pPr>
        <w:spacing w:after="0" w:line="25" w:lineRule="exact"/>
        <w:rPr>
          <w:sz w:val="20"/>
          <w:szCs w:val="20"/>
          <w:color w:val="auto"/>
        </w:rPr>
      </w:pPr>
    </w:p>
    <w:p>
      <w:pPr>
        <w:ind w:left="1220" w:right="60" w:hanging="362"/>
        <w:spacing w:after="0" w:line="157"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4.2</w:t>
      </w:r>
      <w:r>
        <w:rPr>
          <w:sz w:val="20"/>
          <w:szCs w:val="20"/>
          <w:color w:val="auto"/>
        </w:rPr>
        <w:tab/>
      </w:r>
      <w:hyperlink r:id="rId152">
        <w:r>
          <w:rPr>
            <w:rFonts w:ascii="Arial" w:cs="Arial" w:eastAsia="Arial" w:hAnsi="Arial"/>
            <w:sz w:val="14"/>
            <w:szCs w:val="14"/>
            <w:u w:val="single" w:color="auto"/>
            <w:color w:val="0000FF"/>
          </w:rPr>
          <w:t>Registration Rights Agreement, dated November 13, 2000, by and among the Registrant and the investors listed on the signature pages thereto, incorporated by reference to</w:t>
        </w:r>
      </w:hyperlink>
      <w:r>
        <w:rPr>
          <w:rFonts w:ascii="Arial" w:cs="Arial" w:eastAsia="Arial" w:hAnsi="Arial"/>
          <w:sz w:val="14"/>
          <w:szCs w:val="14"/>
          <w:u w:val="single" w:color="auto"/>
          <w:color w:val="0000FF"/>
        </w:rPr>
        <w:t xml:space="preserve"> </w:t>
      </w:r>
      <w:hyperlink r:id="rId152">
        <w:r>
          <w:rPr>
            <w:rFonts w:ascii="Arial" w:cs="Arial" w:eastAsia="Arial" w:hAnsi="Arial"/>
            <w:sz w:val="14"/>
            <w:szCs w:val="14"/>
            <w:u w:val="single" w:color="auto"/>
            <w:color w:val="0000FF"/>
          </w:rPr>
          <w:t>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ind w:left="1220" w:right="40" w:hanging="362"/>
        <w:spacing w:after="0" w:line="157" w:lineRule="exact"/>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4.3</w:t>
      </w:r>
      <w:r>
        <w:rPr>
          <w:sz w:val="20"/>
          <w:szCs w:val="20"/>
          <w:color w:val="auto"/>
        </w:rPr>
        <w:tab/>
      </w:r>
      <w:hyperlink r:id="rId153">
        <w:r>
          <w:rPr>
            <w:rFonts w:ascii="Arial" w:cs="Arial" w:eastAsia="Arial" w:hAnsi="Arial"/>
            <w:sz w:val="13"/>
            <w:szCs w:val="13"/>
            <w:u w:val="single" w:color="auto"/>
            <w:color w:val="0000FF"/>
          </w:rPr>
          <w:t>Amendment No. 1 to Synchronoss Technologies, Inc. Registration Rights Agreement, dated May 21, 2001, by and among the Registrant, certain stockholders listed on the</w:t>
        </w:r>
      </w:hyperlink>
      <w:r>
        <w:rPr>
          <w:rFonts w:ascii="Arial" w:cs="Arial" w:eastAsia="Arial" w:hAnsi="Arial"/>
          <w:sz w:val="13"/>
          <w:szCs w:val="13"/>
          <w:u w:val="single" w:color="auto"/>
          <w:color w:val="0000FF"/>
        </w:rPr>
        <w:t xml:space="preserve"> </w:t>
      </w:r>
      <w:hyperlink r:id="rId153">
        <w:r>
          <w:rPr>
            <w:rFonts w:ascii="Arial" w:cs="Arial" w:eastAsia="Arial" w:hAnsi="Arial"/>
            <w:sz w:val="13"/>
            <w:szCs w:val="13"/>
            <w:u w:val="single" w:color="auto"/>
            <w:color w:val="0000FF"/>
          </w:rPr>
          <w:t>signature pages thereto and Silicon Valley Bank, incorporated by reference to Registrant’s Registration Statement on Form S</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 (Commission File No. 333</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132080).</w:t>
        </w:r>
      </w:hyperlink>
    </w:p>
    <w:p>
      <w:pPr>
        <w:spacing w:after="0" w:line="6" w:lineRule="exact"/>
        <w:rPr>
          <w:sz w:val="20"/>
          <w:szCs w:val="20"/>
          <w:color w:val="auto"/>
        </w:rPr>
      </w:pPr>
    </w:p>
    <w:p>
      <w:pPr>
        <w:ind w:left="860"/>
        <w:spacing w:after="0"/>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4.4</w:t>
      </w:r>
      <w:r>
        <w:rPr>
          <w:sz w:val="20"/>
          <w:szCs w:val="20"/>
          <w:color w:val="auto"/>
        </w:rPr>
        <w:tab/>
      </w:r>
      <w:hyperlink r:id="rId154">
        <w:r>
          <w:rPr>
            <w:rFonts w:ascii="Arial" w:cs="Arial" w:eastAsia="Arial" w:hAnsi="Arial"/>
            <w:sz w:val="12"/>
            <w:szCs w:val="12"/>
            <w:u w:val="single" w:color="auto"/>
            <w:color w:val="0000FF"/>
          </w:rPr>
          <w:t>Form of Common Stock Certificate, incorporated by reference to Registrant’s Registration Statement on Form S-1 (Commission File No. 333-132080)</w:t>
        </w:r>
      </w:hyperlink>
    </w:p>
    <w:p>
      <w:pPr>
        <w:spacing w:after="0" w:line="25" w:lineRule="exact"/>
        <w:rPr>
          <w:sz w:val="20"/>
          <w:szCs w:val="20"/>
          <w:color w:val="auto"/>
        </w:rPr>
      </w:pPr>
    </w:p>
    <w:p>
      <w:pPr>
        <w:ind w:left="860"/>
        <w:spacing w:after="0"/>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4.5</w:t>
      </w:r>
      <w:r>
        <w:rPr>
          <w:sz w:val="20"/>
          <w:szCs w:val="20"/>
          <w:color w:val="auto"/>
        </w:rPr>
        <w:tab/>
      </w:r>
      <w:hyperlink r:id="rId155">
        <w:r>
          <w:rPr>
            <w:rFonts w:ascii="Arial" w:cs="Arial" w:eastAsia="Arial" w:hAnsi="Arial"/>
            <w:sz w:val="12"/>
            <w:szCs w:val="12"/>
            <w:u w:val="single" w:color="auto"/>
            <w:color w:val="0000FF"/>
          </w:rPr>
          <w:t>Form of Indenture for Convertible Senior Notes, incorporated by reference to Registrant’s Registration Statement on Form S-3 (Commission File No. 333-197871)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tabs>
          <w:tab w:leader="none" w:pos="12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177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2" w:lineRule="exact"/>
        <w:rPr>
          <w:sz w:val="20"/>
          <w:szCs w:val="20"/>
          <w:color w:val="auto"/>
        </w:rPr>
      </w:pPr>
    </w:p>
    <w:p>
      <w:pPr>
        <w:ind w:left="860"/>
        <w:spacing w:after="0"/>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4.6</w:t>
      </w:r>
      <w:r>
        <w:rPr>
          <w:sz w:val="20"/>
          <w:szCs w:val="20"/>
          <w:color w:val="auto"/>
        </w:rPr>
        <w:tab/>
      </w:r>
      <w:hyperlink w:anchor="page118">
        <w:r>
          <w:rPr>
            <w:rFonts w:ascii="Arial" w:cs="Arial" w:eastAsia="Arial" w:hAnsi="Arial"/>
            <w:sz w:val="12"/>
            <w:szCs w:val="12"/>
            <w:u w:val="single" w:color="auto"/>
            <w:color w:val="0000FF"/>
          </w:rPr>
          <w:t>Description of Securities Registered under Section 12 of the Securities Exchange Act of 1934.</w:t>
        </w:r>
      </w:hyperlink>
    </w:p>
    <w:p>
      <w:pPr>
        <w:spacing w:after="0" w:line="25" w:lineRule="exact"/>
        <w:rPr>
          <w:sz w:val="20"/>
          <w:szCs w:val="20"/>
          <w:color w:val="auto"/>
        </w:rPr>
      </w:pPr>
    </w:p>
    <w:p>
      <w:pPr>
        <w:ind w:left="1220" w:right="2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4.7</w:t>
      </w:r>
      <w:r>
        <w:rPr>
          <w:sz w:val="20"/>
          <w:szCs w:val="20"/>
          <w:color w:val="auto"/>
        </w:rPr>
        <w:tab/>
      </w:r>
      <w:hyperlink r:id="rId158">
        <w:r>
          <w:rPr>
            <w:rFonts w:ascii="Arial" w:cs="Arial" w:eastAsia="Arial" w:hAnsi="Arial"/>
            <w:sz w:val="14"/>
            <w:szCs w:val="14"/>
            <w:u w:val="single" w:color="auto"/>
            <w:color w:val="0000FF"/>
          </w:rPr>
          <w:t>Base Indenture, dated as of June 30, 2021, by and between Synchronoss Technologies, Inc. and The Bank of New York Mellon Trust Company, N.A., as trustee, incorporated</w:t>
        </w:r>
      </w:hyperlink>
      <w:r>
        <w:rPr>
          <w:rFonts w:ascii="Arial" w:cs="Arial" w:eastAsia="Arial" w:hAnsi="Arial"/>
          <w:sz w:val="14"/>
          <w:szCs w:val="14"/>
          <w:u w:val="single" w:color="auto"/>
          <w:color w:val="0000FF"/>
        </w:rPr>
        <w:t xml:space="preserve"> </w:t>
      </w:r>
      <w:hyperlink r:id="rId158">
        <w:r>
          <w:rPr>
            <w:rFonts w:ascii="Arial" w:cs="Arial" w:eastAsia="Arial" w:hAnsi="Arial"/>
            <w:sz w:val="14"/>
            <w:szCs w:val="14"/>
            <w:u w:val="single" w:color="auto"/>
            <w:color w:val="0000FF"/>
          </w:rPr>
          <w:t>by reference to Exhibit 4.1 to the Registrant’s Current Report on Form 8-K filed on June 30, 2021.</w:t>
        </w:r>
      </w:hyperlink>
    </w:p>
    <w:p>
      <w:pPr>
        <w:spacing w:after="0" w:line="7" w:lineRule="exact"/>
        <w:rPr>
          <w:sz w:val="20"/>
          <w:szCs w:val="20"/>
          <w:color w:val="auto"/>
        </w:rPr>
      </w:pPr>
    </w:p>
    <w:p>
      <w:pPr>
        <w:ind w:left="122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4.8</w:t>
      </w:r>
      <w:r>
        <w:rPr>
          <w:sz w:val="20"/>
          <w:szCs w:val="20"/>
          <w:color w:val="auto"/>
        </w:rPr>
        <w:tab/>
      </w:r>
      <w:hyperlink r:id="rId159">
        <w:r>
          <w:rPr>
            <w:rFonts w:ascii="Arial" w:cs="Arial" w:eastAsia="Arial" w:hAnsi="Arial"/>
            <w:sz w:val="14"/>
            <w:szCs w:val="14"/>
            <w:u w:val="single" w:color="auto"/>
            <w:color w:val="0000FF"/>
          </w:rPr>
          <w:t>First Supplemental Indenture, dated as of June 30, 2021, by and between Synchronoss Technologies, Inc. and The Bank of New York Mellon Trust Company, N.A., as trustee,</w:t>
        </w:r>
      </w:hyperlink>
      <w:r>
        <w:rPr>
          <w:rFonts w:ascii="Arial" w:cs="Arial" w:eastAsia="Arial" w:hAnsi="Arial"/>
          <w:sz w:val="14"/>
          <w:szCs w:val="14"/>
          <w:u w:val="single" w:color="auto"/>
          <w:color w:val="0000FF"/>
        </w:rPr>
        <w:t xml:space="preserve"> </w:t>
      </w:r>
      <w:hyperlink r:id="rId159">
        <w:r>
          <w:rPr>
            <w:rFonts w:ascii="Arial" w:cs="Arial" w:eastAsia="Arial" w:hAnsi="Arial"/>
            <w:sz w:val="14"/>
            <w:szCs w:val="14"/>
            <w:u w:val="single" w:color="auto"/>
            <w:color w:val="0000FF"/>
          </w:rPr>
          <w:t>incorporated by reference to Exhibit 4.2 to the Registrant’s Current Report on Form 8-K filed on June 30, 2021.</w:t>
        </w:r>
      </w:hyperlink>
    </w:p>
    <w:p>
      <w:pPr>
        <w:spacing w:after="0" w:line="7" w:lineRule="exact"/>
        <w:rPr>
          <w:sz w:val="20"/>
          <w:szCs w:val="20"/>
          <w:color w:val="auto"/>
        </w:rPr>
      </w:pPr>
    </w:p>
    <w:p>
      <w:pPr>
        <w:ind w:left="1220" w:hanging="362"/>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4.9</w:t>
      </w:r>
      <w:r>
        <w:rPr>
          <w:sz w:val="20"/>
          <w:szCs w:val="20"/>
          <w:color w:val="auto"/>
        </w:rPr>
        <w:tab/>
      </w:r>
      <w:hyperlink r:id="rId160">
        <w:r>
          <w:rPr>
            <w:rFonts w:ascii="Arial" w:cs="Arial" w:eastAsia="Arial" w:hAnsi="Arial"/>
            <w:sz w:val="14"/>
            <w:szCs w:val="14"/>
            <w:u w:val="single" w:color="auto"/>
            <w:color w:val="0000FF"/>
          </w:rPr>
          <w:t>Investor Rights Agreement by and between Synchronoss Technologies, Inc., B. Riley Financial, Inc. and B. Riley Principal Investments, LLC dated June 30, 2021,</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incorporated by reference to Exhibit 4.3 to the Registrant’s Current Report on Form 8-K filed on June 30, 2021.</w:t>
        </w:r>
      </w:hyperlink>
    </w:p>
    <w:p>
      <w:pPr>
        <w:spacing w:after="0" w:line="7" w:lineRule="exact"/>
        <w:rPr>
          <w:sz w:val="20"/>
          <w:szCs w:val="20"/>
          <w:color w:val="auto"/>
        </w:rPr>
      </w:pPr>
    </w:p>
    <w:p>
      <w:pPr>
        <w:ind w:left="78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4.10</w:t>
      </w:r>
      <w:r>
        <w:rPr>
          <w:sz w:val="20"/>
          <w:szCs w:val="20"/>
          <w:color w:val="auto"/>
        </w:rPr>
        <w:tab/>
      </w:r>
      <w:hyperlink r:id="rId159">
        <w:r>
          <w:rPr>
            <w:rFonts w:ascii="Arial" w:cs="Arial" w:eastAsia="Arial" w:hAnsi="Arial"/>
            <w:sz w:val="13"/>
            <w:szCs w:val="13"/>
            <w:u w:val="single" w:color="auto"/>
            <w:color w:val="0000FF"/>
          </w:rPr>
          <w:t>Form of 8.375% Senior Note, incorporated by reference to Exhibit A of Exhibit 4.2 to the Registrant’s Current Report on Form 8-K filed on June 30, 2021.</w:t>
        </w:r>
      </w:hyperlink>
    </w:p>
    <w:p>
      <w:pPr>
        <w:spacing w:after="0" w:line="25" w:lineRule="exact"/>
        <w:rPr>
          <w:sz w:val="20"/>
          <w:szCs w:val="20"/>
          <w:color w:val="auto"/>
        </w:rPr>
      </w:pPr>
    </w:p>
    <w:p>
      <w:pPr>
        <w:ind w:left="1220" w:hanging="433"/>
        <w:spacing w:after="0" w:line="157"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w:t>
      </w:r>
      <w:r>
        <w:rPr>
          <w:sz w:val="20"/>
          <w:szCs w:val="20"/>
          <w:color w:val="auto"/>
        </w:rPr>
        <w:tab/>
      </w:r>
      <w:hyperlink r:id="rId161">
        <w:r>
          <w:rPr>
            <w:rFonts w:ascii="Arial" w:cs="Arial" w:eastAsia="Arial" w:hAnsi="Arial"/>
            <w:sz w:val="14"/>
            <w:szCs w:val="14"/>
            <w:u w:val="single" w:color="auto"/>
            <w:color w:val="0000FF"/>
          </w:rPr>
          <w:t>Form of Indemnification Agreement between the Registrant and each of its directors and executive officers, incorporated by reference to Registrant’s Registration Statement on</w:t>
        </w:r>
      </w:hyperlink>
      <w:r>
        <w:rPr>
          <w:rFonts w:ascii="Arial" w:cs="Arial" w:eastAsia="Arial" w:hAnsi="Arial"/>
          <w:sz w:val="14"/>
          <w:szCs w:val="14"/>
          <w:u w:val="single" w:color="auto"/>
          <w:color w:val="0000FF"/>
        </w:rPr>
        <w:t xml:space="preserve"> </w:t>
      </w:r>
      <w:hyperlink r:id="rId161">
        <w:r>
          <w:rPr>
            <w:rFonts w:ascii="Arial" w:cs="Arial" w:eastAsia="Arial" w:hAnsi="Arial"/>
            <w:sz w:val="14"/>
            <w:szCs w:val="14"/>
            <w:u w:val="single" w:color="auto"/>
            <w:color w:val="0000FF"/>
          </w:rPr>
          <w:t>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ind w:left="1220" w:hanging="459"/>
        <w:spacing w:after="0" w:line="157"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10.2†</w:t>
      </w:r>
      <w:r>
        <w:rPr>
          <w:sz w:val="20"/>
          <w:szCs w:val="20"/>
          <w:color w:val="auto"/>
        </w:rPr>
        <w:tab/>
      </w:r>
      <w:hyperlink r:id="rId162">
        <w:r>
          <w:rPr>
            <w:rFonts w:ascii="Arial" w:cs="Arial" w:eastAsia="Arial" w:hAnsi="Arial"/>
            <w:sz w:val="14"/>
            <w:szCs w:val="14"/>
            <w:u w:val="single" w:color="auto"/>
            <w:color w:val="0000FF"/>
          </w:rPr>
          <w:t>Synchronoss Technologies, Inc. 2000 Stock Plan and forms of agreements thereunder, incorporated by reference to 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w:t>
        </w:r>
      </w:hyperlink>
      <w:r>
        <w:rPr>
          <w:rFonts w:ascii="Arial" w:cs="Arial" w:eastAsia="Arial" w:hAnsi="Arial"/>
          <w:sz w:val="14"/>
          <w:szCs w:val="14"/>
          <w:u w:val="single" w:color="auto"/>
          <w:color w:val="0000FF"/>
        </w:rPr>
        <w:t xml:space="preserve"> </w:t>
      </w:r>
      <w:hyperlink r:id="rId162">
        <w:r>
          <w:rPr>
            <w:rFonts w:ascii="Arial" w:cs="Arial" w:eastAsia="Arial" w:hAnsi="Arial"/>
            <w:sz w:val="14"/>
            <w:szCs w:val="14"/>
            <w:u w:val="single" w:color="auto"/>
            <w:color w:val="0000FF"/>
          </w:rPr>
          <w:t>(Commission File 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ind w:left="1220" w:hanging="459"/>
        <w:spacing w:after="0" w:line="157"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10.3†</w:t>
      </w:r>
      <w:r>
        <w:rPr>
          <w:sz w:val="20"/>
          <w:szCs w:val="20"/>
          <w:color w:val="auto"/>
        </w:rPr>
        <w:tab/>
      </w:r>
      <w:hyperlink r:id="rId163">
        <w:r>
          <w:rPr>
            <w:rFonts w:ascii="Arial" w:cs="Arial" w:eastAsia="Arial" w:hAnsi="Arial"/>
            <w:sz w:val="14"/>
            <w:szCs w:val="14"/>
            <w:u w:val="single" w:color="auto"/>
            <w:color w:val="0000FF"/>
          </w:rPr>
          <w:t>Amendment No. 1 to Synchronoss Technologies, Inc. 2000 Stock Plan, incorporated by reference to Registrant’s Registration Statement on Form S</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 (Commission File</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No. 333</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132080).</w:t>
        </w:r>
      </w:hyperlink>
    </w:p>
    <w:p>
      <w:pPr>
        <w:spacing w:after="0" w:line="7" w:lineRule="exact"/>
        <w:rPr>
          <w:sz w:val="20"/>
          <w:szCs w:val="20"/>
          <w:color w:val="auto"/>
        </w:rPr>
      </w:pPr>
    </w:p>
    <w:p>
      <w:pPr>
        <w:ind w:left="760"/>
        <w:spacing w:after="0"/>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10.4†</w:t>
      </w:r>
      <w:r>
        <w:rPr>
          <w:sz w:val="20"/>
          <w:szCs w:val="20"/>
          <w:color w:val="auto"/>
        </w:rPr>
        <w:tab/>
      </w:r>
      <w:hyperlink r:id="rId164">
        <w:r>
          <w:rPr>
            <w:rFonts w:ascii="Arial" w:cs="Arial" w:eastAsia="Arial" w:hAnsi="Arial"/>
            <w:sz w:val="12"/>
            <w:szCs w:val="12"/>
            <w:u w:val="single" w:color="auto"/>
            <w:color w:val="0000FF"/>
          </w:rPr>
          <w:t>2006 Equity Incentive Plan, as amended and restated, incorporated by reference to Registrant’s Schedule 14A dated April 8, 2010.</w:t>
        </w:r>
      </w:hyperlink>
    </w:p>
    <w:p>
      <w:pPr>
        <w:spacing w:after="0" w:line="25" w:lineRule="exact"/>
        <w:rPr>
          <w:sz w:val="20"/>
          <w:szCs w:val="20"/>
          <w:color w:val="auto"/>
        </w:rPr>
      </w:pPr>
    </w:p>
    <w:p>
      <w:pPr>
        <w:ind w:left="760"/>
        <w:spacing w:after="0" w:line="161" w:lineRule="exact"/>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10.5†</w:t>
      </w:r>
      <w:r>
        <w:rPr>
          <w:sz w:val="20"/>
          <w:szCs w:val="20"/>
          <w:color w:val="auto"/>
        </w:rPr>
        <w:tab/>
      </w:r>
      <w:hyperlink r:id="rId165">
        <w:r>
          <w:rPr>
            <w:rFonts w:ascii="Arial" w:cs="Arial" w:eastAsia="Arial" w:hAnsi="Arial"/>
            <w:sz w:val="12"/>
            <w:szCs w:val="12"/>
            <w:u w:val="single" w:color="auto"/>
            <w:color w:val="0000FF"/>
          </w:rPr>
          <w:t>2010 New Hire Equity Incentive Plan, incorporated by reference to Registrant’s Registration Statement on Form S</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8 (Commission File No. 333</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168745).</w:t>
        </w:r>
      </w:hyperlink>
    </w:p>
    <w:p>
      <w:pPr>
        <w:spacing w:after="0" w:line="25" w:lineRule="exact"/>
        <w:rPr>
          <w:sz w:val="20"/>
          <w:szCs w:val="20"/>
          <w:color w:val="auto"/>
        </w:rPr>
      </w:pPr>
    </w:p>
    <w:p>
      <w:pPr>
        <w:ind w:left="1220" w:hanging="459"/>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166">
        <w:r>
          <w:rPr>
            <w:rFonts w:ascii="Arial" w:cs="Arial" w:eastAsia="Arial" w:hAnsi="Arial"/>
            <w:sz w:val="14"/>
            <w:szCs w:val="14"/>
            <w:u w:val="single" w:color="auto"/>
            <w:color w:val="0000FF"/>
          </w:rPr>
          <w:t>Synchronoss Technologies, Inc. 2015 Equity Incentive Plan, amended and restated as of April 9, 2021, incorporated by reference to Exhibit 10.1 to Registrant’s Registration</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Statement on Form S-8 (Commission File No. 333-257097) filed June 14, 2021.</w:t>
        </w:r>
      </w:hyperlink>
    </w:p>
    <w:p>
      <w:pPr>
        <w:spacing w:after="0" w:line="7" w:lineRule="exact"/>
        <w:rPr>
          <w:sz w:val="20"/>
          <w:szCs w:val="20"/>
          <w:color w:val="auto"/>
        </w:rPr>
      </w:pPr>
    </w:p>
    <w:p>
      <w:pPr>
        <w:ind w:left="76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10.7†</w:t>
      </w:r>
      <w:r>
        <w:rPr>
          <w:sz w:val="20"/>
          <w:szCs w:val="20"/>
          <w:color w:val="auto"/>
        </w:rPr>
        <w:tab/>
      </w:r>
      <w:hyperlink r:id="rId167">
        <w:r>
          <w:rPr>
            <w:rFonts w:ascii="Arial" w:cs="Arial" w:eastAsia="Arial" w:hAnsi="Arial"/>
            <w:sz w:val="13"/>
            <w:szCs w:val="13"/>
            <w:u w:val="single" w:color="auto"/>
            <w:color w:val="0000FF"/>
          </w:rPr>
          <w:t>2017 New Hire Equity Incentive Plan, incorporated by reference to Exhibit 10.1 to the Registrant’s Current Report on Form 8-K filed on December 21, 2017.</w:t>
        </w:r>
      </w:hyperlink>
    </w:p>
    <w:p>
      <w:pPr>
        <w:spacing w:after="0" w:line="25" w:lineRule="exact"/>
        <w:rPr>
          <w:sz w:val="20"/>
          <w:szCs w:val="20"/>
          <w:color w:val="auto"/>
        </w:rPr>
      </w:pPr>
    </w:p>
    <w:p>
      <w:pPr>
        <w:ind w:left="760"/>
        <w:spacing w:after="0"/>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10.8†</w:t>
      </w:r>
      <w:r>
        <w:rPr>
          <w:sz w:val="20"/>
          <w:szCs w:val="20"/>
          <w:color w:val="auto"/>
        </w:rPr>
        <w:tab/>
      </w:r>
      <w:hyperlink w:anchor="page121">
        <w:r>
          <w:rPr>
            <w:rFonts w:ascii="Arial" w:cs="Arial" w:eastAsia="Arial" w:hAnsi="Arial"/>
            <w:sz w:val="12"/>
            <w:szCs w:val="12"/>
            <w:u w:val="single" w:color="auto"/>
            <w:color w:val="0000FF"/>
          </w:rPr>
          <w:t>Amendment No. 1 effective as of November 1, 2021 to Synchronoss Technologies, Inc. 2017 New Hire Equity Incentive Plan.</w:t>
        </w:r>
      </w:hyperlink>
    </w:p>
    <w:p>
      <w:pPr>
        <w:spacing w:after="0" w:line="25" w:lineRule="exact"/>
        <w:rPr>
          <w:sz w:val="20"/>
          <w:szCs w:val="20"/>
          <w:color w:val="auto"/>
        </w:rPr>
      </w:pPr>
    </w:p>
    <w:p>
      <w:pPr>
        <w:ind w:left="760"/>
        <w:spacing w:after="0" w:line="161" w:lineRule="exact"/>
        <w:tabs>
          <w:tab w:leader="none" w:pos="1200" w:val="left"/>
        </w:tabs>
        <w:rPr>
          <w:rFonts w:ascii="Arial" w:cs="Arial" w:eastAsia="Arial" w:hAnsi="Arial"/>
          <w:sz w:val="12"/>
          <w:szCs w:val="12"/>
          <w:u w:val="single" w:color="auto"/>
          <w:color w:val="0000FF"/>
        </w:rPr>
      </w:pPr>
      <w:r>
        <w:rPr>
          <w:rFonts w:ascii="Arial" w:cs="Arial" w:eastAsia="Arial" w:hAnsi="Arial"/>
          <w:sz w:val="14"/>
          <w:szCs w:val="14"/>
          <w:color w:val="auto"/>
        </w:rPr>
        <w:t>10.9†</w:t>
      </w:r>
      <w:r>
        <w:rPr>
          <w:sz w:val="20"/>
          <w:szCs w:val="20"/>
          <w:color w:val="auto"/>
        </w:rPr>
        <w:tab/>
      </w:r>
      <w:hyperlink r:id="rId168">
        <w:r>
          <w:rPr>
            <w:rFonts w:ascii="Arial" w:cs="Arial" w:eastAsia="Arial" w:hAnsi="Arial"/>
            <w:sz w:val="12"/>
            <w:szCs w:val="12"/>
            <w:u w:val="single" w:color="auto"/>
            <w:color w:val="0000FF"/>
          </w:rPr>
          <w:t>Employee Stock Purchase Plan, incorporated by reference to Registrant’s Annual Report on Form 10</w:t>
        </w:r>
        <w:r>
          <w:rPr>
            <w:rFonts w:ascii="MS PGothic" w:cs="MS PGothic" w:eastAsia="MS PGothic" w:hAnsi="MS PGothic"/>
            <w:sz w:val="12"/>
            <w:szCs w:val="12"/>
            <w:u w:val="single" w:color="auto"/>
            <w:color w:val="0000FF"/>
          </w:rPr>
          <w:t>‑</w:t>
        </w:r>
        <w:r>
          <w:rPr>
            <w:rFonts w:ascii="Arial" w:cs="Arial" w:eastAsia="Arial" w:hAnsi="Arial"/>
            <w:sz w:val="12"/>
            <w:szCs w:val="12"/>
            <w:u w:val="single" w:color="auto"/>
            <w:color w:val="0000FF"/>
          </w:rPr>
          <w:t>K for the year ended December 31, 2011.</w:t>
        </w:r>
      </w:hyperlink>
    </w:p>
    <w:p>
      <w:pPr>
        <w:spacing w:after="0" w:line="25" w:lineRule="exact"/>
        <w:rPr>
          <w:sz w:val="20"/>
          <w:szCs w:val="20"/>
          <w:color w:val="auto"/>
        </w:rPr>
      </w:pPr>
    </w:p>
    <w:p>
      <w:pPr>
        <w:ind w:left="1220" w:hanging="504"/>
        <w:spacing w:after="0" w:line="157"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10.10</w:t>
      </w:r>
      <w:r>
        <w:rPr>
          <w:sz w:val="20"/>
          <w:szCs w:val="20"/>
          <w:color w:val="auto"/>
        </w:rPr>
        <w:tab/>
      </w:r>
      <w:hyperlink r:id="rId169">
        <w:r>
          <w:rPr>
            <w:rFonts w:ascii="Arial" w:cs="Arial" w:eastAsia="Arial" w:hAnsi="Arial"/>
            <w:sz w:val="14"/>
            <w:szCs w:val="14"/>
            <w:u w:val="single" w:color="auto"/>
            <w:color w:val="0000FF"/>
          </w:rPr>
          <w:t>Lease Agreement between the Registrant and Wells Reit-Bridgewater NJ, LLC for the premises located at 200 Crossing Boulevard, Bridgewater, New Jersey, dated as of</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October 27, 2011, incorporated by reference to Registrant’s Annual 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year ended December 31, 2011.</w:t>
        </w:r>
      </w:hyperlink>
    </w:p>
    <w:p>
      <w:pPr>
        <w:spacing w:after="0" w:line="7" w:lineRule="exact"/>
        <w:rPr>
          <w:sz w:val="20"/>
          <w:szCs w:val="20"/>
          <w:color w:val="auto"/>
        </w:rPr>
      </w:pPr>
    </w:p>
    <w:p>
      <w:pPr>
        <w:jc w:val="both"/>
        <w:ind w:left="1220" w:hanging="525"/>
        <w:spacing w:after="0" w:line="157" w:lineRule="exact"/>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10.11‡</w:t>
      </w:r>
      <w:r>
        <w:rPr>
          <w:sz w:val="20"/>
          <w:szCs w:val="20"/>
          <w:color w:val="auto"/>
        </w:rPr>
        <w:tab/>
      </w:r>
      <w:hyperlink r:id="rId170">
        <w:r>
          <w:rPr>
            <w:rFonts w:ascii="Arial" w:cs="Arial" w:eastAsia="Arial" w:hAnsi="Arial"/>
            <w:sz w:val="14"/>
            <w:szCs w:val="14"/>
            <w:u w:val="single" w:color="auto"/>
            <w:color w:val="0000FF"/>
          </w:rPr>
          <w:t>Cingular Master Services Agreement, effective September 1, 2005 by and between the Registrant and Cingular Wireless LLC, incorporated by reference to Registrant’s Annual</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Report on Form 10</w:t>
        </w:r>
        <w:r>
          <w:rPr>
            <w:rFonts w:ascii="MS PGothic" w:cs="MS PGothic" w:eastAsia="MS PGothic" w:hAnsi="MS PGothic"/>
            <w:sz w:val="14"/>
            <w:szCs w:val="14"/>
            <w:u w:val="single" w:color="auto"/>
            <w:color w:val="0000FF"/>
          </w:rPr>
          <w:t>‑</w:t>
        </w:r>
        <w:r>
          <w:rPr>
            <w:rFonts w:ascii="Arial" w:cs="Arial" w:eastAsia="Arial" w:hAnsi="Arial"/>
            <w:sz w:val="14"/>
            <w:szCs w:val="14"/>
            <w:u w:val="single" w:color="auto"/>
            <w:color w:val="0000FF"/>
          </w:rPr>
          <w:t>K for the year ended December 31, 2008.</w:t>
        </w:r>
      </w:hyperlink>
    </w:p>
    <w:p>
      <w:pPr>
        <w:spacing w:after="0" w:line="7" w:lineRule="exact"/>
        <w:rPr>
          <w:sz w:val="20"/>
          <w:szCs w:val="20"/>
          <w:color w:val="auto"/>
        </w:rPr>
      </w:pPr>
    </w:p>
    <w:p>
      <w:pPr>
        <w:jc w:val="both"/>
        <w:ind w:left="1220" w:hanging="530"/>
        <w:spacing w:after="0" w:line="149" w:lineRule="exact"/>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10.12‡</w:t>
      </w:r>
      <w:r>
        <w:rPr>
          <w:sz w:val="20"/>
          <w:szCs w:val="20"/>
          <w:color w:val="auto"/>
        </w:rPr>
        <w:tab/>
      </w:r>
      <w:hyperlink r:id="rId171">
        <w:r>
          <w:rPr>
            <w:rFonts w:ascii="Arial" w:cs="Arial" w:eastAsia="Arial" w:hAnsi="Arial"/>
            <w:sz w:val="13"/>
            <w:szCs w:val="13"/>
            <w:u w:val="single" w:color="auto"/>
            <w:color w:val="0000FF"/>
          </w:rPr>
          <w:t>Subordinate Material and Services Agreement No. SG021306.S.025 by and between the Registrant and AT&amp;T Services, Inc. dated as of August 1, 2013, incorporated by</w:t>
        </w:r>
      </w:hyperlink>
      <w:r>
        <w:rPr>
          <w:rFonts w:ascii="Arial" w:cs="Arial" w:eastAsia="Arial" w:hAnsi="Arial"/>
          <w:sz w:val="13"/>
          <w:szCs w:val="13"/>
          <w:u w:val="single" w:color="auto"/>
          <w:color w:val="0000FF"/>
        </w:rPr>
        <w:t xml:space="preserve"> </w:t>
      </w:r>
      <w:hyperlink r:id="rId171">
        <w:r>
          <w:rPr>
            <w:rFonts w:ascii="Arial" w:cs="Arial" w:eastAsia="Arial" w:hAnsi="Arial"/>
            <w:sz w:val="13"/>
            <w:szCs w:val="13"/>
            <w:u w:val="single" w:color="auto"/>
            <w:color w:val="0000FF"/>
          </w:rPr>
          <w:t>reference to Registrant’s Annual Report on Form 10-K for the year ended December 31, 2013, including order numbers SG021306.S.025.S.001, SG021306.S.025.S.002,</w:t>
        </w:r>
      </w:hyperlink>
      <w:r>
        <w:rPr>
          <w:rFonts w:ascii="Arial" w:cs="Arial" w:eastAsia="Arial" w:hAnsi="Arial"/>
          <w:sz w:val="13"/>
          <w:szCs w:val="13"/>
          <w:u w:val="single" w:color="auto"/>
          <w:color w:val="0000FF"/>
        </w:rPr>
        <w:t xml:space="preserve"> </w:t>
      </w:r>
      <w:hyperlink r:id="rId171">
        <w:r>
          <w:rPr>
            <w:rFonts w:ascii="Arial" w:cs="Arial" w:eastAsia="Arial" w:hAnsi="Arial"/>
            <w:sz w:val="13"/>
            <w:szCs w:val="13"/>
            <w:u w:val="single" w:color="auto"/>
            <w:color w:val="0000FF"/>
          </w:rPr>
          <w:t>SG021306.S.025.S.003 and SG021306.S.025.S.004, incorporated by reference to Registrant’s Quarterly Report on Form 10</w:t>
        </w:r>
        <w:r>
          <w:rPr>
            <w:rFonts w:ascii="MS PGothic" w:cs="MS PGothic" w:eastAsia="MS PGothic" w:hAnsi="MS PGothic"/>
            <w:sz w:val="13"/>
            <w:szCs w:val="13"/>
            <w:u w:val="single" w:color="auto"/>
            <w:color w:val="0000FF"/>
          </w:rPr>
          <w:t>‑</w:t>
        </w:r>
        <w:r>
          <w:rPr>
            <w:rFonts w:ascii="Arial" w:cs="Arial" w:eastAsia="Arial" w:hAnsi="Arial"/>
            <w:sz w:val="13"/>
            <w:szCs w:val="13"/>
            <w:u w:val="single" w:color="auto"/>
            <w:color w:val="0000FF"/>
          </w:rPr>
          <w:t>Q/A for the quarter ended September 30, 2013.</w:t>
        </w:r>
      </w:hyperlink>
    </w:p>
    <w:p>
      <w:pPr>
        <w:spacing w:after="0" w:line="7" w:lineRule="exact"/>
        <w:rPr>
          <w:rFonts w:ascii="Arial" w:cs="Arial" w:eastAsia="Arial" w:hAnsi="Arial"/>
          <w:sz w:val="13"/>
          <w:szCs w:val="13"/>
          <w:u w:val="single" w:color="auto"/>
          <w:color w:val="0000FF"/>
        </w:rPr>
      </w:pPr>
    </w:p>
    <w:p>
      <w:pPr>
        <w:jc w:val="both"/>
        <w:ind w:left="1220" w:right="20" w:hanging="530"/>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10.13‡</w:t>
      </w:r>
      <w:r>
        <w:rPr>
          <w:sz w:val="20"/>
          <w:szCs w:val="20"/>
          <w:color w:val="auto"/>
        </w:rPr>
        <w:tab/>
      </w:r>
      <w:hyperlink r:id="rId172">
        <w:r>
          <w:rPr>
            <w:rFonts w:ascii="Arial" w:cs="Arial" w:eastAsia="Arial" w:hAnsi="Arial"/>
            <w:sz w:val="14"/>
            <w:szCs w:val="14"/>
            <w:u w:val="single" w:color="auto"/>
            <w:color w:val="0000FF"/>
          </w:rPr>
          <w:t>Amendment 1 effective as of January 1, 2016 to Subordinate Material and Services Agreement No. SG021306.S.025 by and between the Registrant and AT&amp;T Services, Inc.,</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incorporated by reference to Exhibit 10.9.1 to the Registrant’s Annual Report on Form 10-K for the year ended December 31, 2016.</w:t>
        </w:r>
      </w:hyperlink>
    </w:p>
    <w:p>
      <w:pPr>
        <w:spacing w:after="0" w:line="7" w:lineRule="exact"/>
        <w:rPr>
          <w:sz w:val="20"/>
          <w:szCs w:val="20"/>
          <w:color w:val="auto"/>
        </w:rPr>
      </w:pPr>
    </w:p>
    <w:p>
      <w:pPr>
        <w:jc w:val="both"/>
        <w:ind w:left="1220" w:hanging="530"/>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10.14‡</w:t>
      </w:r>
      <w:r>
        <w:rPr>
          <w:sz w:val="20"/>
          <w:szCs w:val="20"/>
          <w:color w:val="auto"/>
        </w:rPr>
        <w:tab/>
      </w:r>
      <w:hyperlink r:id="rId173">
        <w:r>
          <w:rPr>
            <w:rFonts w:ascii="Arial" w:cs="Arial" w:eastAsia="Arial" w:hAnsi="Arial"/>
            <w:sz w:val="14"/>
            <w:szCs w:val="14"/>
            <w:u w:val="single" w:color="auto"/>
            <w:color w:val="0000FF"/>
          </w:rPr>
          <w:t>Order No.SG021306.S.025.S.007 effective as of January 1, 2016 by and between the Registrant and AT&amp;T Services, Inc., incorporated by reference to Exhibit 10.9.2 to the</w:t>
        </w:r>
      </w:hyperlink>
      <w:r>
        <w:rPr>
          <w:rFonts w:ascii="Arial" w:cs="Arial" w:eastAsia="Arial" w:hAnsi="Arial"/>
          <w:sz w:val="14"/>
          <w:szCs w:val="14"/>
          <w:u w:val="single" w:color="auto"/>
          <w:color w:val="0000FF"/>
        </w:rPr>
        <w:t xml:space="preserve"> </w:t>
      </w:r>
      <w:hyperlink r:id="rId173">
        <w:r>
          <w:rPr>
            <w:rFonts w:ascii="Arial" w:cs="Arial" w:eastAsia="Arial" w:hAnsi="Arial"/>
            <w:sz w:val="14"/>
            <w:szCs w:val="14"/>
            <w:u w:val="single" w:color="auto"/>
            <w:color w:val="0000FF"/>
          </w:rPr>
          <w:t>Registrant’s Annual Report on Form 10-K for the year ended December 31, 2016.</w:t>
        </w:r>
      </w:hyperlink>
    </w:p>
    <w:p>
      <w:pPr>
        <w:spacing w:after="0" w:line="7" w:lineRule="exact"/>
        <w:rPr>
          <w:sz w:val="20"/>
          <w:szCs w:val="20"/>
          <w:color w:val="auto"/>
        </w:rPr>
      </w:pPr>
    </w:p>
    <w:p>
      <w:pPr>
        <w:jc w:val="both"/>
        <w:ind w:left="1220" w:hanging="530"/>
        <w:spacing w:after="0" w:line="221"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10.15‡</w:t>
      </w:r>
      <w:r>
        <w:rPr>
          <w:sz w:val="20"/>
          <w:szCs w:val="20"/>
          <w:color w:val="auto"/>
        </w:rPr>
        <w:tab/>
      </w:r>
      <w:hyperlink r:id="rId172">
        <w:r>
          <w:rPr>
            <w:rFonts w:ascii="Arial" w:cs="Arial" w:eastAsia="Arial" w:hAnsi="Arial"/>
            <w:sz w:val="14"/>
            <w:szCs w:val="14"/>
            <w:u w:val="single" w:color="auto"/>
            <w:color w:val="0000FF"/>
          </w:rPr>
          <w:t>Amendment No. 1 effective as of January 1, 2016 to Order No. SG021306.S.025.S.001 dated as of August 1, 2013 by and between the Registrant and AT&amp;T Services, Inc.</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together with Amended and Restated Order No. SG021306.S.025.S.001, incorporated by reference to Exhibit 10.9.3 to the Registrant’s Annual Report on Form 10-K for the</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year ended December 31, 2016.</w:t>
        </w:r>
      </w:hyperlink>
    </w:p>
    <w:p>
      <w:pPr>
        <w:spacing w:after="0" w:line="7" w:lineRule="exact"/>
        <w:rPr>
          <w:rFonts w:ascii="Arial" w:cs="Arial" w:eastAsia="Arial" w:hAnsi="Arial"/>
          <w:sz w:val="14"/>
          <w:szCs w:val="14"/>
          <w:u w:val="single" w:color="auto"/>
          <w:color w:val="0000FF"/>
        </w:rPr>
      </w:pPr>
    </w:p>
    <w:p>
      <w:pPr>
        <w:jc w:val="both"/>
        <w:ind w:left="1220" w:hanging="530"/>
        <w:spacing w:after="0" w:line="221"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174">
        <w:r>
          <w:rPr>
            <w:rFonts w:ascii="Arial" w:cs="Arial" w:eastAsia="Arial" w:hAnsi="Arial"/>
            <w:sz w:val="14"/>
            <w:szCs w:val="14"/>
            <w:u w:val="single" w:color="auto"/>
            <w:color w:val="0000FF"/>
          </w:rPr>
          <w:t>Amendment No. 2 effective as of January 1, 2016 to Order No. SG021306.S.025.S.002 dated as of August 1, 2013 by and between the Registrant and AT&amp;T Services, Inc.,</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together with Amended and Restated Order No. SG021306.S.025.S.002, incorporated by reference to Exhibit 10.9.4 to the Registrant’s Annual Report on Form 10-K for the</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year ended December 31, 2016.</w:t>
        </w:r>
      </w:hyperlink>
    </w:p>
    <w:p>
      <w:pPr>
        <w:ind w:left="680"/>
        <w:spacing w:after="0"/>
        <w:tabs>
          <w:tab w:leader="none" w:pos="1200" w:val="left"/>
        </w:tabs>
        <w:rPr>
          <w:rFonts w:ascii="Arial" w:cs="Arial" w:eastAsia="Arial" w:hAnsi="Arial"/>
          <w:sz w:val="13"/>
          <w:szCs w:val="13"/>
          <w:u w:val="single" w:color="auto"/>
          <w:color w:val="0000FF"/>
        </w:rPr>
      </w:pPr>
      <w:r>
        <w:rPr>
          <w:rFonts w:ascii="Arial" w:cs="Arial" w:eastAsia="Arial" w:hAnsi="Arial"/>
          <w:sz w:val="14"/>
          <w:szCs w:val="14"/>
          <w:color w:val="auto"/>
        </w:rPr>
        <w:t>10.17‡</w:t>
      </w:r>
      <w:r>
        <w:rPr>
          <w:sz w:val="20"/>
          <w:szCs w:val="20"/>
          <w:color w:val="auto"/>
        </w:rPr>
        <w:tab/>
      </w:r>
      <w:hyperlink r:id="rId175">
        <w:r>
          <w:rPr>
            <w:rFonts w:ascii="Arial" w:cs="Arial" w:eastAsia="Arial" w:hAnsi="Arial"/>
            <w:sz w:val="13"/>
            <w:szCs w:val="13"/>
            <w:u w:val="single" w:color="auto"/>
            <w:color w:val="0000FF"/>
          </w:rPr>
          <w:t>Amendment No. 3 effective as of January 1, 2016 to Order No. SG021306.S.025.S.003 dated as of August 1, 2013 by and between the Registrant and AT&amp;T Services, Inc.</w:t>
        </w:r>
      </w:hyperlink>
    </w:p>
    <w:p>
      <w:pPr>
        <w:ind w:left="1220"/>
        <w:spacing w:after="0"/>
        <w:rPr>
          <w:rFonts w:ascii="Arial" w:cs="Arial" w:eastAsia="Arial" w:hAnsi="Arial"/>
          <w:sz w:val="14"/>
          <w:szCs w:val="14"/>
          <w:u w:val="single" w:color="auto"/>
          <w:color w:val="0000FF"/>
        </w:rPr>
      </w:pPr>
      <w:hyperlink r:id="rId175">
        <w:r>
          <w:rPr>
            <w:rFonts w:ascii="Arial" w:cs="Arial" w:eastAsia="Arial" w:hAnsi="Arial"/>
            <w:sz w:val="14"/>
            <w:szCs w:val="14"/>
            <w:u w:val="single" w:color="auto"/>
            <w:color w:val="0000FF"/>
          </w:rPr>
          <w:t>incorporated by reference to Exhibit 10.9.5 to the Registrant’s Annual Report on Form 10-K for the year ended December 31, 2016.</w:t>
        </w:r>
      </w:hyperlink>
    </w:p>
    <w:p>
      <w:pPr>
        <w:spacing w:after="0" w:line="13" w:lineRule="exact"/>
        <w:rPr>
          <w:rFonts w:ascii="Arial" w:cs="Arial" w:eastAsia="Arial" w:hAnsi="Arial"/>
          <w:sz w:val="14"/>
          <w:szCs w:val="14"/>
          <w:u w:val="single" w:color="auto"/>
          <w:color w:val="0000FF"/>
        </w:rPr>
      </w:pPr>
    </w:p>
    <w:p>
      <w:pPr>
        <w:jc w:val="both"/>
        <w:ind w:left="1220" w:hanging="530"/>
        <w:spacing w:after="0" w:line="221"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176">
        <w:r>
          <w:rPr>
            <w:rFonts w:ascii="Arial" w:cs="Arial" w:eastAsia="Arial" w:hAnsi="Arial"/>
            <w:sz w:val="14"/>
            <w:szCs w:val="14"/>
            <w:u w:val="single" w:color="auto"/>
            <w:color w:val="0000FF"/>
          </w:rPr>
          <w:t>Amendment No. 4 effective as of January 1, 2016 to Order No. SG021306.S.025.S.003 dated as of August 1, 2013 by and between the Registrant and AT&amp;T Services, Inc.,</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together with Amended and Restated Order No. SG021306.S.025.S.003, incorporated by reference to Exhibit 10.9.6 to the Registrant’s Annual Report on Form 10-K for the</w:t>
        </w:r>
      </w:hyperlink>
      <w:r>
        <w:rPr>
          <w:rFonts w:ascii="Arial" w:cs="Arial" w:eastAsia="Arial" w:hAnsi="Arial"/>
          <w:sz w:val="14"/>
          <w:szCs w:val="14"/>
          <w:u w:val="single" w:color="auto"/>
          <w:color w:val="0000FF"/>
        </w:rPr>
        <w:t xml:space="preserve"> </w:t>
      </w:r>
      <w:hyperlink r:id="rId176">
        <w:r>
          <w:rPr>
            <w:rFonts w:ascii="Arial" w:cs="Arial" w:eastAsia="Arial" w:hAnsi="Arial"/>
            <w:sz w:val="14"/>
            <w:szCs w:val="14"/>
            <w:u w:val="single" w:color="auto"/>
            <w:color w:val="0000FF"/>
          </w:rPr>
          <w:t>year ended December 31, 2016.</w:t>
        </w:r>
      </w:hyperlink>
    </w:p>
    <w:p>
      <w:pPr>
        <w:spacing w:after="0" w:line="7" w:lineRule="exact"/>
        <w:rPr>
          <w:rFonts w:ascii="Arial" w:cs="Arial" w:eastAsia="Arial" w:hAnsi="Arial"/>
          <w:sz w:val="14"/>
          <w:szCs w:val="14"/>
          <w:u w:val="single" w:color="auto"/>
          <w:color w:val="0000FF"/>
        </w:rPr>
      </w:pPr>
    </w:p>
    <w:p>
      <w:pPr>
        <w:jc w:val="both"/>
        <w:ind w:left="1220" w:hanging="530"/>
        <w:spacing w:after="0" w:line="221"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10.19‡</w:t>
      </w:r>
      <w:r>
        <w:rPr>
          <w:sz w:val="20"/>
          <w:szCs w:val="20"/>
          <w:color w:val="auto"/>
        </w:rPr>
        <w:tab/>
      </w:r>
      <w:hyperlink r:id="rId177">
        <w:r>
          <w:rPr>
            <w:rFonts w:ascii="Arial" w:cs="Arial" w:eastAsia="Arial" w:hAnsi="Arial"/>
            <w:sz w:val="14"/>
            <w:szCs w:val="14"/>
            <w:u w:val="single" w:color="auto"/>
            <w:color w:val="0000FF"/>
          </w:rPr>
          <w:t>Amendment No. 5 effective as of January 1, 2016 to Order No. SG021306.S.025.S.004 dated as of August 1, 2013 by and between the Registrant and AT&amp;T Services, Inc.</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together with Amended and Restated Order No. SG021306.S.025.S.004, incorporated by reference to Exhibit 10.9.7 to the Registrant’s Annual Report on Form 10-K for the</w:t>
        </w:r>
      </w:hyperlink>
      <w:r>
        <w:rPr>
          <w:rFonts w:ascii="Arial" w:cs="Arial" w:eastAsia="Arial" w:hAnsi="Arial"/>
          <w:sz w:val="14"/>
          <w:szCs w:val="14"/>
          <w:u w:val="single" w:color="auto"/>
          <w:color w:val="0000FF"/>
        </w:rPr>
        <w:t xml:space="preserve"> </w:t>
      </w:r>
      <w:hyperlink r:id="rId177">
        <w:r>
          <w:rPr>
            <w:rFonts w:ascii="Arial" w:cs="Arial" w:eastAsia="Arial" w:hAnsi="Arial"/>
            <w:sz w:val="14"/>
            <w:szCs w:val="14"/>
            <w:u w:val="single" w:color="auto"/>
            <w:color w:val="0000FF"/>
          </w:rPr>
          <w:t>year ended December 31, 2016.</w:t>
        </w:r>
      </w:hyperlink>
    </w:p>
    <w:p>
      <w:pPr>
        <w:spacing w:after="0" w:line="7" w:lineRule="exact"/>
        <w:rPr>
          <w:rFonts w:ascii="Arial" w:cs="Arial" w:eastAsia="Arial" w:hAnsi="Arial"/>
          <w:sz w:val="14"/>
          <w:szCs w:val="14"/>
          <w:u w:val="single" w:color="auto"/>
          <w:color w:val="0000FF"/>
        </w:rPr>
      </w:pPr>
    </w:p>
    <w:p>
      <w:pPr>
        <w:jc w:val="both"/>
        <w:ind w:left="1220" w:hanging="530"/>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10.20†</w:t>
      </w:r>
      <w:r>
        <w:rPr>
          <w:sz w:val="20"/>
          <w:szCs w:val="20"/>
          <w:color w:val="auto"/>
        </w:rPr>
        <w:tab/>
      </w:r>
      <w:hyperlink r:id="rId178">
        <w:r>
          <w:rPr>
            <w:rFonts w:ascii="Arial" w:cs="Arial" w:eastAsia="Arial" w:hAnsi="Arial"/>
            <w:sz w:val="14"/>
            <w:szCs w:val="14"/>
            <w:u w:val="single" w:color="auto"/>
            <w:color w:val="0000FF"/>
          </w:rPr>
          <w:t>Employment Agreement dated as of April 27, 2017 between the Registrant and Stephen G. Waldis, incorporated by reference to Exhibit 10.4 to the Registrant’s Quarterly</w:t>
        </w:r>
      </w:hyperlink>
      <w:r>
        <w:rPr>
          <w:rFonts w:ascii="Arial" w:cs="Arial" w:eastAsia="Arial" w:hAnsi="Arial"/>
          <w:sz w:val="14"/>
          <w:szCs w:val="14"/>
          <w:u w:val="single" w:color="auto"/>
          <w:color w:val="0000FF"/>
        </w:rPr>
        <w:t xml:space="preserve"> </w:t>
      </w:r>
      <w:hyperlink r:id="rId178">
        <w:r>
          <w:rPr>
            <w:rFonts w:ascii="Arial" w:cs="Arial" w:eastAsia="Arial" w:hAnsi="Arial"/>
            <w:sz w:val="14"/>
            <w:szCs w:val="14"/>
            <w:u w:val="single" w:color="auto"/>
            <w:color w:val="0000FF"/>
          </w:rPr>
          <w:t>Report on Form 10-Q for the quarter ended June 30, 2018.</w:t>
        </w:r>
      </w:hyperlink>
    </w:p>
    <w:p>
      <w:pPr>
        <w:spacing w:after="0" w:line="7" w:lineRule="exact"/>
        <w:rPr>
          <w:sz w:val="20"/>
          <w:szCs w:val="20"/>
          <w:color w:val="auto"/>
        </w:rPr>
      </w:pPr>
    </w:p>
    <w:p>
      <w:pPr>
        <w:jc w:val="both"/>
        <w:ind w:left="1220" w:hanging="530"/>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179">
        <w:r>
          <w:rPr>
            <w:rFonts w:ascii="Arial" w:cs="Arial" w:eastAsia="Arial" w:hAnsi="Arial"/>
            <w:sz w:val="14"/>
            <w:szCs w:val="14"/>
            <w:u w:val="single" w:color="auto"/>
            <w:color w:val="0000FF"/>
          </w:rPr>
          <w:t>Tier One Executive Employment Plan effective March 24, 2017, incorporated by reference to Exhibit 10.5 to the Registrant’s Quarterly Report on Form 10-Q for the quarter</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ended June 30, 2018.</w:t>
        </w:r>
      </w:hyperlink>
    </w:p>
    <w:p>
      <w:pPr>
        <w:spacing w:after="0" w:line="7" w:lineRule="exact"/>
        <w:rPr>
          <w:sz w:val="20"/>
          <w:szCs w:val="20"/>
          <w:color w:val="auto"/>
        </w:rPr>
      </w:pPr>
    </w:p>
    <w:p>
      <w:pPr>
        <w:jc w:val="both"/>
        <w:ind w:left="1220" w:right="20" w:hanging="530"/>
        <w:spacing w:after="0" w:line="233" w:lineRule="auto"/>
        <w:tabs>
          <w:tab w:leader="none" w:pos="1200" w:val="left"/>
        </w:tabs>
        <w:rPr>
          <w:rFonts w:ascii="Arial" w:cs="Arial" w:eastAsia="Arial" w:hAnsi="Arial"/>
          <w:sz w:val="14"/>
          <w:szCs w:val="14"/>
          <w:u w:val="single" w:color="auto"/>
          <w:color w:val="0000FF"/>
        </w:rPr>
      </w:pPr>
      <w:r>
        <w:rPr>
          <w:rFonts w:ascii="Arial" w:cs="Arial" w:eastAsia="Arial" w:hAnsi="Arial"/>
          <w:sz w:val="14"/>
          <w:szCs w:val="14"/>
          <w:color w:val="auto"/>
        </w:rPr>
        <w:t>10.22†</w:t>
      </w:r>
      <w:r>
        <w:rPr>
          <w:sz w:val="20"/>
          <w:szCs w:val="20"/>
          <w:color w:val="auto"/>
        </w:rPr>
        <w:tab/>
      </w:r>
      <w:hyperlink r:id="rId180">
        <w:r>
          <w:rPr>
            <w:rFonts w:ascii="Arial" w:cs="Arial" w:eastAsia="Arial" w:hAnsi="Arial"/>
            <w:sz w:val="14"/>
            <w:szCs w:val="14"/>
            <w:u w:val="single" w:color="auto"/>
            <w:color w:val="0000FF"/>
          </w:rPr>
          <w:t>Executive Employment Letter dated as of August 9, 2018 between the Registrant and David Clark, incorporated by reference to Exhibit 10.4 to the Registrant’s Quarterly</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Report on Form 10-Q for the quarter ended September 30, 2018 filed on November 9,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Arial" w:cs="Arial" w:eastAsia="Arial" w:hAnsi="Arial"/>
                <w:sz w:val="14"/>
                <w:szCs w:val="14"/>
                <w:b w:val="1"/>
                <w:bCs w:val="1"/>
                <w:color w:val="auto"/>
              </w:rPr>
              <w:t>Description</w:t>
            </w:r>
          </w:p>
        </w:tc>
      </w:tr>
      <w:tr>
        <w:trPr>
          <w:trHeight w:val="145"/>
        </w:trPr>
        <w:tc>
          <w:tcPr>
            <w:tcW w:w="11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10.23</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160" w:type="dxa"/>
            <w:vAlign w:val="bottom"/>
            <w:tcBorders>
              <w:top w:val="single" w:sz="8" w:color="auto"/>
            </w:tcBorders>
            <w:gridSpan w:val="25"/>
          </w:tcPr>
          <w:p>
            <w:pPr>
              <w:spacing w:after="0" w:line="145" w:lineRule="exact"/>
              <w:rPr>
                <w:rFonts w:ascii="Arial" w:cs="Arial" w:eastAsia="Arial" w:hAnsi="Arial"/>
                <w:sz w:val="14"/>
                <w:szCs w:val="14"/>
                <w:color w:val="0000FF"/>
                <w:w w:val="97"/>
              </w:rPr>
            </w:pPr>
            <w:hyperlink r:id="rId182">
              <w:r>
                <w:rPr>
                  <w:rFonts w:ascii="Arial" w:cs="Arial" w:eastAsia="Arial" w:hAnsi="Arial"/>
                  <w:sz w:val="14"/>
                  <w:szCs w:val="14"/>
                  <w:color w:val="0000FF"/>
                  <w:w w:val="97"/>
                </w:rPr>
                <w:t>Application Service Provider Agreement retroactively effective as of April 1, 2013 by and between the Registrant and Verizon Sourcing LLC, incorporated by reference to</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980" w:type="dxa"/>
            <w:vAlign w:val="bottom"/>
            <w:tcBorders>
              <w:top w:val="single" w:sz="8" w:color="0000FF"/>
            </w:tcBorders>
            <w:gridSpan w:val="16"/>
          </w:tcPr>
          <w:p>
            <w:pPr>
              <w:spacing w:after="0" w:line="113" w:lineRule="exact"/>
              <w:rPr>
                <w:rFonts w:ascii="Arial" w:cs="Arial" w:eastAsia="Arial" w:hAnsi="Arial"/>
                <w:sz w:val="13"/>
                <w:szCs w:val="13"/>
                <w:color w:val="0000FF"/>
              </w:rPr>
            </w:pPr>
            <w:hyperlink r:id="rId182">
              <w:r>
                <w:rPr>
                  <w:rFonts w:ascii="Arial" w:cs="Arial" w:eastAsia="Arial" w:hAnsi="Arial"/>
                  <w:sz w:val="13"/>
                  <w:szCs w:val="13"/>
                  <w:color w:val="0000FF"/>
                </w:rPr>
                <w:t>Exhibit 10.12 to the Registrant’s Quarterly Report on Form 10-Q for the quarter ended June 30, 2018 filed on August 9, 2018.</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8"/>
              </w:rPr>
            </w:pPr>
            <w:hyperlink r:id="rId183">
              <w:r>
                <w:rPr>
                  <w:rFonts w:ascii="Arial" w:cs="Arial" w:eastAsia="Arial" w:hAnsi="Arial"/>
                  <w:sz w:val="14"/>
                  <w:szCs w:val="14"/>
                  <w:color w:val="0000FF"/>
                  <w:w w:val="98"/>
                </w:rPr>
                <w:t>Change Request No 8 effective January 1, 2018 to SOW No. 1 Application Service Provider Agreement effective as of April 1, 2013 by and between the Registrant and</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140" w:type="dxa"/>
            <w:vAlign w:val="bottom"/>
            <w:tcBorders>
              <w:top w:val="single" w:sz="8" w:color="0000FF"/>
            </w:tcBorders>
            <w:gridSpan w:val="24"/>
          </w:tcPr>
          <w:p>
            <w:pPr>
              <w:spacing w:after="0" w:line="113" w:lineRule="exact"/>
              <w:rPr>
                <w:rFonts w:ascii="Arial" w:cs="Arial" w:eastAsia="Arial" w:hAnsi="Arial"/>
                <w:sz w:val="13"/>
                <w:szCs w:val="13"/>
                <w:color w:val="0000FF"/>
              </w:rPr>
            </w:pPr>
            <w:hyperlink r:id="rId183">
              <w:r>
                <w:rPr>
                  <w:rFonts w:ascii="Arial" w:cs="Arial" w:eastAsia="Arial" w:hAnsi="Arial"/>
                  <w:sz w:val="13"/>
                  <w:szCs w:val="13"/>
                  <w:color w:val="0000FF"/>
                </w:rPr>
                <w:t>Verizon Sourcing LLC, incorporated by reference to Exhibit 10.13 to the Registrant’s Quarterly Report on Form 10-Q for the quarter ended June 30, 2018 filed on August 9,</w:t>
              </w:r>
            </w:hyperlink>
          </w:p>
        </w:tc>
        <w:tc>
          <w:tcPr>
            <w:tcW w:w="2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2"/>
              </w:rPr>
            </w:pPr>
            <w:hyperlink r:id="rId183">
              <w:r>
                <w:rPr>
                  <w:rFonts w:ascii="Arial" w:cs="Arial" w:eastAsia="Arial" w:hAnsi="Arial"/>
                  <w:sz w:val="13"/>
                  <w:szCs w:val="13"/>
                  <w:color w:val="0000FF"/>
                  <w:w w:val="92"/>
                </w:rPr>
                <w:t>2018.</w:t>
              </w:r>
            </w:hyperlink>
          </w:p>
        </w:tc>
        <w:tc>
          <w:tcPr>
            <w:tcW w:w="78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22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320" w:type="dxa"/>
            <w:vAlign w:val="bottom"/>
            <w:tcBorders>
              <w:top w:val="single" w:sz="8" w:color="0000FF"/>
            </w:tcBorders>
          </w:tcPr>
          <w:p>
            <w:pPr>
              <w:spacing w:after="0"/>
              <w:rPr>
                <w:sz w:val="9"/>
                <w:szCs w:val="9"/>
                <w:color w:val="auto"/>
              </w:rPr>
            </w:pPr>
          </w:p>
        </w:tc>
        <w:tc>
          <w:tcPr>
            <w:tcW w:w="20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3"/>
              </w:rPr>
            </w:pPr>
            <w:hyperlink r:id="rId184">
              <w:r>
                <w:rPr>
                  <w:rFonts w:ascii="Arial" w:cs="Arial" w:eastAsia="Arial" w:hAnsi="Arial"/>
                  <w:sz w:val="14"/>
                  <w:szCs w:val="14"/>
                  <w:color w:val="0000FF"/>
                  <w:w w:val="93"/>
                </w:rPr>
                <w:t>At Market Issuance Sales Agreement between Synchronoss Technologies, Inc. and B. Riley Securities, Inc., dated October 25, 2021 incorporated by reference to Exhibit 1.1 to</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60" w:type="dxa"/>
            <w:vAlign w:val="bottom"/>
            <w:tcBorders>
              <w:top w:val="single" w:sz="8" w:color="0000FF"/>
            </w:tcBorders>
            <w:gridSpan w:val="20"/>
          </w:tcPr>
          <w:p>
            <w:pPr>
              <w:spacing w:after="0" w:line="113" w:lineRule="exact"/>
              <w:rPr>
                <w:rFonts w:ascii="Arial" w:cs="Arial" w:eastAsia="Arial" w:hAnsi="Arial"/>
                <w:sz w:val="13"/>
                <w:szCs w:val="13"/>
                <w:color w:val="0000FF"/>
              </w:rPr>
            </w:pPr>
            <w:hyperlink r:id="rId184">
              <w:r>
                <w:rPr>
                  <w:rFonts w:ascii="Arial" w:cs="Arial" w:eastAsia="Arial" w:hAnsi="Arial"/>
                  <w:sz w:val="13"/>
                  <w:szCs w:val="13"/>
                  <w:color w:val="0000FF"/>
                </w:rPr>
                <w:t>the Registrant’s Current Report on Form 8-K filed on October 26, 2021.</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10.26‡</w:t>
            </w: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8"/>
              </w:rPr>
            </w:pPr>
            <w:hyperlink r:id="rId185">
              <w:r>
                <w:rPr>
                  <w:rFonts w:ascii="Arial" w:cs="Arial" w:eastAsia="Arial" w:hAnsi="Arial"/>
                  <w:sz w:val="14"/>
                  <w:szCs w:val="14"/>
                  <w:color w:val="0000FF"/>
                  <w:w w:val="98"/>
                </w:rPr>
                <w:t>Change Request No 12 effective August 7, 2020 to SOW No.1 Application Service Provider Agreement effective as of April 1, 2013 by and between the Registrant and</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0" w:type="dxa"/>
            <w:vAlign w:val="bottom"/>
            <w:tcBorders>
              <w:top w:val="single" w:sz="8" w:color="0000FF"/>
              <w:bottom w:val="single" w:sz="8" w:color="0000FF"/>
            </w:tcBorders>
            <w:gridSpan w:val="17"/>
          </w:tcPr>
          <w:p>
            <w:pPr>
              <w:spacing w:after="0" w:line="113" w:lineRule="exact"/>
              <w:rPr>
                <w:rFonts w:ascii="Arial" w:cs="Arial" w:eastAsia="Arial" w:hAnsi="Arial"/>
                <w:sz w:val="13"/>
                <w:szCs w:val="13"/>
                <w:color w:val="0000FF"/>
              </w:rPr>
            </w:pPr>
            <w:hyperlink r:id="rId185">
              <w:r>
                <w:rPr>
                  <w:rFonts w:ascii="Arial" w:cs="Arial" w:eastAsia="Arial" w:hAnsi="Arial"/>
                  <w:sz w:val="13"/>
                  <w:szCs w:val="13"/>
                  <w:color w:val="0000FF"/>
                </w:rPr>
                <w:t>Verizon Sourcing LLC., incorporated by reference to Exhibit 10.2 to the Registrant’s Quarterly Report on Form 10-Q for the quarter ended September 30, 2020 filed on</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Borders>
              <w:bottom w:val="single" w:sz="8" w:color="0000FF"/>
            </w:tcBorders>
            <w:gridSpan w:val="2"/>
          </w:tcPr>
          <w:p>
            <w:pPr>
              <w:spacing w:after="0" w:line="113" w:lineRule="exact"/>
              <w:rPr>
                <w:rFonts w:ascii="Arial" w:cs="Arial" w:eastAsia="Arial" w:hAnsi="Arial"/>
                <w:sz w:val="13"/>
                <w:szCs w:val="13"/>
                <w:color w:val="0000FF"/>
                <w:w w:val="97"/>
              </w:rPr>
            </w:pPr>
            <w:hyperlink r:id="rId185">
              <w:r>
                <w:rPr>
                  <w:rFonts w:ascii="Arial" w:cs="Arial" w:eastAsia="Arial" w:hAnsi="Arial"/>
                  <w:sz w:val="13"/>
                  <w:szCs w:val="13"/>
                  <w:color w:val="0000FF"/>
                  <w:w w:val="97"/>
                </w:rPr>
                <w:t>November 9, 2020.</w:t>
              </w:r>
            </w:hyperlink>
          </w:p>
        </w:tc>
        <w:tc>
          <w:tcPr>
            <w:tcW w:w="9020" w:type="dxa"/>
            <w:vAlign w:val="bottom"/>
            <w:gridSpan w:val="21"/>
          </w:tcPr>
          <w:p>
            <w:pPr>
              <w:spacing w:after="0"/>
              <w:rPr>
                <w:sz w:val="9"/>
                <w:szCs w:val="9"/>
                <w:color w:val="auto"/>
              </w:rPr>
            </w:pPr>
          </w:p>
        </w:tc>
        <w:tc>
          <w:tcPr>
            <w:tcW w:w="40" w:type="dxa"/>
            <w:vAlign w:val="bottom"/>
            <w:gridSpan w:val="2"/>
          </w:tcPr>
          <w:p>
            <w:pPr>
              <w:spacing w:after="0"/>
              <w:rPr>
                <w:sz w:val="9"/>
                <w:szCs w:val="9"/>
                <w:color w:val="auto"/>
              </w:rPr>
            </w:pPr>
          </w:p>
        </w:tc>
      </w:tr>
      <w:tr>
        <w:trPr>
          <w:trHeight w:val="16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10.27†</w:t>
            </w: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5"/>
              </w:rPr>
            </w:pPr>
            <w:hyperlink r:id="rId186">
              <w:r>
                <w:rPr>
                  <w:rFonts w:ascii="Arial" w:cs="Arial" w:eastAsia="Arial" w:hAnsi="Arial"/>
                  <w:sz w:val="14"/>
                  <w:szCs w:val="14"/>
                  <w:color w:val="0000FF"/>
                  <w:w w:val="95"/>
                </w:rPr>
                <w:t>Employment agreement dated as of March 8, 2021 between the Registrant and Jeff Miller, incorporated by reference to Exhibit 10.1 to the Registrant’s Quarterly Report on</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8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9"/>
              </w:rPr>
            </w:pPr>
            <w:hyperlink r:id="rId186">
              <w:r>
                <w:rPr>
                  <w:rFonts w:ascii="Arial" w:cs="Arial" w:eastAsia="Arial" w:hAnsi="Arial"/>
                  <w:sz w:val="13"/>
                  <w:szCs w:val="13"/>
                  <w:color w:val="0000FF"/>
                  <w:w w:val="99"/>
                </w:rPr>
                <w:t>Form 10-Q for the quarter ended March 31, 2021 filed May 5, 2021.</w:t>
              </w:r>
            </w:hyperlink>
          </w:p>
        </w:tc>
        <w:tc>
          <w:tcPr>
            <w:tcW w:w="6080" w:type="dxa"/>
            <w:vAlign w:val="bottom"/>
            <w:tcBorders>
              <w:top w:val="single" w:sz="8" w:color="0000FF"/>
            </w:tcBorders>
            <w:gridSpan w:val="11"/>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r>
      <w:tr>
        <w:trPr>
          <w:trHeight w:val="16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10.28†</w:t>
            </w: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6"/>
              </w:rPr>
            </w:pPr>
            <w:hyperlink r:id="rId187">
              <w:r>
                <w:rPr>
                  <w:rFonts w:ascii="Arial" w:cs="Arial" w:eastAsia="Arial" w:hAnsi="Arial"/>
                  <w:sz w:val="14"/>
                  <w:szCs w:val="14"/>
                  <w:color w:val="0000FF"/>
                  <w:w w:val="96"/>
                </w:rPr>
                <w:t>Transition and Separation Agreement dated June 16, 2021 between the Registrant and David Clark, incorporated by reference to Exhibit 10.1 to the Registrant’s Quarterly</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520" w:type="dxa"/>
            <w:vAlign w:val="bottom"/>
            <w:tcBorders>
              <w:top w:val="single" w:sz="8" w:color="0000FF"/>
              <w:bottom w:val="single" w:sz="8" w:color="0000FF"/>
            </w:tcBorders>
            <w:gridSpan w:val="6"/>
          </w:tcPr>
          <w:p>
            <w:pPr>
              <w:spacing w:after="0" w:line="113" w:lineRule="exact"/>
              <w:rPr>
                <w:rFonts w:ascii="Arial" w:cs="Arial" w:eastAsia="Arial" w:hAnsi="Arial"/>
                <w:sz w:val="13"/>
                <w:szCs w:val="13"/>
                <w:color w:val="0000FF"/>
                <w:w w:val="98"/>
              </w:rPr>
            </w:pPr>
            <w:hyperlink r:id="rId187">
              <w:r>
                <w:rPr>
                  <w:rFonts w:ascii="Arial" w:cs="Arial" w:eastAsia="Arial" w:hAnsi="Arial"/>
                  <w:sz w:val="13"/>
                  <w:szCs w:val="13"/>
                  <w:color w:val="0000FF"/>
                  <w:w w:val="98"/>
                </w:rPr>
                <w:t>Report on Form 10-Q for the quarter ended June 30, 2021 filed August 9, 2021.</w:t>
              </w:r>
            </w:hyperlink>
          </w:p>
        </w:tc>
        <w:tc>
          <w:tcPr>
            <w:tcW w:w="5560" w:type="dxa"/>
            <w:vAlign w:val="bottom"/>
            <w:tcBorders>
              <w:top w:val="single" w:sz="8" w:color="0000FF"/>
            </w:tcBorders>
            <w:gridSpan w:val="1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r>
      <w:tr>
        <w:trPr>
          <w:trHeight w:val="16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10.29†</w:t>
            </w: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3"/>
              </w:rPr>
            </w:pPr>
            <w:hyperlink r:id="rId188">
              <w:r>
                <w:rPr>
                  <w:rFonts w:ascii="Arial" w:cs="Arial" w:eastAsia="Arial" w:hAnsi="Arial"/>
                  <w:sz w:val="14"/>
                  <w:szCs w:val="14"/>
                  <w:color w:val="0000FF"/>
                  <w:w w:val="93"/>
                </w:rPr>
                <w:t>Tier One Executive Employment Plan dated July 27, 2021 between the Registrant and Christina Gabrys, incorporated by reference to Exhibit 10.2 to the Registrant’s Quarterly</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100" w:type="dxa"/>
            <w:vAlign w:val="bottom"/>
            <w:tcBorders>
              <w:top w:val="single" w:sz="8" w:color="0000FF"/>
            </w:tcBorders>
            <w:gridSpan w:val="22"/>
          </w:tcPr>
          <w:p>
            <w:pPr>
              <w:spacing w:after="0" w:line="113" w:lineRule="exact"/>
              <w:rPr>
                <w:rFonts w:ascii="Arial" w:cs="Arial" w:eastAsia="Arial" w:hAnsi="Arial"/>
                <w:sz w:val="13"/>
                <w:szCs w:val="13"/>
                <w:color w:val="0000FF"/>
              </w:rPr>
            </w:pPr>
            <w:hyperlink r:id="rId188">
              <w:r>
                <w:rPr>
                  <w:rFonts w:ascii="Arial" w:cs="Arial" w:eastAsia="Arial" w:hAnsi="Arial"/>
                  <w:sz w:val="13"/>
                  <w:szCs w:val="13"/>
                  <w:color w:val="0000FF"/>
                </w:rPr>
                <w:t>Report on Form 10-Q for the quarter ended September 30, 2021 filed November 9, 2021.</w:t>
              </w:r>
            </w:hyperlink>
          </w:p>
        </w:tc>
        <w:tc>
          <w:tcPr>
            <w:tcW w:w="60" w:type="dxa"/>
            <w:vAlign w:val="bottom"/>
            <w:gridSpan w:val="3"/>
          </w:tcPr>
          <w:p>
            <w:pPr>
              <w:spacing w:after="0"/>
              <w:rPr>
                <w:sz w:val="9"/>
                <w:szCs w:val="9"/>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6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10.30†</w:t>
            </w: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7"/>
              </w:rPr>
            </w:pPr>
            <w:hyperlink r:id="rId189">
              <w:r>
                <w:rPr>
                  <w:rFonts w:ascii="Arial" w:cs="Arial" w:eastAsia="Arial" w:hAnsi="Arial"/>
                  <w:sz w:val="14"/>
                  <w:szCs w:val="14"/>
                  <w:color w:val="0000FF"/>
                  <w:w w:val="97"/>
                </w:rPr>
                <w:t>Transition and Separation Agreement dated September 2, 2021 between the Registrant and Ronald Prague, incorporated by reference to Exhibit 10.1 to the Registrant’s</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4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89">
              <w:r>
                <w:rPr>
                  <w:rFonts w:ascii="Arial" w:cs="Arial" w:eastAsia="Arial" w:hAnsi="Arial"/>
                  <w:sz w:val="13"/>
                  <w:szCs w:val="13"/>
                  <w:color w:val="0000FF"/>
                </w:rPr>
                <w:t>Quarterly Report on Form 10-Q for the quarter ended September 30, 2021 filed November 9, 2021.</w:t>
              </w:r>
            </w:hyperlink>
          </w:p>
        </w:tc>
        <w:tc>
          <w:tcPr>
            <w:tcW w:w="120" w:type="dxa"/>
            <w:vAlign w:val="bottom"/>
            <w:gridSpan w:val="6"/>
          </w:tcPr>
          <w:p>
            <w:pPr>
              <w:spacing w:after="0"/>
              <w:rPr>
                <w:sz w:val="9"/>
                <w:szCs w:val="9"/>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6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10.31†</w:t>
            </w:r>
          </w:p>
        </w:tc>
        <w:tc>
          <w:tcPr>
            <w:tcW w:w="20" w:type="dxa"/>
            <w:vAlign w:val="bottom"/>
          </w:tcPr>
          <w:p>
            <w:pPr>
              <w:spacing w:after="0"/>
              <w:rPr>
                <w:sz w:val="14"/>
                <w:szCs w:val="14"/>
                <w:color w:val="auto"/>
              </w:rPr>
            </w:pPr>
          </w:p>
        </w:tc>
        <w:tc>
          <w:tcPr>
            <w:tcW w:w="5820" w:type="dxa"/>
            <w:vAlign w:val="bottom"/>
            <w:tcBorders>
              <w:bottom w:val="single" w:sz="8" w:color="0000FF"/>
            </w:tcBorders>
            <w:gridSpan w:val="10"/>
          </w:tcPr>
          <w:p>
            <w:pPr>
              <w:spacing w:after="0"/>
              <w:rPr>
                <w:rFonts w:ascii="Arial" w:cs="Arial" w:eastAsia="Arial" w:hAnsi="Arial"/>
                <w:sz w:val="14"/>
                <w:szCs w:val="14"/>
                <w:color w:val="0000FF"/>
                <w:w w:val="91"/>
              </w:rPr>
            </w:pPr>
            <w:hyperlink w:anchor="page122">
              <w:r>
                <w:rPr>
                  <w:rFonts w:ascii="Arial" w:cs="Arial" w:eastAsia="Arial" w:hAnsi="Arial"/>
                  <w:sz w:val="14"/>
                  <w:szCs w:val="14"/>
                  <w:color w:val="0000FF"/>
                  <w:w w:val="91"/>
                </w:rPr>
                <w:t>Employment Agreement dated as of November 1, 2021 between the Registrant and Taylor Greenwald.</w:t>
              </w:r>
            </w:hyperlink>
          </w:p>
        </w:tc>
        <w:tc>
          <w:tcPr>
            <w:tcW w:w="4340" w:type="dxa"/>
            <w:vAlign w:val="bottom"/>
            <w:gridSpan w:val="15"/>
          </w:tcPr>
          <w:p>
            <w:pPr>
              <w:spacing w:after="0"/>
              <w:rPr>
                <w:sz w:val="14"/>
                <w:szCs w:val="14"/>
                <w:color w:val="auto"/>
              </w:rPr>
            </w:pPr>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gridSpan w:val="25"/>
          </w:tcPr>
          <w:p>
            <w:pPr>
              <w:spacing w:after="0"/>
              <w:rPr>
                <w:rFonts w:ascii="Arial" w:cs="Arial" w:eastAsia="Arial" w:hAnsi="Arial"/>
                <w:sz w:val="14"/>
                <w:szCs w:val="14"/>
                <w:color w:val="0000FF"/>
                <w:w w:val="96"/>
              </w:rPr>
            </w:pPr>
            <w:hyperlink r:id="rId190">
              <w:r>
                <w:rPr>
                  <w:rFonts w:ascii="Arial" w:cs="Arial" w:eastAsia="Arial" w:hAnsi="Arial"/>
                  <w:sz w:val="14"/>
                  <w:szCs w:val="14"/>
                  <w:color w:val="0000FF"/>
                  <w:w w:val="96"/>
                </w:rPr>
                <w:t>List of subsidiaries, incorporated by reference to Exhibit 21.1 to the Registrant’s Annual Report on Form 10-K for the year ended December 31, 2017 filed on July 2, 2018.</w:t>
              </w:r>
            </w:hyperlink>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14"/>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Consent of Ernst &amp; Young, LLP, Independent Registered Public Accounting Firm.</w:t>
              </w:r>
            </w:hyperlink>
          </w:p>
        </w:tc>
        <w:tc>
          <w:tcPr>
            <w:tcW w:w="440" w:type="dxa"/>
            <w:vAlign w:val="bottom"/>
            <w:gridSpan w:val="11"/>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bottom w:val="single" w:sz="8" w:color="0000FF"/>
            </w:tcBorders>
            <w:gridSpan w:val="13"/>
          </w:tcPr>
          <w:p>
            <w:pPr>
              <w:spacing w:after="0" w:line="161" w:lineRule="exact"/>
              <w:rPr>
                <w:rFonts w:ascii="Arial" w:cs="Arial" w:eastAsia="Arial" w:hAnsi="Arial"/>
                <w:sz w:val="14"/>
                <w:szCs w:val="14"/>
                <w:color w:val="0000FF"/>
                <w:w w:val="92"/>
              </w:rPr>
            </w:pPr>
            <w:hyperlink w:anchor="page135">
              <w:r>
                <w:rPr>
                  <w:rFonts w:ascii="Arial" w:cs="Arial" w:eastAsia="Arial" w:hAnsi="Arial"/>
                  <w:sz w:val="14"/>
                  <w:szCs w:val="14"/>
                  <w:color w:val="0000FF"/>
                  <w:w w:val="92"/>
                </w:rPr>
                <w:t>Certification of Principal Executive Officer pursuant to Rule 13a</w:t>
              </w:r>
              <w:r>
                <w:rPr>
                  <w:rFonts w:ascii="MS PGothic" w:cs="MS PGothic" w:eastAsia="MS PGothic" w:hAnsi="MS PGothic"/>
                  <w:sz w:val="14"/>
                  <w:szCs w:val="14"/>
                  <w:color w:val="0000FF"/>
                  <w:w w:val="92"/>
                </w:rPr>
                <w:t>‑</w:t>
              </w:r>
              <w:r>
                <w:rPr>
                  <w:rFonts w:ascii="Arial" w:cs="Arial" w:eastAsia="Arial" w:hAnsi="Arial"/>
                  <w:sz w:val="14"/>
                  <w:szCs w:val="14"/>
                  <w:color w:val="0000FF"/>
                  <w:w w:val="92"/>
                </w:rPr>
                <w:t>14(a) of the Exchange Act, as adopted pursuant to section 302 of the Sarbanes</w:t>
              </w:r>
              <w:r>
                <w:rPr>
                  <w:rFonts w:ascii="MS PGothic" w:cs="MS PGothic" w:eastAsia="MS PGothic" w:hAnsi="MS PGothic"/>
                  <w:sz w:val="14"/>
                  <w:szCs w:val="14"/>
                  <w:color w:val="0000FF"/>
                  <w:w w:val="92"/>
                </w:rPr>
                <w:t>‑</w:t>
              </w:r>
              <w:r>
                <w:rPr>
                  <w:rFonts w:ascii="Arial" w:cs="Arial" w:eastAsia="Arial" w:hAnsi="Arial"/>
                  <w:sz w:val="14"/>
                  <w:szCs w:val="14"/>
                  <w:color w:val="0000FF"/>
                  <w:w w:val="92"/>
                </w:rPr>
                <w:t>Oxley Act of 2002</w:t>
              </w:r>
            </w:hyperlink>
          </w:p>
        </w:tc>
        <w:tc>
          <w:tcPr>
            <w:tcW w:w="900" w:type="dxa"/>
            <w:vAlign w:val="bottom"/>
            <w:gridSpan w:val="12"/>
          </w:tcPr>
          <w:p>
            <w:pPr>
              <w:spacing w:after="0"/>
              <w:rPr>
                <w:sz w:val="14"/>
                <w:szCs w:val="14"/>
                <w:color w:val="auto"/>
              </w:rPr>
            </w:pPr>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bottom w:val="single" w:sz="8" w:color="0000FF"/>
            </w:tcBorders>
            <w:gridSpan w:val="12"/>
          </w:tcPr>
          <w:p>
            <w:pPr>
              <w:spacing w:after="0" w:line="161" w:lineRule="exact"/>
              <w:rPr>
                <w:rFonts w:ascii="Arial" w:cs="Arial" w:eastAsia="Arial" w:hAnsi="Arial"/>
                <w:sz w:val="14"/>
                <w:szCs w:val="14"/>
                <w:color w:val="0000FF"/>
                <w:w w:val="92"/>
              </w:rPr>
            </w:pPr>
            <w:hyperlink w:anchor="page136">
              <w:r>
                <w:rPr>
                  <w:rFonts w:ascii="Arial" w:cs="Arial" w:eastAsia="Arial" w:hAnsi="Arial"/>
                  <w:sz w:val="14"/>
                  <w:szCs w:val="14"/>
                  <w:color w:val="0000FF"/>
                  <w:w w:val="92"/>
                </w:rPr>
                <w:t>Certification of Principal Financial Officer pursuant to Rule 13a</w:t>
              </w:r>
              <w:r>
                <w:rPr>
                  <w:rFonts w:ascii="MS PGothic" w:cs="MS PGothic" w:eastAsia="MS PGothic" w:hAnsi="MS PGothic"/>
                  <w:sz w:val="14"/>
                  <w:szCs w:val="14"/>
                  <w:color w:val="0000FF"/>
                  <w:w w:val="92"/>
                </w:rPr>
                <w:t>‑</w:t>
              </w:r>
              <w:r>
                <w:rPr>
                  <w:rFonts w:ascii="Arial" w:cs="Arial" w:eastAsia="Arial" w:hAnsi="Arial"/>
                  <w:sz w:val="14"/>
                  <w:szCs w:val="14"/>
                  <w:color w:val="0000FF"/>
                  <w:w w:val="92"/>
                </w:rPr>
                <w:t>14(a) of the Exchange Act, as adopted pursuant to section 302 of the Sarbanes</w:t>
              </w:r>
              <w:r>
                <w:rPr>
                  <w:rFonts w:ascii="MS PGothic" w:cs="MS PGothic" w:eastAsia="MS PGothic" w:hAnsi="MS PGothic"/>
                  <w:sz w:val="14"/>
                  <w:szCs w:val="14"/>
                  <w:color w:val="0000FF"/>
                  <w:w w:val="92"/>
                </w:rPr>
                <w:t>‑</w:t>
              </w:r>
              <w:r>
                <w:rPr>
                  <w:rFonts w:ascii="Arial" w:cs="Arial" w:eastAsia="Arial" w:hAnsi="Arial"/>
                  <w:sz w:val="14"/>
                  <w:szCs w:val="14"/>
                  <w:color w:val="0000FF"/>
                  <w:w w:val="92"/>
                </w:rPr>
                <w:t>Oxley Act of 2002</w:t>
              </w:r>
            </w:hyperlink>
          </w:p>
        </w:tc>
        <w:tc>
          <w:tcPr>
            <w:tcW w:w="940" w:type="dxa"/>
            <w:vAlign w:val="bottom"/>
            <w:gridSpan w:val="13"/>
          </w:tcPr>
          <w:p>
            <w:pPr>
              <w:spacing w:after="0"/>
              <w:rPr>
                <w:sz w:val="14"/>
                <w:szCs w:val="14"/>
                <w:color w:val="auto"/>
              </w:rPr>
            </w:pPr>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gridSpan w:val="25"/>
          </w:tcPr>
          <w:p>
            <w:pPr>
              <w:spacing w:after="0" w:line="161" w:lineRule="exact"/>
              <w:rPr>
                <w:rFonts w:ascii="Arial" w:cs="Arial" w:eastAsia="Arial" w:hAnsi="Arial"/>
                <w:sz w:val="14"/>
                <w:szCs w:val="14"/>
                <w:color w:val="0000FF"/>
                <w:w w:val="96"/>
              </w:rPr>
            </w:pPr>
            <w:hyperlink w:anchor="page137">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8"/>
              </w:rPr>
            </w:pPr>
            <w:hyperlink w:anchor="page137">
              <w:r>
                <w:rPr>
                  <w:rFonts w:ascii="Arial" w:cs="Arial" w:eastAsia="Arial" w:hAnsi="Arial"/>
                  <w:sz w:val="13"/>
                  <w:szCs w:val="13"/>
                  <w:color w:val="0000FF"/>
                  <w:w w:val="98"/>
                </w:rPr>
                <w:t>Sarbanes</w:t>
              </w:r>
              <w:r>
                <w:rPr>
                  <w:rFonts w:ascii="MS PGothic" w:cs="MS PGothic" w:eastAsia="MS PGothic" w:hAnsi="MS PGothic"/>
                  <w:sz w:val="13"/>
                  <w:szCs w:val="13"/>
                  <w:color w:val="0000FF"/>
                  <w:w w:val="98"/>
                </w:rPr>
                <w:t>‑</w:t>
              </w:r>
              <w:r>
                <w:rPr>
                  <w:rFonts w:ascii="Arial" w:cs="Arial" w:eastAsia="Arial" w:hAnsi="Arial"/>
                  <w:sz w:val="13"/>
                  <w:szCs w:val="13"/>
                  <w:color w:val="0000FF"/>
                  <w:w w:val="98"/>
                </w:rPr>
                <w:t>Oxley Act of 2002</w:t>
              </w:r>
            </w:hyperlink>
          </w:p>
        </w:tc>
        <w:tc>
          <w:tcPr>
            <w:tcW w:w="836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c>
          <w:tcPr>
            <w:tcW w:w="140" w:type="dxa"/>
            <w:vAlign w:val="bottom"/>
            <w:gridSpan w:val="7"/>
          </w:tcPr>
          <w:p>
            <w:pPr>
              <w:spacing w:after="0"/>
              <w:rPr>
                <w:sz w:val="9"/>
                <w:szCs w:val="9"/>
                <w:color w:val="auto"/>
              </w:rPr>
            </w:pPr>
          </w:p>
        </w:tc>
      </w:tr>
      <w:tr>
        <w:trPr>
          <w:trHeight w:val="166"/>
        </w:trPr>
        <w:tc>
          <w:tcPr>
            <w:tcW w:w="110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gridSpan w:val="25"/>
          </w:tcPr>
          <w:p>
            <w:pPr>
              <w:spacing w:after="0" w:line="161" w:lineRule="exact"/>
              <w:rPr>
                <w:rFonts w:ascii="Arial" w:cs="Arial" w:eastAsia="Arial" w:hAnsi="Arial"/>
                <w:sz w:val="14"/>
                <w:szCs w:val="14"/>
                <w:color w:val="0000FF"/>
                <w:w w:val="97"/>
              </w:rPr>
            </w:pPr>
            <w:hyperlink w:anchor="page138">
              <w:r>
                <w:rPr>
                  <w:rFonts w:ascii="Arial" w:cs="Arial" w:eastAsia="Arial" w:hAnsi="Arial"/>
                  <w:sz w:val="14"/>
                  <w:szCs w:val="14"/>
                  <w:color w:val="0000FF"/>
                  <w:w w:val="97"/>
                </w:rPr>
                <w:t>Certification of Principal Financial Officer pursuant to Rule 13a</w:t>
              </w:r>
              <w:r>
                <w:rPr>
                  <w:rFonts w:ascii="MS PGothic" w:cs="MS PGothic" w:eastAsia="MS PGothic" w:hAnsi="MS PGothic"/>
                  <w:sz w:val="14"/>
                  <w:szCs w:val="14"/>
                  <w:color w:val="0000FF"/>
                  <w:w w:val="97"/>
                </w:rPr>
                <w:t>‑</w:t>
              </w:r>
              <w:r>
                <w:rPr>
                  <w:rFonts w:ascii="Arial" w:cs="Arial" w:eastAsia="Arial" w:hAnsi="Arial"/>
                  <w:sz w:val="14"/>
                  <w:szCs w:val="14"/>
                  <w:color w:val="0000FF"/>
                  <w:w w:val="97"/>
                </w:rPr>
                <w:t>14(b) of the Exchange Act and section 18 U.S.C. Section 1350, as adopted pursuant to section 906 of the</w:t>
              </w:r>
            </w:hyperlink>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8"/>
              </w:rPr>
            </w:pPr>
            <w:hyperlink w:anchor="page138">
              <w:r>
                <w:rPr>
                  <w:rFonts w:ascii="Arial" w:cs="Arial" w:eastAsia="Arial" w:hAnsi="Arial"/>
                  <w:sz w:val="13"/>
                  <w:szCs w:val="13"/>
                  <w:color w:val="0000FF"/>
                  <w:w w:val="98"/>
                </w:rPr>
                <w:t>Sarbanes</w:t>
              </w:r>
              <w:r>
                <w:rPr>
                  <w:rFonts w:ascii="MS PGothic" w:cs="MS PGothic" w:eastAsia="MS PGothic" w:hAnsi="MS PGothic"/>
                  <w:sz w:val="13"/>
                  <w:szCs w:val="13"/>
                  <w:color w:val="0000FF"/>
                  <w:w w:val="98"/>
                </w:rPr>
                <w:t>‑</w:t>
              </w:r>
              <w:r>
                <w:rPr>
                  <w:rFonts w:ascii="Arial" w:cs="Arial" w:eastAsia="Arial" w:hAnsi="Arial"/>
                  <w:sz w:val="13"/>
                  <w:szCs w:val="13"/>
                  <w:color w:val="0000FF"/>
                  <w:w w:val="98"/>
                </w:rPr>
                <w:t>Oxley Act of 2002</w:t>
              </w:r>
            </w:hyperlink>
          </w:p>
        </w:tc>
        <w:tc>
          <w:tcPr>
            <w:tcW w:w="8400" w:type="dxa"/>
            <w:vAlign w:val="bottom"/>
            <w:tcBorders>
              <w:top w:val="single" w:sz="8" w:color="0000FF"/>
            </w:tcBorders>
            <w:gridSpan w:val="15"/>
          </w:tcPr>
          <w:p>
            <w:pPr>
              <w:spacing w:after="0"/>
              <w:rPr>
                <w:sz w:val="9"/>
                <w:szCs w:val="9"/>
                <w:color w:val="auto"/>
              </w:rPr>
            </w:pPr>
          </w:p>
        </w:tc>
        <w:tc>
          <w:tcPr>
            <w:tcW w:w="140" w:type="dxa"/>
            <w:vAlign w:val="bottom"/>
            <w:gridSpan w:val="7"/>
          </w:tcPr>
          <w:p>
            <w:pPr>
              <w:spacing w:after="0"/>
              <w:rPr>
                <w:sz w:val="9"/>
                <w:szCs w:val="9"/>
                <w:color w:val="auto"/>
              </w:rPr>
            </w:pPr>
          </w:p>
        </w:tc>
      </w:tr>
      <w:tr>
        <w:trPr>
          <w:trHeight w:val="195"/>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Arial" w:cs="Arial" w:eastAsia="Arial" w:hAnsi="Arial"/>
                <w:sz w:val="14"/>
                <w:szCs w:val="14"/>
                <w:color w:val="auto"/>
              </w:rPr>
              <w:t>XBRL Instance Document</w:t>
            </w:r>
          </w:p>
        </w:tc>
      </w:tr>
      <w:tr>
        <w:trPr>
          <w:trHeight w:val="18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Arial" w:cs="Arial" w:eastAsia="Arial" w:hAnsi="Arial"/>
                <w:sz w:val="14"/>
                <w:szCs w:val="14"/>
                <w:color w:val="auto"/>
              </w:rPr>
              <w:t>XBRL Schema Document</w:t>
            </w:r>
          </w:p>
        </w:tc>
      </w:tr>
      <w:tr>
        <w:trPr>
          <w:trHeight w:val="18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Arial" w:cs="Arial" w:eastAsia="Arial" w:hAnsi="Arial"/>
                <w:sz w:val="14"/>
                <w:szCs w:val="14"/>
                <w:color w:val="auto"/>
              </w:rPr>
              <w:t>XBRL Calculation Linkbase Document</w:t>
            </w:r>
          </w:p>
        </w:tc>
      </w:tr>
      <w:tr>
        <w:trPr>
          <w:trHeight w:val="18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Arial" w:cs="Arial" w:eastAsia="Arial" w:hAnsi="Arial"/>
                <w:sz w:val="14"/>
                <w:szCs w:val="14"/>
                <w:color w:val="auto"/>
              </w:rPr>
              <w:t>XBRL Labels Linkbase Document</w:t>
            </w:r>
          </w:p>
        </w:tc>
      </w:tr>
      <w:tr>
        <w:trPr>
          <w:trHeight w:val="186"/>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6"/>
                <w:szCs w:val="16"/>
                <w:color w:val="auto"/>
              </w:rPr>
            </w:pPr>
          </w:p>
        </w:tc>
        <w:tc>
          <w:tcPr>
            <w:tcW w:w="10160" w:type="dxa"/>
            <w:vAlign w:val="bottom"/>
            <w:gridSpan w:val="25"/>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Compensation Arrangement.</w:t>
      </w:r>
    </w:p>
    <w:p>
      <w:pPr>
        <w:spacing w:after="0" w:line="82" w:lineRule="exact"/>
        <w:rPr>
          <w:sz w:val="20"/>
          <w:szCs w:val="20"/>
          <w:color w:val="auto"/>
        </w:rPr>
      </w:pPr>
    </w:p>
    <w:p>
      <w:pPr>
        <w:ind w:left="240" w:hanging="234"/>
        <w:spacing w:after="0"/>
        <w:tabs>
          <w:tab w:leader="none" w:pos="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provisions of this exhibit.</w:t>
      </w:r>
    </w:p>
    <w:p>
      <w:pPr>
        <w:spacing w:after="0" w:line="42" w:lineRule="exact"/>
        <w:rPr>
          <w:sz w:val="20"/>
          <w:szCs w:val="20"/>
          <w:color w:val="auto"/>
        </w:rPr>
      </w:pPr>
    </w:p>
    <w:p>
      <w:pPr>
        <w:jc w:val="both"/>
        <w:ind w:left="320" w:hanging="314"/>
        <w:spacing w:after="0" w:line="255" w:lineRule="auto"/>
        <w:tabs>
          <w:tab w:leader="none" w:pos="374" w:val="left"/>
        </w:tabs>
        <w:numPr>
          <w:ilvl w:val="0"/>
          <w:numId w:val="46"/>
        </w:numPr>
        <w:rPr>
          <w:rFonts w:ascii="Arial" w:cs="Arial" w:eastAsia="Arial" w:hAnsi="Arial"/>
          <w:sz w:val="16"/>
          <w:szCs w:val="16"/>
          <w:i w:val="1"/>
          <w:iCs w:val="1"/>
          <w:color w:val="auto"/>
        </w:rPr>
      </w:pPr>
      <w:r>
        <w:rPr>
          <w:rFonts w:ascii="Arial" w:cs="Arial" w:eastAsia="Arial" w:hAnsi="Arial"/>
          <w:sz w:val="16"/>
          <w:szCs w:val="16"/>
          <w:color w:val="auto"/>
        </w:rPr>
        <w:t>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48" w:lineRule="exact"/>
        <w:rPr>
          <w:sz w:val="20"/>
          <w:szCs w:val="20"/>
          <w:color w:val="auto"/>
        </w:rPr>
      </w:pPr>
    </w:p>
    <w:p>
      <w:pPr>
        <w:ind w:left="320" w:right="9700" w:firstLine="5"/>
        <w:spacing w:after="0" w:line="673" w:lineRule="auto"/>
        <w:tabs>
          <w:tab w:leader="none" w:pos="633"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Exhibits. See (a)(3) above.</w:t>
      </w:r>
    </w:p>
    <w:p>
      <w:pPr>
        <w:spacing w:after="0" w:line="1" w:lineRule="exact"/>
        <w:rPr>
          <w:rFonts w:ascii="Arial" w:cs="Arial" w:eastAsia="Arial" w:hAnsi="Arial"/>
          <w:sz w:val="14"/>
          <w:szCs w:val="14"/>
          <w:color w:val="auto"/>
        </w:rPr>
      </w:pPr>
    </w:p>
    <w:p>
      <w:pPr>
        <w:ind w:left="640" w:hanging="315"/>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40" w:type="dxa"/>
            <w:vAlign w:val="bottom"/>
            <w:gridSpan w:val="2"/>
          </w:tcPr>
          <w:p>
            <w:pPr>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SCHEDULE II—VALUATION AND QUALIFYING ACCOUNTS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2021, 2020, 2019</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2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51"/>
              <w:spacing w:after="0" w:line="201" w:lineRule="exact"/>
              <w:rPr>
                <w:sz w:val="20"/>
                <w:szCs w:val="20"/>
                <w:color w:val="auto"/>
              </w:rPr>
            </w:pPr>
            <w:r>
              <w:rPr>
                <w:rFonts w:ascii="Arial" w:cs="Arial" w:eastAsia="Arial" w:hAnsi="Arial"/>
                <w:sz w:val="18"/>
                <w:szCs w:val="18"/>
                <w:b w:val="1"/>
                <w:bCs w:val="1"/>
                <w:color w:val="auto"/>
                <w:w w:val="88"/>
              </w:rPr>
              <w:t>Beginning</w:t>
            </w:r>
          </w:p>
        </w:tc>
        <w:tc>
          <w:tcPr>
            <w:tcW w:w="320" w:type="dxa"/>
            <w:vAlign w:val="bottom"/>
          </w:tcPr>
          <w:p>
            <w:pPr>
              <w:spacing w:after="0"/>
              <w:rPr>
                <w:sz w:val="17"/>
                <w:szCs w:val="17"/>
                <w:color w:val="auto"/>
              </w:rPr>
            </w:pPr>
          </w:p>
        </w:tc>
        <w:tc>
          <w:tcPr>
            <w:tcW w:w="114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w w:val="93"/>
              </w:rPr>
              <w:t>Additions</w:t>
            </w:r>
          </w:p>
        </w:tc>
        <w:tc>
          <w:tcPr>
            <w:tcW w:w="280" w:type="dxa"/>
            <w:vAlign w:val="bottom"/>
          </w:tcPr>
          <w:p>
            <w:pPr>
              <w:spacing w:after="0"/>
              <w:rPr>
                <w:sz w:val="17"/>
                <w:szCs w:val="17"/>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w w:val="89"/>
              </w:rPr>
              <w:t>Reductions</w:t>
            </w:r>
          </w:p>
        </w:tc>
        <w:tc>
          <w:tcPr>
            <w:tcW w:w="13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88"/>
              </w:rPr>
              <w:t>Ending Balance</w:t>
            </w: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6"/>
              </w:rPr>
              <w:t>Balance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right"/>
              <w:ind w:right="791"/>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jc w:val="right"/>
              <w:ind w:right="671"/>
              <w:spacing w:after="0"/>
              <w:rPr>
                <w:sz w:val="20"/>
                <w:szCs w:val="20"/>
                <w:color w:val="auto"/>
              </w:rPr>
            </w:pPr>
            <w:r>
              <w:rPr>
                <w:rFonts w:ascii="Arial" w:cs="Arial" w:eastAsia="Arial" w:hAnsi="Arial"/>
                <w:sz w:val="18"/>
                <w:szCs w:val="18"/>
                <w:color w:val="auto"/>
              </w:rPr>
              <w:t>2021</w:t>
            </w:r>
          </w:p>
        </w:tc>
        <w:tc>
          <w:tcPr>
            <w:tcW w:w="4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(715)</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7"/>
        </w:trPr>
        <w:tc>
          <w:tcPr>
            <w:tcW w:w="12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2020</w:t>
            </w: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1,864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(2,218)</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5"/>
        </w:trPr>
        <w:tc>
          <w:tcPr>
            <w:tcW w:w="1260" w:type="dxa"/>
            <w:vAlign w:val="bottom"/>
          </w:tcPr>
          <w:p>
            <w:pPr>
              <w:jc w:val="right"/>
              <w:ind w:right="671"/>
              <w:spacing w:after="0"/>
              <w:rPr>
                <w:sz w:val="20"/>
                <w:szCs w:val="20"/>
                <w:color w:val="auto"/>
              </w:rPr>
            </w:pPr>
            <w:r>
              <w:rPr>
                <w:rFonts w:ascii="Arial" w:cs="Arial" w:eastAsia="Arial" w:hAnsi="Arial"/>
                <w:sz w:val="18"/>
                <w:szCs w:val="18"/>
                <w:color w:val="auto"/>
              </w:rPr>
              <w:t>2019</w:t>
            </w:r>
          </w:p>
        </w:tc>
        <w:tc>
          <w:tcPr>
            <w:tcW w:w="4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4,599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6,045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(8,780)</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533"/>
        </w:trPr>
        <w:tc>
          <w:tcPr>
            <w:tcW w:w="1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88"/>
              </w:rPr>
              <w:t>Beginning</w:t>
            </w:r>
          </w:p>
        </w:tc>
        <w:tc>
          <w:tcPr>
            <w:tcW w:w="320" w:type="dxa"/>
            <w:vAlign w:val="bottom"/>
          </w:tcPr>
          <w:p>
            <w:pPr>
              <w:spacing w:after="0"/>
              <w:rPr>
                <w:sz w:val="24"/>
                <w:szCs w:val="24"/>
                <w:color w:val="auto"/>
              </w:rPr>
            </w:pPr>
          </w:p>
        </w:tc>
        <w:tc>
          <w:tcPr>
            <w:tcW w:w="114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w w:val="93"/>
              </w:rPr>
              <w:t>Additions</w:t>
            </w:r>
          </w:p>
        </w:tc>
        <w:tc>
          <w:tcPr>
            <w:tcW w:w="280" w:type="dxa"/>
            <w:vAlign w:val="bottom"/>
          </w:tcPr>
          <w:p>
            <w:pPr>
              <w:spacing w:after="0"/>
              <w:rPr>
                <w:sz w:val="24"/>
                <w:szCs w:val="24"/>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w w:val="89"/>
              </w:rPr>
              <w:t>Reductions</w:t>
            </w:r>
          </w:p>
        </w:tc>
        <w:tc>
          <w:tcPr>
            <w:tcW w:w="13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88"/>
              </w:rPr>
              <w:t>Ending Balance</w:t>
            </w: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6"/>
              </w:rPr>
              <w:t>Balance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right"/>
              <w:ind w:right="791"/>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jc w:val="right"/>
              <w:ind w:right="671"/>
              <w:spacing w:after="0"/>
              <w:rPr>
                <w:sz w:val="20"/>
                <w:szCs w:val="20"/>
                <w:color w:val="auto"/>
              </w:rPr>
            </w:pPr>
            <w:r>
              <w:rPr>
                <w:rFonts w:ascii="Arial" w:cs="Arial" w:eastAsia="Arial" w:hAnsi="Arial"/>
                <w:sz w:val="18"/>
                <w:szCs w:val="18"/>
                <w:color w:val="auto"/>
              </w:rPr>
              <w:t>2021</w:t>
            </w:r>
          </w:p>
        </w:tc>
        <w:tc>
          <w:tcPr>
            <w:tcW w:w="4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74,961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3,306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(4,826)</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73,441</w:t>
            </w:r>
          </w:p>
        </w:tc>
        <w:tc>
          <w:tcPr>
            <w:tcW w:w="0" w:type="dxa"/>
            <w:vAlign w:val="bottom"/>
          </w:tcPr>
          <w:p>
            <w:pPr>
              <w:spacing w:after="0"/>
              <w:rPr>
                <w:sz w:val="1"/>
                <w:szCs w:val="1"/>
                <w:color w:val="auto"/>
              </w:rPr>
            </w:pPr>
          </w:p>
        </w:tc>
      </w:tr>
      <w:tr>
        <w:trPr>
          <w:trHeight w:val="227"/>
        </w:trPr>
        <w:tc>
          <w:tcPr>
            <w:tcW w:w="12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2020</w:t>
            </w: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73,346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7,402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(5,787)</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74,961</w:t>
            </w:r>
          </w:p>
        </w:tc>
        <w:tc>
          <w:tcPr>
            <w:tcW w:w="0" w:type="dxa"/>
            <w:vAlign w:val="bottom"/>
          </w:tcPr>
          <w:p>
            <w:pPr>
              <w:spacing w:after="0"/>
              <w:rPr>
                <w:sz w:val="1"/>
                <w:szCs w:val="1"/>
                <w:color w:val="auto"/>
              </w:rPr>
            </w:pPr>
          </w:p>
        </w:tc>
      </w:tr>
      <w:tr>
        <w:trPr>
          <w:trHeight w:val="225"/>
        </w:trPr>
        <w:tc>
          <w:tcPr>
            <w:tcW w:w="1260" w:type="dxa"/>
            <w:vAlign w:val="bottom"/>
          </w:tcPr>
          <w:p>
            <w:pPr>
              <w:jc w:val="right"/>
              <w:ind w:right="671"/>
              <w:spacing w:after="0"/>
              <w:rPr>
                <w:sz w:val="20"/>
                <w:szCs w:val="20"/>
                <w:color w:val="auto"/>
              </w:rPr>
            </w:pPr>
            <w:r>
              <w:rPr>
                <w:rFonts w:ascii="Arial" w:cs="Arial" w:eastAsia="Arial" w:hAnsi="Arial"/>
                <w:sz w:val="18"/>
                <w:szCs w:val="18"/>
                <w:color w:val="auto"/>
              </w:rPr>
              <w:t>2019</w:t>
            </w:r>
          </w:p>
        </w:tc>
        <w:tc>
          <w:tcPr>
            <w:tcW w:w="4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81,064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3,843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(11,561)</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SYNCHRONOSS TECHNOLOGIES, INC.</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11430</wp:posOffset>
            </wp:positionV>
            <wp:extent cx="25838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Jeff Miller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Chief Executive Officer</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11430</wp:posOffset>
            </wp:positionV>
            <wp:extent cx="25838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Taylor Greenwald</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Chief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980" w:type="dxa"/>
            <w:vAlign w:val="bottom"/>
          </w:tcPr>
          <w:p>
            <w:pPr>
              <w:ind w:left="1080"/>
              <w:spacing w:after="0"/>
              <w:rPr>
                <w:sz w:val="20"/>
                <w:szCs w:val="20"/>
                <w:color w:val="auto"/>
              </w:rPr>
            </w:pPr>
            <w:r>
              <w:rPr>
                <w:rFonts w:ascii="Arial" w:cs="Arial" w:eastAsia="Arial" w:hAnsi="Arial"/>
                <w:sz w:val="18"/>
                <w:szCs w:val="18"/>
                <w:b w:val="1"/>
                <w:bCs w:val="1"/>
                <w:color w:val="auto"/>
              </w:rPr>
              <w:t>Title</w:t>
            </w:r>
          </w:p>
        </w:tc>
        <w:tc>
          <w:tcPr>
            <w:tcW w:w="1960" w:type="dxa"/>
            <w:vAlign w:val="bottom"/>
          </w:tcPr>
          <w:p>
            <w:pPr>
              <w:ind w:left="840"/>
              <w:spacing w:after="0"/>
              <w:rPr>
                <w:sz w:val="20"/>
                <w:szCs w:val="20"/>
                <w:color w:val="auto"/>
              </w:rPr>
            </w:pPr>
            <w:r>
              <w:rPr>
                <w:rFonts w:ascii="Arial" w:cs="Arial" w:eastAsia="Arial" w:hAnsi="Arial"/>
                <w:sz w:val="18"/>
                <w:szCs w:val="18"/>
                <w:b w:val="1"/>
                <w:bCs w:val="1"/>
                <w:color w:val="auto"/>
              </w:rPr>
              <w:t>Date</w:t>
            </w:r>
          </w:p>
        </w:tc>
      </w:tr>
      <w:tr>
        <w:trPr>
          <w:trHeight w:val="492"/>
        </w:trPr>
        <w:tc>
          <w:tcPr>
            <w:tcW w:w="2600" w:type="dxa"/>
            <w:vAlign w:val="bottom"/>
          </w:tcPr>
          <w:p>
            <w:pPr>
              <w:spacing w:after="0"/>
              <w:rPr>
                <w:sz w:val="20"/>
                <w:szCs w:val="20"/>
                <w:color w:val="auto"/>
              </w:rPr>
            </w:pPr>
            <w:r>
              <w:rPr>
                <w:rFonts w:ascii="Arial" w:cs="Arial" w:eastAsia="Arial" w:hAnsi="Arial"/>
                <w:sz w:val="18"/>
                <w:szCs w:val="18"/>
                <w:color w:val="auto"/>
              </w:rPr>
              <w:t>/s/ Jeff Miller</w:t>
            </w:r>
          </w:p>
        </w:tc>
        <w:tc>
          <w:tcPr>
            <w:tcW w:w="398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2022</w:t>
            </w:r>
          </w:p>
        </w:tc>
      </w:tr>
      <w:tr>
        <w:trPr>
          <w:trHeight w:val="226"/>
        </w:trPr>
        <w:tc>
          <w:tcPr>
            <w:tcW w:w="2600" w:type="dxa"/>
            <w:vAlign w:val="bottom"/>
          </w:tcPr>
          <w:p>
            <w:pPr>
              <w:spacing w:after="0"/>
              <w:rPr>
                <w:sz w:val="20"/>
                <w:szCs w:val="20"/>
                <w:color w:val="auto"/>
              </w:rPr>
            </w:pPr>
            <w:r>
              <w:rPr>
                <w:rFonts w:ascii="Arial" w:cs="Arial" w:eastAsia="Arial" w:hAnsi="Arial"/>
                <w:sz w:val="18"/>
                <w:szCs w:val="18"/>
                <w:color w:val="auto"/>
              </w:rPr>
              <w:t>Jeff Miller</w:t>
            </w:r>
          </w:p>
        </w:tc>
        <w:tc>
          <w:tcPr>
            <w:tcW w:w="3980" w:type="dxa"/>
            <w:vAlign w:val="bottom"/>
          </w:tcPr>
          <w:p>
            <w:pPr>
              <w:ind w:left="1080"/>
              <w:spacing w:after="0"/>
              <w:rPr>
                <w:sz w:val="20"/>
                <w:szCs w:val="20"/>
                <w:color w:val="auto"/>
              </w:rPr>
            </w:pPr>
            <w:r>
              <w:rPr>
                <w:rFonts w:ascii="Arial" w:cs="Arial" w:eastAsia="Arial" w:hAnsi="Arial"/>
                <w:sz w:val="18"/>
                <w:szCs w:val="18"/>
                <w:color w:val="auto"/>
              </w:rPr>
              <w:t>(Principal Executive Officer)</w:t>
            </w:r>
          </w:p>
        </w:tc>
        <w:tc>
          <w:tcPr>
            <w:tcW w:w="1960" w:type="dxa"/>
            <w:vAlign w:val="bottom"/>
          </w:tcPr>
          <w:p>
            <w:pPr>
              <w:spacing w:after="0"/>
              <w:rPr>
                <w:sz w:val="19"/>
                <w:szCs w:val="19"/>
                <w:color w:val="auto"/>
              </w:rPr>
            </w:pPr>
          </w:p>
        </w:tc>
      </w:tr>
      <w:tr>
        <w:trPr>
          <w:trHeight w:val="492"/>
        </w:trPr>
        <w:tc>
          <w:tcPr>
            <w:tcW w:w="2600" w:type="dxa"/>
            <w:vAlign w:val="bottom"/>
          </w:tcPr>
          <w:p>
            <w:pPr>
              <w:spacing w:after="0"/>
              <w:rPr>
                <w:sz w:val="20"/>
                <w:szCs w:val="20"/>
                <w:color w:val="auto"/>
              </w:rPr>
            </w:pPr>
            <w:r>
              <w:rPr>
                <w:rFonts w:ascii="Arial" w:cs="Arial" w:eastAsia="Arial" w:hAnsi="Arial"/>
                <w:sz w:val="18"/>
                <w:szCs w:val="18"/>
                <w:color w:val="auto"/>
              </w:rPr>
              <w:t>/s/ Taylor Greenwald</w:t>
            </w:r>
          </w:p>
        </w:tc>
        <w:tc>
          <w:tcPr>
            <w:tcW w:w="3980" w:type="dxa"/>
            <w:vAlign w:val="bottom"/>
          </w:tcPr>
          <w:p>
            <w:pPr>
              <w:ind w:left="1080"/>
              <w:spacing w:after="0"/>
              <w:rPr>
                <w:sz w:val="20"/>
                <w:szCs w:val="20"/>
                <w:color w:val="auto"/>
              </w:rPr>
            </w:pPr>
            <w:r>
              <w:rPr>
                <w:rFonts w:ascii="Arial" w:cs="Arial" w:eastAsia="Arial" w:hAnsi="Arial"/>
                <w:sz w:val="18"/>
                <w:szCs w:val="18"/>
                <w:color w:val="auto"/>
              </w:rPr>
              <w:t>Chief Financial Officer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2022</w:t>
            </w:r>
          </w:p>
        </w:tc>
      </w:tr>
      <w:tr>
        <w:trPr>
          <w:trHeight w:val="226"/>
        </w:trPr>
        <w:tc>
          <w:tcPr>
            <w:tcW w:w="2600" w:type="dxa"/>
            <w:vAlign w:val="bottom"/>
          </w:tcPr>
          <w:p>
            <w:pPr>
              <w:spacing w:after="0"/>
              <w:rPr>
                <w:sz w:val="20"/>
                <w:szCs w:val="20"/>
                <w:color w:val="auto"/>
              </w:rPr>
            </w:pPr>
            <w:r>
              <w:rPr>
                <w:rFonts w:ascii="Arial" w:cs="Arial" w:eastAsia="Arial" w:hAnsi="Arial"/>
                <w:sz w:val="18"/>
                <w:szCs w:val="18"/>
                <w:color w:val="auto"/>
              </w:rPr>
              <w:t>Taylor Greenwald</w:t>
            </w:r>
          </w:p>
        </w:tc>
        <w:tc>
          <w:tcPr>
            <w:tcW w:w="3980" w:type="dxa"/>
            <w:vAlign w:val="bottom"/>
          </w:tcPr>
          <w:p>
            <w:pPr>
              <w:ind w:left="1080"/>
              <w:spacing w:after="0"/>
              <w:rPr>
                <w:sz w:val="20"/>
                <w:szCs w:val="20"/>
                <w:color w:val="auto"/>
              </w:rPr>
            </w:pPr>
            <w:r>
              <w:rPr>
                <w:rFonts w:ascii="Arial" w:cs="Arial" w:eastAsia="Arial" w:hAnsi="Arial"/>
                <w:sz w:val="18"/>
                <w:szCs w:val="18"/>
                <w:color w:val="auto"/>
              </w:rPr>
              <w:t>(Principal Financial Officer)</w:t>
            </w:r>
          </w:p>
        </w:tc>
        <w:tc>
          <w:tcPr>
            <w:tcW w:w="1960" w:type="dxa"/>
            <w:vAlign w:val="bottom"/>
          </w:tcPr>
          <w:p>
            <w:pPr>
              <w:spacing w:after="0"/>
              <w:rPr>
                <w:sz w:val="19"/>
                <w:szCs w:val="19"/>
                <w:color w:val="auto"/>
              </w:rPr>
            </w:pPr>
          </w:p>
        </w:tc>
      </w:tr>
      <w:tr>
        <w:trPr>
          <w:trHeight w:val="492"/>
        </w:trPr>
        <w:tc>
          <w:tcPr>
            <w:tcW w:w="2600" w:type="dxa"/>
            <w:vAlign w:val="bottom"/>
          </w:tcPr>
          <w:p>
            <w:pPr>
              <w:spacing w:after="0"/>
              <w:rPr>
                <w:sz w:val="20"/>
                <w:szCs w:val="20"/>
                <w:color w:val="auto"/>
              </w:rPr>
            </w:pPr>
            <w:r>
              <w:rPr>
                <w:rFonts w:ascii="Arial" w:cs="Arial" w:eastAsia="Arial" w:hAnsi="Arial"/>
                <w:sz w:val="18"/>
                <w:szCs w:val="18"/>
                <w:color w:val="auto"/>
              </w:rPr>
              <w:t>/s/ Stephen Waldis</w:t>
            </w:r>
          </w:p>
        </w:tc>
        <w:tc>
          <w:tcPr>
            <w:tcW w:w="398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2022</w:t>
            </w:r>
          </w:p>
        </w:tc>
      </w:tr>
      <w:tr>
        <w:trPr>
          <w:trHeight w:val="226"/>
        </w:trPr>
        <w:tc>
          <w:tcPr>
            <w:tcW w:w="2600" w:type="dxa"/>
            <w:vAlign w:val="bottom"/>
          </w:tcPr>
          <w:p>
            <w:pPr>
              <w:spacing w:after="0"/>
              <w:rPr>
                <w:sz w:val="20"/>
                <w:szCs w:val="20"/>
                <w:color w:val="auto"/>
              </w:rPr>
            </w:pPr>
            <w:r>
              <w:rPr>
                <w:rFonts w:ascii="Arial" w:cs="Arial" w:eastAsia="Arial" w:hAnsi="Arial"/>
                <w:sz w:val="18"/>
                <w:szCs w:val="18"/>
                <w:color w:val="auto"/>
              </w:rPr>
              <w:t>Stephen Waldis</w:t>
            </w:r>
          </w:p>
        </w:tc>
        <w:tc>
          <w:tcPr>
            <w:tcW w:w="3980" w:type="dxa"/>
            <w:vAlign w:val="bottom"/>
          </w:tcPr>
          <w:p>
            <w:pPr>
              <w:ind w:left="1080"/>
              <w:spacing w:after="0"/>
              <w:rPr>
                <w:sz w:val="20"/>
                <w:szCs w:val="20"/>
                <w:color w:val="auto"/>
              </w:rPr>
            </w:pPr>
            <w:r>
              <w:rPr>
                <w:rFonts w:ascii="Arial" w:cs="Arial" w:eastAsia="Arial" w:hAnsi="Arial"/>
                <w:sz w:val="18"/>
                <w:szCs w:val="18"/>
                <w:color w:val="auto"/>
              </w:rPr>
              <w:t>Executive Chairman</w:t>
            </w:r>
          </w:p>
        </w:tc>
        <w:tc>
          <w:tcPr>
            <w:tcW w:w="1960" w:type="dxa"/>
            <w:vAlign w:val="bottom"/>
          </w:tcPr>
          <w:p>
            <w:pPr>
              <w:spacing w:after="0"/>
              <w:rPr>
                <w:sz w:val="19"/>
                <w:szCs w:val="19"/>
                <w:color w:val="auto"/>
              </w:rPr>
            </w:pPr>
          </w:p>
        </w:tc>
      </w:tr>
      <w:tr>
        <w:trPr>
          <w:trHeight w:val="492"/>
        </w:trPr>
        <w:tc>
          <w:tcPr>
            <w:tcW w:w="2600" w:type="dxa"/>
            <w:vAlign w:val="bottom"/>
          </w:tcPr>
          <w:p>
            <w:pPr>
              <w:spacing w:after="0"/>
              <w:rPr>
                <w:sz w:val="20"/>
                <w:szCs w:val="20"/>
                <w:color w:val="auto"/>
              </w:rPr>
            </w:pPr>
            <w:r>
              <w:rPr>
                <w:rFonts w:ascii="Arial" w:cs="Arial" w:eastAsia="Arial" w:hAnsi="Arial"/>
                <w:sz w:val="18"/>
                <w:szCs w:val="18"/>
                <w:color w:val="auto"/>
              </w:rPr>
              <w:t>/s/ Laurie L. Harris</w:t>
            </w:r>
          </w:p>
        </w:tc>
        <w:tc>
          <w:tcPr>
            <w:tcW w:w="398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2022</w:t>
            </w:r>
          </w:p>
        </w:tc>
      </w:tr>
      <w:tr>
        <w:trPr>
          <w:trHeight w:val="226"/>
        </w:trPr>
        <w:tc>
          <w:tcPr>
            <w:tcW w:w="2600" w:type="dxa"/>
            <w:vAlign w:val="bottom"/>
          </w:tcPr>
          <w:p>
            <w:pPr>
              <w:spacing w:after="0"/>
              <w:rPr>
                <w:sz w:val="20"/>
                <w:szCs w:val="20"/>
                <w:color w:val="auto"/>
              </w:rPr>
            </w:pPr>
            <w:r>
              <w:rPr>
                <w:rFonts w:ascii="Arial" w:cs="Arial" w:eastAsia="Arial" w:hAnsi="Arial"/>
                <w:sz w:val="18"/>
                <w:szCs w:val="18"/>
                <w:color w:val="auto"/>
              </w:rPr>
              <w:t>Laurie L. Harris</w:t>
            </w: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2"/>
        </w:trPr>
        <w:tc>
          <w:tcPr>
            <w:tcW w:w="2600" w:type="dxa"/>
            <w:vAlign w:val="bottom"/>
          </w:tcPr>
          <w:p>
            <w:pPr>
              <w:spacing w:after="0"/>
              <w:rPr>
                <w:sz w:val="20"/>
                <w:szCs w:val="20"/>
                <w:color w:val="auto"/>
              </w:rPr>
            </w:pPr>
            <w:r>
              <w:rPr>
                <w:rFonts w:ascii="Arial" w:cs="Arial" w:eastAsia="Arial" w:hAnsi="Arial"/>
                <w:sz w:val="18"/>
                <w:szCs w:val="18"/>
                <w:color w:val="auto"/>
              </w:rPr>
              <w:t>/s/ Kristin S. Rinne</w:t>
            </w:r>
          </w:p>
        </w:tc>
        <w:tc>
          <w:tcPr>
            <w:tcW w:w="398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2022</w:t>
            </w:r>
          </w:p>
        </w:tc>
      </w:tr>
      <w:tr>
        <w:trPr>
          <w:trHeight w:val="226"/>
        </w:trPr>
        <w:tc>
          <w:tcPr>
            <w:tcW w:w="2600" w:type="dxa"/>
            <w:vAlign w:val="bottom"/>
          </w:tcPr>
          <w:p>
            <w:pPr>
              <w:spacing w:after="0"/>
              <w:rPr>
                <w:sz w:val="20"/>
                <w:szCs w:val="20"/>
                <w:color w:val="auto"/>
              </w:rPr>
            </w:pPr>
            <w:r>
              <w:rPr>
                <w:rFonts w:ascii="Arial" w:cs="Arial" w:eastAsia="Arial" w:hAnsi="Arial"/>
                <w:sz w:val="18"/>
                <w:szCs w:val="18"/>
                <w:color w:val="auto"/>
              </w:rPr>
              <w:t>Kristin S. Rinne</w:t>
            </w: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2"/>
        </w:trPr>
        <w:tc>
          <w:tcPr>
            <w:tcW w:w="2600" w:type="dxa"/>
            <w:vAlign w:val="bottom"/>
          </w:tcPr>
          <w:p>
            <w:pPr>
              <w:spacing w:after="0"/>
              <w:rPr>
                <w:sz w:val="20"/>
                <w:szCs w:val="20"/>
                <w:color w:val="auto"/>
              </w:rPr>
            </w:pPr>
            <w:r>
              <w:rPr>
                <w:rFonts w:ascii="Arial" w:cs="Arial" w:eastAsia="Arial" w:hAnsi="Arial"/>
                <w:sz w:val="18"/>
                <w:szCs w:val="18"/>
                <w:color w:val="auto"/>
              </w:rPr>
              <w:t>/s/ Mohan Gyani</w:t>
            </w:r>
          </w:p>
        </w:tc>
        <w:tc>
          <w:tcPr>
            <w:tcW w:w="398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2022</w:t>
            </w:r>
          </w:p>
        </w:tc>
      </w:tr>
      <w:tr>
        <w:trPr>
          <w:trHeight w:val="226"/>
        </w:trPr>
        <w:tc>
          <w:tcPr>
            <w:tcW w:w="2600" w:type="dxa"/>
            <w:vAlign w:val="bottom"/>
          </w:tcPr>
          <w:p>
            <w:pPr>
              <w:spacing w:after="0"/>
              <w:rPr>
                <w:sz w:val="20"/>
                <w:szCs w:val="20"/>
                <w:color w:val="auto"/>
              </w:rPr>
            </w:pPr>
            <w:r>
              <w:rPr>
                <w:rFonts w:ascii="Arial" w:cs="Arial" w:eastAsia="Arial" w:hAnsi="Arial"/>
                <w:sz w:val="18"/>
                <w:szCs w:val="18"/>
                <w:color w:val="auto"/>
              </w:rPr>
              <w:t>Mohan Gyani</w:t>
            </w: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2"/>
        </w:trPr>
        <w:tc>
          <w:tcPr>
            <w:tcW w:w="2600" w:type="dxa"/>
            <w:vAlign w:val="bottom"/>
          </w:tcPr>
          <w:p>
            <w:pPr>
              <w:spacing w:after="0"/>
              <w:rPr>
                <w:sz w:val="20"/>
                <w:szCs w:val="20"/>
                <w:color w:val="auto"/>
              </w:rPr>
            </w:pPr>
            <w:r>
              <w:rPr>
                <w:rFonts w:ascii="Arial" w:cs="Arial" w:eastAsia="Arial" w:hAnsi="Arial"/>
                <w:sz w:val="18"/>
                <w:szCs w:val="18"/>
                <w:color w:val="auto"/>
              </w:rPr>
              <w:t>/s/ Martin Bernstein</w:t>
            </w:r>
          </w:p>
        </w:tc>
        <w:tc>
          <w:tcPr>
            <w:tcW w:w="398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1960" w:type="dxa"/>
            <w:vAlign w:val="bottom"/>
          </w:tcPr>
          <w:p>
            <w:pPr>
              <w:ind w:left="840"/>
              <w:spacing w:after="0"/>
              <w:rPr>
                <w:sz w:val="20"/>
                <w:szCs w:val="20"/>
                <w:color w:val="auto"/>
              </w:rPr>
            </w:pPr>
            <w:r>
              <w:rPr>
                <w:rFonts w:ascii="Arial" w:cs="Arial" w:eastAsia="Arial" w:hAnsi="Arial"/>
                <w:sz w:val="18"/>
                <w:szCs w:val="18"/>
                <w:color w:val="auto"/>
                <w:w w:val="87"/>
              </w:rPr>
              <w:t>March 15, 2022</w:t>
            </w:r>
          </w:p>
        </w:tc>
      </w:tr>
      <w:tr>
        <w:trPr>
          <w:trHeight w:val="226"/>
        </w:trPr>
        <w:tc>
          <w:tcPr>
            <w:tcW w:w="2600" w:type="dxa"/>
            <w:vAlign w:val="bottom"/>
          </w:tcPr>
          <w:p>
            <w:pPr>
              <w:spacing w:after="0"/>
              <w:rPr>
                <w:sz w:val="20"/>
                <w:szCs w:val="20"/>
                <w:color w:val="auto"/>
              </w:rPr>
            </w:pPr>
            <w:r>
              <w:rPr>
                <w:rFonts w:ascii="Arial" w:cs="Arial" w:eastAsia="Arial" w:hAnsi="Arial"/>
                <w:sz w:val="18"/>
                <w:szCs w:val="18"/>
                <w:color w:val="auto"/>
              </w:rPr>
              <w:t>Martin Bernstein</w:t>
            </w: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851"/>
        </w:trPr>
        <w:tc>
          <w:tcPr>
            <w:tcW w:w="2600" w:type="dxa"/>
            <w:vAlign w:val="bottom"/>
          </w:tcPr>
          <w:p>
            <w:pPr>
              <w:spacing w:after="0"/>
              <w:rPr>
                <w:sz w:val="24"/>
                <w:szCs w:val="24"/>
                <w:color w:val="auto"/>
              </w:rPr>
            </w:pPr>
          </w:p>
        </w:tc>
        <w:tc>
          <w:tcPr>
            <w:tcW w:w="3980" w:type="dxa"/>
            <w:vAlign w:val="bottom"/>
          </w:tcPr>
          <w:p>
            <w:pPr>
              <w:ind w:left="2240"/>
              <w:spacing w:after="0"/>
              <w:rPr>
                <w:sz w:val="20"/>
                <w:szCs w:val="20"/>
                <w:color w:val="auto"/>
              </w:rPr>
            </w:pPr>
            <w:r>
              <w:rPr>
                <w:rFonts w:ascii="Arial" w:cs="Arial" w:eastAsia="Arial" w:hAnsi="Arial"/>
                <w:sz w:val="18"/>
                <w:szCs w:val="18"/>
                <w:color w:val="auto"/>
              </w:rPr>
              <w:t>117</w:t>
            </w: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117" w:name="page118"/>
    <w:bookmarkEnd w:id="117"/>
    <w:p>
      <w:pPr>
        <w:ind w:left="10480"/>
        <w:spacing w:after="0"/>
        <w:rPr>
          <w:sz w:val="20"/>
          <w:szCs w:val="20"/>
          <w:color w:val="auto"/>
        </w:rPr>
      </w:pPr>
      <w:r>
        <w:rPr>
          <w:rFonts w:ascii="Arial" w:cs="Arial" w:eastAsia="Arial" w:hAnsi="Arial"/>
          <w:sz w:val="16"/>
          <w:szCs w:val="16"/>
          <w:b w:val="1"/>
          <w:bCs w:val="1"/>
          <w:color w:val="auto"/>
        </w:rPr>
        <w:t>Exhibit 4.6</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 REGISTERED UNDER SECTION 12 OF THE SECURITIES EXCHANGE ACT OF 1934</w:t>
      </w:r>
    </w:p>
    <w:p>
      <w:pPr>
        <w:spacing w:after="0" w:line="251" w:lineRule="exact"/>
        <w:rPr>
          <w:sz w:val="20"/>
          <w:szCs w:val="20"/>
          <w:color w:val="auto"/>
        </w:rPr>
      </w:pPr>
    </w:p>
    <w:p>
      <w:pPr>
        <w:jc w:val="both"/>
        <w:ind w:left="60"/>
        <w:spacing w:after="0" w:line="264" w:lineRule="auto"/>
        <w:rPr>
          <w:sz w:val="20"/>
          <w:szCs w:val="20"/>
          <w:color w:val="auto"/>
        </w:rPr>
      </w:pPr>
      <w:r>
        <w:rPr>
          <w:rFonts w:ascii="Arial" w:cs="Arial" w:eastAsia="Arial" w:hAnsi="Arial"/>
          <w:sz w:val="17"/>
          <w:szCs w:val="17"/>
          <w:color w:val="auto"/>
        </w:rPr>
        <w:t>The following descriptions of the common stock, par value $0.0001 per share, and debt securities of Synchronoss Technologies, Inc. (“us,” “our,” “we,” or the “Company”), which are the only security of the Company registered under Section 12 of the Securities Exchange Act of 1934, as amended (the “Exchange Act”), are only summaries and do not purport to be complete. The description of the common stock summarizes certain information regarding the Common Stock in our amended and restated certificate of incorporation, our amended and restated by-laws and applicable provisions of Delaware general corporate law (the “DGCL”), and is qualified by reference to our restated certificate of incorporation and our amended and restated by-laws, as amended, which are incorporated by reference as Exhibit 3.1, Exhibit 3.2, Exhibit 3.3 and Exhibit 3.4, respectively, to the Annual Report on Form 10-K for the fiscal year ending December 31, 2021. The description of our debt securities is subject to and qualified in its entirety by reference to the indenture dated as of June 30, 2021, between us and The Bank of New York Mellon Trust Company, N.A., as trustee (the “Trustee”), as supplemented by the first supplemental indentures (as supplemented, the “Indenture”), setting forth the terms and conditions of the 2026 Note (as defined below) and the form of 2026 Notes. Copies of the Indenture, including each supplement to the Indenture, and the form of 2026 Notes are incorporated as an exhibit to the Annual Report on Form 10-K to which this Exhibit 4.6 is a part.</w:t>
      </w:r>
    </w:p>
    <w:p>
      <w:pPr>
        <w:spacing w:after="0" w:line="200" w:lineRule="exact"/>
        <w:rPr>
          <w:sz w:val="20"/>
          <w:szCs w:val="20"/>
          <w:color w:val="auto"/>
        </w:rPr>
      </w:pPr>
    </w:p>
    <w:p>
      <w:pPr>
        <w:spacing w:after="0" w:line="254" w:lineRule="exact"/>
        <w:rPr>
          <w:sz w:val="20"/>
          <w:szCs w:val="20"/>
          <w:color w:val="auto"/>
        </w:rPr>
      </w:pPr>
    </w:p>
    <w:p>
      <w:pPr>
        <w:jc w:val="both"/>
        <w:ind w:left="60"/>
        <w:spacing w:after="0" w:line="329" w:lineRule="auto"/>
        <w:rPr>
          <w:sz w:val="20"/>
          <w:szCs w:val="20"/>
          <w:color w:val="auto"/>
        </w:rPr>
      </w:pPr>
      <w:r>
        <w:rPr>
          <w:rFonts w:ascii="Arial" w:cs="Arial" w:eastAsia="Arial" w:hAnsi="Arial"/>
          <w:sz w:val="16"/>
          <w:szCs w:val="16"/>
          <w:color w:val="auto"/>
        </w:rPr>
        <w:t>Our authorized capital stock consists of 100,000,000 shares of common stock, with a $0.0001 par value per share, and 10,000,000 shares of preferred stock, with a $0.0001 par value per share, 150,000 of which shares of preferred stock are designated Series B Perpetual Non-Convertible Preferred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ommon Stock</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listed on The Nasdaq Global Select Market under the symbol “SNCR.”</w:t>
      </w:r>
    </w:p>
    <w:p>
      <w:pPr>
        <w:spacing w:after="0" w:line="245" w:lineRule="exact"/>
        <w:rPr>
          <w:sz w:val="20"/>
          <w:szCs w:val="20"/>
          <w:color w:val="auto"/>
        </w:rPr>
      </w:pPr>
    </w:p>
    <w:p>
      <w:pPr>
        <w:jc w:val="both"/>
        <w:ind w:left="60"/>
        <w:spacing w:after="0" w:line="266"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common stock is entitled to one vote per share on all matters submitted to a vote of stockholders. We have not provided for</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voting in the election of directors.</w:t>
      </w:r>
    </w:p>
    <w:p>
      <w:pPr>
        <w:spacing w:after="0" w:line="206" w:lineRule="exact"/>
        <w:rPr>
          <w:sz w:val="20"/>
          <w:szCs w:val="20"/>
          <w:color w:val="auto"/>
        </w:rPr>
      </w:pPr>
    </w:p>
    <w:p>
      <w:pPr>
        <w:jc w:val="both"/>
        <w:ind w:left="60"/>
        <w:spacing w:after="0" w:line="26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are entitled to receive ratably such dividends, if any, as may be declared from time to time by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out of funds legally available, subject to preferences that may be applicable to preferred stock, if any, then outstanding.</w:t>
      </w:r>
    </w:p>
    <w:p>
      <w:pPr>
        <w:spacing w:after="0" w:line="206" w:lineRule="exact"/>
        <w:rPr>
          <w:sz w:val="20"/>
          <w:szCs w:val="20"/>
          <w:color w:val="auto"/>
        </w:rPr>
      </w:pPr>
    </w:p>
    <w:p>
      <w:pPr>
        <w:jc w:val="both"/>
        <w:ind w:left="60"/>
        <w:spacing w:after="0" w:line="296" w:lineRule="auto"/>
        <w:rPr>
          <w:sz w:val="20"/>
          <w:szCs w:val="20"/>
          <w:color w:val="auto"/>
        </w:rPr>
      </w:pPr>
      <w:r>
        <w:rPr>
          <w:rFonts w:ascii="Arial" w:cs="Arial" w:eastAsia="Arial" w:hAnsi="Arial"/>
          <w:sz w:val="17"/>
          <w:szCs w:val="17"/>
          <w:i w:val="1"/>
          <w:iCs w:val="1"/>
          <w:color w:val="auto"/>
        </w:rPr>
        <w:t>Liquidation and Dissolution</w:t>
      </w:r>
      <w:r>
        <w:rPr>
          <w:rFonts w:ascii="Arial" w:cs="Arial" w:eastAsia="Arial" w:hAnsi="Arial"/>
          <w:sz w:val="17"/>
          <w:szCs w:val="17"/>
          <w:color w:val="auto"/>
        </w:rPr>
        <w:t>. In the event of a liquidation, dissolution or winding up of our company, the holders of common stock are entitled to share ratably</w:t>
      </w:r>
      <w:r>
        <w:rPr>
          <w:rFonts w:ascii="Arial" w:cs="Arial" w:eastAsia="Arial" w:hAnsi="Arial"/>
          <w:sz w:val="17"/>
          <w:szCs w:val="17"/>
          <w:i w:val="1"/>
          <w:iCs w:val="1"/>
          <w:color w:val="auto"/>
        </w:rPr>
        <w:t xml:space="preserve"> </w:t>
      </w:r>
      <w:r>
        <w:rPr>
          <w:rFonts w:ascii="Arial" w:cs="Arial" w:eastAsia="Arial" w:hAnsi="Arial"/>
          <w:sz w:val="17"/>
          <w:szCs w:val="17"/>
          <w:color w:val="auto"/>
        </w:rPr>
        <w:t>in all assets remaining after payment of liabilities, subject to prior distribution rights of preferred stock, if any, then outstanding.</w:t>
      </w:r>
    </w:p>
    <w:p>
      <w:pPr>
        <w:spacing w:after="0" w:line="183" w:lineRule="exact"/>
        <w:rPr>
          <w:sz w:val="20"/>
          <w:szCs w:val="20"/>
          <w:color w:val="auto"/>
        </w:rPr>
      </w:pPr>
    </w:p>
    <w:p>
      <w:pPr>
        <w:jc w:val="both"/>
        <w:ind w:left="60" w:right="20"/>
        <w:spacing w:after="0" w:line="266"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The common stock has no preemptive or conversion rights or other subscription rights. There are no redemption or sinking fund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common stock.</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Company’s common stock is American Stock Transfer &amp; Trust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nti-Takeover Effects of Provisions of Delaware Law and Our Certificate of Incorporation and Bylaws</w:t>
      </w:r>
    </w:p>
    <w:p>
      <w:pPr>
        <w:spacing w:after="0" w:line="251"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Certain provisions of the DGCL,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w:t>
      </w:r>
    </w:p>
    <w:p>
      <w:pPr>
        <w:sectPr>
          <w:pgSz w:w="11900" w:h="16838" w:orient="portrait"/>
          <w:cols w:equalWidth="0" w:num="1">
            <w:col w:w="11300"/>
          </w:cols>
          <w:pgMar w:left="260" w:top="1398" w:right="339" w:bottom="1440" w:gutter="0" w:footer="0" w:header="0"/>
        </w:sectPr>
      </w:pPr>
    </w:p>
    <w:bookmarkStart w:id="118" w:name="page119"/>
    <w:bookmarkEnd w:id="118"/>
    <w:p>
      <w:pPr>
        <w:ind w:left="40"/>
        <w:spacing w:after="0"/>
        <w:rPr>
          <w:sz w:val="20"/>
          <w:szCs w:val="20"/>
          <w:color w:val="auto"/>
        </w:rPr>
      </w:pPr>
      <w:r>
        <w:rPr>
          <w:rFonts w:ascii="Arial" w:cs="Arial" w:eastAsia="Arial" w:hAnsi="Arial"/>
          <w:sz w:val="18"/>
          <w:szCs w:val="18"/>
          <w:b w:val="1"/>
          <w:bCs w:val="1"/>
          <w:color w:val="auto"/>
        </w:rPr>
        <w:t>ebt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026 Notes</w:t>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The 8.375 Senior Notes due 2026 (the “2026 Notes”) will mature on June 30, 2026, unless redeemed prior to maturity.</w:t>
      </w:r>
    </w:p>
    <w:p>
      <w:pPr>
        <w:spacing w:after="0" w:line="272" w:lineRule="exact"/>
        <w:rPr>
          <w:sz w:val="20"/>
          <w:szCs w:val="20"/>
          <w:color w:val="auto"/>
        </w:rPr>
      </w:pPr>
    </w:p>
    <w:p>
      <w:pPr>
        <w:ind w:left="100" w:right="240"/>
        <w:spacing w:after="0" w:line="298" w:lineRule="auto"/>
        <w:rPr>
          <w:sz w:val="20"/>
          <w:szCs w:val="20"/>
          <w:color w:val="auto"/>
        </w:rPr>
      </w:pPr>
      <w:r>
        <w:rPr>
          <w:rFonts w:ascii="Arial" w:cs="Arial" w:eastAsia="Arial" w:hAnsi="Arial"/>
          <w:sz w:val="17"/>
          <w:szCs w:val="17"/>
          <w:i w:val="1"/>
          <w:iCs w:val="1"/>
          <w:color w:val="auto"/>
        </w:rPr>
        <w:t xml:space="preserve">Interest Rate and Payment Dates. </w:t>
      </w:r>
      <w:r>
        <w:rPr>
          <w:rFonts w:ascii="Arial" w:cs="Arial" w:eastAsia="Arial" w:hAnsi="Arial"/>
          <w:sz w:val="17"/>
          <w:szCs w:val="17"/>
          <w:color w:val="auto"/>
        </w:rPr>
        <w:t>8.375% per year on the principal amount of the 2026 Notes, payable quarterly in arrears on January 31, April 30, July 31</w:t>
      </w:r>
      <w:r>
        <w:rPr>
          <w:rFonts w:ascii="Arial" w:cs="Arial" w:eastAsia="Arial" w:hAnsi="Arial"/>
          <w:sz w:val="17"/>
          <w:szCs w:val="17"/>
          <w:i w:val="1"/>
          <w:iCs w:val="1"/>
          <w:color w:val="auto"/>
        </w:rPr>
        <w:t xml:space="preserve"> </w:t>
      </w:r>
      <w:r>
        <w:rPr>
          <w:rFonts w:ascii="Arial" w:cs="Arial" w:eastAsia="Arial" w:hAnsi="Arial"/>
          <w:sz w:val="17"/>
          <w:szCs w:val="17"/>
          <w:color w:val="auto"/>
        </w:rPr>
        <w:t>and October 31 of each year, and at maturity. Interest on the 2026 Notes will accrue from the most recent interest payment date immediately preceding the date of issuance of the 2026 Notes, except that the 2026 Notes purchased after the record dates noted below, but prior to the interest payment date immediately following such record date (or if settlement of a purchase of the 2026 Notes otherwise occurs after such record date but prior to the interest payment date immediately following such record date), will not begin to accrue interest until the interest payment date immediately following such record date. The interest payable on each interest payment date will be paid only to the persons in whose names the notes are registered at the close of business on January 15, April 15, July 15 and October 15 (and June 15 immediately preceding the maturity date), as applicable (whether or not a business day), immediately before the relevant interest payment date.</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None.</w:t>
      </w:r>
    </w:p>
    <w:p>
      <w:pPr>
        <w:spacing w:after="0" w:line="272" w:lineRule="exact"/>
        <w:rPr>
          <w:sz w:val="20"/>
          <w:szCs w:val="20"/>
          <w:color w:val="auto"/>
        </w:rPr>
      </w:pPr>
    </w:p>
    <w:p>
      <w:pPr>
        <w:ind w:left="100"/>
        <w:spacing w:after="0" w:line="282" w:lineRule="auto"/>
        <w:rPr>
          <w:sz w:val="20"/>
          <w:szCs w:val="20"/>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2026 Notes are senior unsecured obligations and rank equal in right of payment with all of our existing and future senior unsecured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unsubordinated indebtedness. The 2026 Notes will be effectively subordinated to all of our existing and future secured indebtedness to the extent of the value of the assets securing such indebtedness. The 2026 Notes are structurally subordinated to all existing and future indebtedness (including trade payables) of our subsidiaries. The indenture governing the 2026 Notes does not limit the amount of indebtedness that we or our subsidiaries may incur or whether any such indebtedness can be secured by our assets.</w:t>
      </w:r>
    </w:p>
    <w:p>
      <w:pPr>
        <w:spacing w:after="0" w:line="207" w:lineRule="exact"/>
        <w:rPr>
          <w:sz w:val="20"/>
          <w:szCs w:val="20"/>
          <w:color w:val="auto"/>
        </w:rPr>
      </w:pPr>
    </w:p>
    <w:p>
      <w:pPr>
        <w:jc w:val="both"/>
        <w:ind w:left="100"/>
        <w:spacing w:after="0" w:line="250" w:lineRule="auto"/>
        <w:rPr>
          <w:sz w:val="20"/>
          <w:szCs w:val="20"/>
          <w:color w:val="auto"/>
        </w:rPr>
      </w:pPr>
      <w:r>
        <w:rPr>
          <w:rFonts w:ascii="Arial" w:cs="Arial" w:eastAsia="Arial" w:hAnsi="Arial"/>
          <w:sz w:val="18"/>
          <w:szCs w:val="18"/>
          <w:i w:val="1"/>
          <w:iCs w:val="1"/>
          <w:color w:val="auto"/>
        </w:rPr>
        <w:t xml:space="preserve">Optional Redemption. </w:t>
      </w:r>
      <w:r>
        <w:rPr>
          <w:rFonts w:ascii="Arial" w:cs="Arial" w:eastAsia="Arial" w:hAnsi="Arial"/>
          <w:sz w:val="18"/>
          <w:szCs w:val="18"/>
          <w:color w:val="auto"/>
        </w:rPr>
        <w:t>We may redeem the 2026 Notes for cash in whole or in part at any time at our option (i) on or after June 30, 2022 and prior to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at a price equal to $25.75 per note, plus accrued and unpaid interest to, but excluding, the date of redemption, (ii) on or after June 30, 2023 and prior to June 30, 2024, at a price equal to $25.50 per note, plus accrued and unpaid interest to, but excluding, the date of redemption, (iii) on or after June 30, 2024 and prior to June 30, 2025, at a price equal to $25.25 per note, plus accrued and unpaid interest to, but excluding, the date of redemption, and (iv) on or after June 30, 2025 and prior to maturity, at a price equal to 100% of their principal amount, plus accrued and unpaid interest to, but excluding, the date of redemption.</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Sinking Fund</w:t>
      </w:r>
      <w:r>
        <w:rPr>
          <w:rFonts w:ascii="Arial" w:cs="Arial" w:eastAsia="Arial" w:hAnsi="Arial"/>
          <w:sz w:val="16"/>
          <w:szCs w:val="16"/>
          <w:color w:val="auto"/>
        </w:rPr>
        <w:t>. The 2026 Notes are not subject to any sinking fund (i.e., no amounts will be set aside by us to ensure repayment of the 2026 Notes at maturity).</w:t>
      </w:r>
    </w:p>
    <w:p>
      <w:pPr>
        <w:spacing w:after="0" w:line="268" w:lineRule="exact"/>
        <w:rPr>
          <w:sz w:val="20"/>
          <w:szCs w:val="20"/>
          <w:color w:val="auto"/>
        </w:rPr>
      </w:pPr>
    </w:p>
    <w:p>
      <w:pPr>
        <w:jc w:val="both"/>
        <w:ind w:left="100"/>
        <w:spacing w:after="0" w:line="266" w:lineRule="auto"/>
        <w:rPr>
          <w:sz w:val="20"/>
          <w:szCs w:val="20"/>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Events of default generally include failure to pay principal, failure to pay interest, failure to observe or perform any other covenant or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in the 2026 Notes or in the indenture, and certain events of bankruptcy, insolvency or reorganization.</w:t>
      </w:r>
    </w:p>
    <w:p>
      <w:pPr>
        <w:spacing w:after="0" w:line="206" w:lineRule="exact"/>
        <w:rPr>
          <w:sz w:val="20"/>
          <w:szCs w:val="20"/>
          <w:color w:val="auto"/>
        </w:rPr>
      </w:pPr>
    </w:p>
    <w:p>
      <w:pPr>
        <w:jc w:val="both"/>
        <w:ind w:left="100"/>
        <w:spacing w:after="0" w:line="266" w:lineRule="auto"/>
        <w:rPr>
          <w:sz w:val="20"/>
          <w:szCs w:val="20"/>
          <w:color w:val="auto"/>
        </w:rPr>
      </w:pPr>
      <w:r>
        <w:rPr>
          <w:rFonts w:ascii="Arial" w:cs="Arial" w:eastAsia="Arial" w:hAnsi="Arial"/>
          <w:sz w:val="18"/>
          <w:szCs w:val="18"/>
          <w:i w:val="1"/>
          <w:iCs w:val="1"/>
          <w:color w:val="auto"/>
        </w:rPr>
        <w:t>Certain Covenants</w:t>
      </w:r>
      <w:r>
        <w:rPr>
          <w:rFonts w:ascii="Arial" w:cs="Arial" w:eastAsia="Arial" w:hAnsi="Arial"/>
          <w:sz w:val="18"/>
          <w:szCs w:val="18"/>
          <w:color w:val="auto"/>
        </w:rPr>
        <w:t>. The indenture that governs the 2026 Notes contains certain covenants, including, but not limited to, restrictions on our ability to merge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 with or into any other entity.</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 Financial Covenants</w:t>
      </w:r>
      <w:r>
        <w:rPr>
          <w:rFonts w:ascii="Arial" w:cs="Arial" w:eastAsia="Arial" w:hAnsi="Arial"/>
          <w:sz w:val="18"/>
          <w:szCs w:val="18"/>
          <w:color w:val="auto"/>
        </w:rPr>
        <w:t>. The indenture relating to the 2026 Notes does not contain financial covenants.</w:t>
      </w:r>
    </w:p>
    <w:p>
      <w:pPr>
        <w:spacing w:after="0" w:line="245" w:lineRule="exact"/>
        <w:rPr>
          <w:sz w:val="20"/>
          <w:szCs w:val="20"/>
          <w:color w:val="auto"/>
        </w:rPr>
      </w:pPr>
    </w:p>
    <w:p>
      <w:pPr>
        <w:jc w:val="both"/>
        <w:ind w:left="100"/>
        <w:spacing w:after="0" w:line="329" w:lineRule="auto"/>
        <w:rPr>
          <w:sz w:val="20"/>
          <w:szCs w:val="20"/>
          <w:color w:val="auto"/>
        </w:rPr>
      </w:pPr>
      <w:r>
        <w:rPr>
          <w:rFonts w:ascii="Arial" w:cs="Arial" w:eastAsia="Arial" w:hAnsi="Arial"/>
          <w:sz w:val="16"/>
          <w:szCs w:val="16"/>
          <w:i w:val="1"/>
          <w:iCs w:val="1"/>
          <w:color w:val="auto"/>
        </w:rPr>
        <w:t>Modification or Waiver</w:t>
      </w:r>
      <w:r>
        <w:rPr>
          <w:rFonts w:ascii="Arial" w:cs="Arial" w:eastAsia="Arial" w:hAnsi="Arial"/>
          <w:sz w:val="16"/>
          <w:szCs w:val="16"/>
          <w:color w:val="auto"/>
        </w:rPr>
        <w:t>. There are changes that we can make to the Indenture and/or the 2026 Notes without the specific approval of the holders of the 2026</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This type is limited to clarifications and certain other changes that would not adversely affect holders of the 2026 Notes in any material respect.</w:t>
      </w:r>
    </w:p>
    <w:p>
      <w:pPr>
        <w:sectPr>
          <w:pgSz w:w="11900" w:h="16838" w:orient="portrait"/>
          <w:cols w:equalWidth="0" w:num="1">
            <w:col w:w="11340"/>
          </w:cols>
          <w:pgMar w:left="220" w:top="1397" w:right="339" w:bottom="1440" w:gutter="0" w:footer="0" w:header="0"/>
        </w:sectPr>
      </w:pPr>
    </w:p>
    <w:bookmarkStart w:id="119" w:name="page120"/>
    <w:bookmarkEnd w:id="119"/>
    <w:p>
      <w:pPr>
        <w:jc w:val="both"/>
        <w:spacing w:after="0" w:line="251" w:lineRule="auto"/>
        <w:rPr>
          <w:sz w:val="20"/>
          <w:szCs w:val="20"/>
          <w:color w:val="auto"/>
        </w:rPr>
      </w:pPr>
      <w:r>
        <w:rPr>
          <w:rFonts w:ascii="Arial" w:cs="Arial" w:eastAsia="Arial" w:hAnsi="Arial"/>
          <w:sz w:val="18"/>
          <w:szCs w:val="18"/>
          <w:color w:val="auto"/>
        </w:rPr>
        <w:t>We cannot make certain changes to the 2026 Notes without the specific approval of each holder of the 2026 Notes, including changing the stated maturity, reducing the principal amount or rate of interest of any 2026 Notes, changing the place of payment, impairing the right to institute suit for the enforcement of any payment, reducing the percentage in principal amount of holders of the 2026 Notes whose consent is needed to modify or amend the indenture and reducing the percentage in principal amount of holders of the 2026 Notes whose consent is needed to waive compliance with certain provisions of the indentures or to waive certain defaults.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change only affects the 2026 Notes, it must be approved by the holders of not less than a majority in aggregate principal amount of the outstanding 2026 Notes. 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Additional Notes</w:t>
      </w:r>
      <w:r>
        <w:rPr>
          <w:rFonts w:ascii="Arial" w:cs="Arial" w:eastAsia="Arial" w:hAnsi="Arial"/>
          <w:sz w:val="16"/>
          <w:szCs w:val="16"/>
          <w:color w:val="auto"/>
        </w:rPr>
        <w:t>. We may create and issue additional notes ranking equally and ratably with the 2026 Notes in all respects, so that such additional notes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and form a single series with the 2026 Notes and will have the same terms as to status, redemption or otherwise (except the price to public, the issue date and, if applicable, the initial interest accrual date and the initial interest payment date) as the 2026 Notes; provided that if any such additional notes are not fungible with the 2026 Notes for U.S. federal income tax purposes, such additional notes will have one or more separate CUSIP numbers.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2026 Notes are traded on The Nasdaq Global Market under the symbol “SNCRL”.</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Form and Denomination. </w:t>
      </w:r>
      <w:r>
        <w:rPr>
          <w:rFonts w:ascii="Arial" w:cs="Arial" w:eastAsia="Arial" w:hAnsi="Arial"/>
          <w:sz w:val="16"/>
          <w:szCs w:val="16"/>
          <w:color w:val="auto"/>
        </w:rPr>
        <w:t>The 2026 Notes are issued in book-entry form in denominations of $25 and integral multiples thereof. The 2026 Notes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a permanent global certificate deposited with the trustee as custodian for The Depository Trust Company (“DTC”) and registered in the name of a nominee of DTC. Beneficial interests in any of the 2026 Notes will be shown on, and transfers will be effected only through, records maintained by DTC and its direct and indirect participants and any such interest may not be exchanged for certificated securities, except in limited circumstances.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Trustee</w:t>
      </w:r>
      <w:r>
        <w:rPr>
          <w:rFonts w:ascii="Arial" w:cs="Arial" w:eastAsia="Arial" w:hAnsi="Arial"/>
          <w:sz w:val="18"/>
          <w:szCs w:val="18"/>
          <w:color w:val="auto"/>
        </w:rPr>
        <w:t>. The Bank of New York Mellon Trust Company, N.A.</w:t>
      </w:r>
    </w:p>
    <w:p>
      <w:pPr>
        <w:sectPr>
          <w:pgSz w:w="11900" w:h="16838" w:orient="portrait"/>
          <w:cols w:equalWidth="0" w:num="1">
            <w:col w:w="11240"/>
          </w:cols>
          <w:pgMar w:left="320" w:top="140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1"/>
          <w:szCs w:val="21"/>
          <w:b w:val="1"/>
          <w:bCs w:val="1"/>
          <w:color w:val="auto"/>
        </w:rPr>
        <w:t>Exhibit 10.8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 TO</w:t>
      </w:r>
    </w:p>
    <w:p>
      <w:pPr>
        <w:jc w:val="center"/>
        <w:spacing w:after="0" w:line="211" w:lineRule="auto"/>
        <w:rPr>
          <w:sz w:val="20"/>
          <w:szCs w:val="20"/>
          <w:color w:val="auto"/>
        </w:rPr>
      </w:pPr>
      <w:r>
        <w:rPr>
          <w:rFonts w:ascii="Arial" w:cs="Arial" w:eastAsia="Arial" w:hAnsi="Arial"/>
          <w:sz w:val="21"/>
          <w:szCs w:val="21"/>
          <w:b w:val="1"/>
          <w:bCs w:val="1"/>
          <w:color w:val="auto"/>
        </w:rPr>
        <w:t>SYNCHRONOSS TECHNOLOGIES, INC.</w:t>
      </w:r>
    </w:p>
    <w:p>
      <w:pPr>
        <w:jc w:val="center"/>
        <w:spacing w:after="0"/>
        <w:rPr>
          <w:sz w:val="20"/>
          <w:szCs w:val="20"/>
          <w:color w:val="auto"/>
        </w:rPr>
      </w:pPr>
      <w:r>
        <w:rPr>
          <w:rFonts w:ascii="Arial" w:cs="Arial" w:eastAsia="Arial" w:hAnsi="Arial"/>
          <w:sz w:val="21"/>
          <w:szCs w:val="21"/>
          <w:b w:val="1"/>
          <w:bCs w:val="1"/>
          <w:color w:val="auto"/>
        </w:rPr>
        <w:t>2017 NEW HIRE EQUITY INCENTIVE PLAN</w:t>
      </w:r>
    </w:p>
    <w:p>
      <w:pPr>
        <w:spacing w:after="0" w:line="19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This Amendment No. 1 to the Synchronoss Technologies, Inc. 2017 New Hire Equity Incentive Plan (this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is effective as of November 1, 2021 and amends the Synchronoss Technologies, Inc. 2017 New Hire Equity Incentive Plan (as amended from time to time,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pursuant to Section 14.2 of the Plan. Unless otherwise expressly provided for in this Amendment, all capitalized words or phrases or other defined terms used in this Amendment will have the same meaning ascribed to them in the Plan.</w:t>
      </w:r>
    </w:p>
    <w:p>
      <w:pPr>
        <w:spacing w:after="0" w:line="155" w:lineRule="exact"/>
        <w:rPr>
          <w:sz w:val="20"/>
          <w:szCs w:val="20"/>
          <w:color w:val="auto"/>
        </w:rPr>
      </w:pPr>
    </w:p>
    <w:p>
      <w:pPr>
        <w:ind w:left="1280" w:hanging="635"/>
        <w:spacing w:after="0"/>
        <w:tabs>
          <w:tab w:leader="none" w:pos="12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Section 3.1 of the Plan is amended and restated in its entirety to read as follows:</w:t>
      </w:r>
    </w:p>
    <w:p>
      <w:pPr>
        <w:spacing w:after="0" w:line="177" w:lineRule="exact"/>
        <w:rPr>
          <w:rFonts w:ascii="Arial" w:cs="Arial" w:eastAsia="Arial" w:hAnsi="Arial"/>
          <w:sz w:val="21"/>
          <w:szCs w:val="21"/>
          <w:color w:val="auto"/>
        </w:rPr>
      </w:pPr>
    </w:p>
    <w:p>
      <w:pPr>
        <w:jc w:val="both"/>
        <w:ind w:left="1280"/>
        <w:spacing w:after="0" w:line="246" w:lineRule="auto"/>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3.1 Basic Limitation</w:t>
      </w:r>
      <w:r>
        <w:rPr>
          <w:rFonts w:ascii="Arial" w:cs="Arial" w:eastAsia="Arial" w:hAnsi="Arial"/>
          <w:sz w:val="19"/>
          <w:szCs w:val="19"/>
          <w:color w:val="auto"/>
        </w:rPr>
        <w:t>. Common Shares issued pursuant to the Plan may be authorized but unissued shares or treasury shares. Subject to Article 11, the aggregate number of Common Shares issued under the Plan shall not exceed (a) 2,066,711 Common Shares; plus (b) the additional Common Shares described in Section 3.2. The number of Common Shares that are subject to Awards outstanding at any time under the Plan shall not exceed the number of Common Shares that then remain available for issuance under the Plan. Subject to Section 3.2, the number of Common Shares that may be awarded under the Plan shall be reduced by one share for every Award under the Plan.”</w:t>
      </w:r>
    </w:p>
    <w:p>
      <w:pPr>
        <w:spacing w:after="0" w:line="151" w:lineRule="exact"/>
        <w:rPr>
          <w:sz w:val="20"/>
          <w:szCs w:val="20"/>
          <w:color w:val="auto"/>
        </w:rPr>
      </w:pPr>
    </w:p>
    <w:p>
      <w:pPr>
        <w:ind w:right="80" w:firstLine="638"/>
        <w:spacing w:after="0" w:line="241" w:lineRule="auto"/>
        <w:rPr>
          <w:sz w:val="20"/>
          <w:szCs w:val="20"/>
          <w:color w:val="auto"/>
        </w:rPr>
      </w:pPr>
      <w:r>
        <w:rPr>
          <w:rFonts w:ascii="Arial" w:cs="Arial" w:eastAsia="Arial" w:hAnsi="Arial"/>
          <w:sz w:val="21"/>
          <w:szCs w:val="21"/>
          <w:color w:val="auto"/>
        </w:rPr>
        <w:t>Except as expressly amended hereby, the Plan shall remain unchanged and in full force and effect and is hereby ratified and confirmed.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4300" w:val="left"/>
        </w:tabs>
        <w:rPr>
          <w:sz w:val="20"/>
          <w:szCs w:val="20"/>
          <w:color w:val="auto"/>
        </w:rPr>
      </w:pPr>
      <w:r>
        <w:rPr>
          <w:rFonts w:ascii="Arial" w:cs="Arial" w:eastAsia="Arial" w:hAnsi="Arial"/>
          <w:sz w:val="21"/>
          <w:szCs w:val="21"/>
          <w:color w:val="auto"/>
        </w:rPr>
        <w:t>Adopted by the Company’s Board of Directors:</w:t>
      </w:r>
      <w:r>
        <w:rPr>
          <w:sz w:val="20"/>
          <w:szCs w:val="20"/>
          <w:color w:val="auto"/>
        </w:rPr>
        <w:tab/>
      </w:r>
      <w:r>
        <w:rPr>
          <w:rFonts w:ascii="Arial" w:cs="Arial" w:eastAsia="Arial" w:hAnsi="Arial"/>
          <w:sz w:val="19"/>
          <w:szCs w:val="19"/>
          <w:color w:val="auto"/>
        </w:rPr>
        <w:t>November 1, 2021</w:t>
      </w:r>
    </w:p>
    <w:p>
      <w:pPr>
        <w:sectPr>
          <w:pgSz w:w="11900" w:h="16838" w:orient="portrait"/>
          <w:cols w:equalWidth="0" w:num="1">
            <w:col w:w="11240"/>
          </w:cols>
          <w:pgMar w:left="320" w:top="1375" w:right="339" w:bottom="1440" w:gutter="0" w:footer="0" w:header="0"/>
        </w:sectPr>
      </w:pPr>
    </w:p>
    <w:bookmarkStart w:id="121" w:name="page122"/>
    <w:bookmarkEnd w:id="121"/>
    <w:p>
      <w:pPr>
        <w:ind w:left="9400"/>
        <w:spacing w:after="0"/>
        <w:rPr>
          <w:sz w:val="20"/>
          <w:szCs w:val="20"/>
          <w:color w:val="auto"/>
        </w:rPr>
      </w:pPr>
      <w:r>
        <w:rPr>
          <w:rFonts w:ascii="Arial" w:cs="Arial" w:eastAsia="Arial" w:hAnsi="Arial"/>
          <w:sz w:val="25"/>
          <w:szCs w:val="25"/>
          <w:b w:val="1"/>
          <w:bCs w:val="1"/>
          <w:color w:val="auto"/>
        </w:rPr>
        <w:t>Exhibit 10.31</w:t>
      </w: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424242"/>
        </w:rPr>
        <w:t>EMPLOYMENT AGREEMENT</w:t>
      </w:r>
    </w:p>
    <w:p>
      <w:pPr>
        <w:spacing w:after="0" w:line="14" w:lineRule="exact"/>
        <w:rPr>
          <w:sz w:val="20"/>
          <w:szCs w:val="20"/>
          <w:color w:val="auto"/>
        </w:rPr>
      </w:pPr>
    </w:p>
    <w:p>
      <w:pPr>
        <w:jc w:val="both"/>
        <w:ind w:left="60" w:right="80" w:firstLine="1274"/>
        <w:spacing w:after="0" w:line="284" w:lineRule="auto"/>
        <w:rPr>
          <w:sz w:val="20"/>
          <w:szCs w:val="20"/>
          <w:color w:val="auto"/>
        </w:rPr>
      </w:pPr>
      <w:r>
        <w:rPr>
          <w:rFonts w:ascii="Arial" w:cs="Arial" w:eastAsia="Arial" w:hAnsi="Arial"/>
          <w:sz w:val="19"/>
          <w:szCs w:val="19"/>
          <w:color w:val="auto"/>
        </w:rPr>
        <w:t xml:space="preserve">THIS AGREEMENT is entered into as of </w:t>
      </w:r>
      <w:r>
        <w:rPr>
          <w:rFonts w:ascii="Arial" w:cs="Arial" w:eastAsia="Arial" w:hAnsi="Arial"/>
          <w:sz w:val="19"/>
          <w:szCs w:val="19"/>
          <w:b w:val="1"/>
          <w:bCs w:val="1"/>
          <w:color w:val="auto"/>
        </w:rPr>
        <w:t>November 1, 2021</w:t>
      </w:r>
      <w:r>
        <w:rPr>
          <w:rFonts w:ascii="Arial" w:cs="Arial" w:eastAsia="Arial" w:hAnsi="Arial"/>
          <w:sz w:val="19"/>
          <w:szCs w:val="19"/>
          <w:color w:val="auto"/>
        </w:rPr>
        <w:t xml:space="preserve"> ("Commencement Date"), by and between </w:t>
      </w:r>
      <w:r>
        <w:rPr>
          <w:rFonts w:ascii="Arial" w:cs="Arial" w:eastAsia="Arial" w:hAnsi="Arial"/>
          <w:sz w:val="19"/>
          <w:szCs w:val="19"/>
          <w:b w:val="1"/>
          <w:bCs w:val="1"/>
          <w:color w:val="auto"/>
        </w:rPr>
        <w:t>Taylor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Greenwald </w:t>
      </w:r>
      <w:r>
        <w:rPr>
          <w:rFonts w:ascii="Arial" w:cs="Arial" w:eastAsia="Arial" w:hAnsi="Arial"/>
          <w:sz w:val="19"/>
          <w:szCs w:val="19"/>
          <w:color w:val="auto"/>
        </w:rPr>
        <w:t>(the "Executive") and Synchronoss Technologies, Inc., a Delaware corporation (the '·Company"). Except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herein, defined terms are set forth in Section 10 below.</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b w:val="1"/>
          <w:bCs w:val="1"/>
          <w:color w:val="auto"/>
        </w:rPr>
        <w:t>Duties and Scope of Employment.</w:t>
      </w:r>
    </w:p>
    <w:p>
      <w:pPr>
        <w:spacing w:after="0" w:line="247" w:lineRule="exact"/>
        <w:rPr>
          <w:sz w:val="20"/>
          <w:szCs w:val="20"/>
          <w:color w:val="auto"/>
        </w:rPr>
      </w:pPr>
    </w:p>
    <w:p>
      <w:pPr>
        <w:jc w:val="both"/>
        <w:ind w:left="60" w:right="60" w:firstLine="3"/>
        <w:spacing w:after="0" w:line="275" w:lineRule="auto"/>
        <w:tabs>
          <w:tab w:leader="none" w:pos="600" w:val="left"/>
        </w:tabs>
        <w:numPr>
          <w:ilvl w:val="1"/>
          <w:numId w:val="49"/>
        </w:numPr>
        <w:rPr>
          <w:rFonts w:ascii="Arial" w:cs="Arial" w:eastAsia="Arial" w:hAnsi="Arial"/>
          <w:sz w:val="21"/>
          <w:szCs w:val="21"/>
          <w:color w:val="auto"/>
        </w:rPr>
      </w:pPr>
      <w:r>
        <w:rPr>
          <w:rFonts w:ascii="Arial" w:cs="Arial" w:eastAsia="Arial" w:hAnsi="Arial"/>
          <w:sz w:val="19"/>
          <w:szCs w:val="19"/>
          <w:b w:val="1"/>
          <w:bCs w:val="1"/>
          <w:color w:val="auto"/>
        </w:rPr>
        <w:t xml:space="preserve">Position. </w:t>
      </w:r>
      <w:r>
        <w:rPr>
          <w:rFonts w:ascii="Arial" w:cs="Arial" w:eastAsia="Arial" w:hAnsi="Arial"/>
          <w:sz w:val="19"/>
          <w:szCs w:val="19"/>
          <w:color w:val="auto"/>
        </w:rPr>
        <w:t>For the term of his employment under this Agreement (the "Employment"), the Company agrees to employ Executive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position of </w:t>
      </w:r>
      <w:r>
        <w:rPr>
          <w:rFonts w:ascii="Arial" w:cs="Arial" w:eastAsia="Arial" w:hAnsi="Arial"/>
          <w:sz w:val="19"/>
          <w:szCs w:val="19"/>
          <w:b w:val="1"/>
          <w:bCs w:val="1"/>
          <w:color w:val="auto"/>
        </w:rPr>
        <w:t>Executive Vice President &amp; Chief Financial Officer</w:t>
      </w:r>
      <w:r>
        <w:rPr>
          <w:rFonts w:ascii="Arial" w:cs="Arial" w:eastAsia="Arial" w:hAnsi="Arial"/>
          <w:sz w:val="19"/>
          <w:szCs w:val="19"/>
          <w:color w:val="auto"/>
        </w:rPr>
        <w:t xml:space="preserve">. ln such role, Executive shall be the Company's principal financial officer for purposes of SEC reporting. Executive shall report to the Company's Chief Executive Officer or his or her designee. </w:t>
      </w:r>
      <w:r>
        <w:rPr>
          <w:rFonts w:ascii="Arial" w:cs="Arial" w:eastAsia="Arial" w:hAnsi="Arial"/>
          <w:sz w:val="21"/>
          <w:szCs w:val="21"/>
          <w:color w:val="1F1F1F"/>
        </w:rPr>
        <w:t>The</w:t>
      </w:r>
      <w:r>
        <w:rPr>
          <w:rFonts w:ascii="Arial" w:cs="Arial" w:eastAsia="Arial" w:hAnsi="Arial"/>
          <w:sz w:val="19"/>
          <w:szCs w:val="19"/>
          <w:color w:val="auto"/>
        </w:rPr>
        <w:t xml:space="preserve"> </w:t>
      </w:r>
      <w:r>
        <w:rPr>
          <w:rFonts w:ascii="Arial" w:cs="Arial" w:eastAsia="Arial" w:hAnsi="Arial"/>
          <w:sz w:val="21"/>
          <w:szCs w:val="21"/>
          <w:color w:val="1F1F1F"/>
        </w:rPr>
        <w:t xml:space="preserve">Company's headquarters is located in </w:t>
      </w:r>
      <w:r>
        <w:rPr>
          <w:rFonts w:ascii="Arial" w:cs="Arial" w:eastAsia="Arial" w:hAnsi="Arial"/>
          <w:sz w:val="21"/>
          <w:szCs w:val="21"/>
          <w:b w:val="1"/>
          <w:bCs w:val="1"/>
          <w:color w:val="1F1F1F"/>
        </w:rPr>
        <w:t>Bridgewater, New Jersey.</w:t>
      </w:r>
      <w:r>
        <w:rPr>
          <w:rFonts w:ascii="Arial" w:cs="Arial" w:eastAsia="Arial" w:hAnsi="Arial"/>
          <w:sz w:val="21"/>
          <w:szCs w:val="21"/>
          <w:color w:val="1F1F1F"/>
        </w:rPr>
        <w:t xml:space="preserve"> You will be required to travel to the Bridgewater location as needed. Your office location is remote Ohio.</w:t>
      </w:r>
    </w:p>
    <w:p>
      <w:pPr>
        <w:spacing w:after="0" w:line="198" w:lineRule="exact"/>
        <w:rPr>
          <w:rFonts w:ascii="Arial" w:cs="Arial" w:eastAsia="Arial" w:hAnsi="Arial"/>
          <w:sz w:val="21"/>
          <w:szCs w:val="21"/>
          <w:color w:val="auto"/>
        </w:rPr>
      </w:pPr>
    </w:p>
    <w:p>
      <w:pPr>
        <w:jc w:val="both"/>
        <w:ind w:left="60" w:right="40" w:firstLine="9"/>
        <w:spacing w:after="0" w:line="270" w:lineRule="auto"/>
        <w:tabs>
          <w:tab w:leader="none" w:pos="594" w:val="left"/>
        </w:tabs>
        <w:numPr>
          <w:ilvl w:val="1"/>
          <w:numId w:val="49"/>
        </w:numPr>
        <w:rPr>
          <w:rFonts w:ascii="Arial" w:cs="Arial" w:eastAsia="Arial" w:hAnsi="Arial"/>
          <w:sz w:val="19"/>
          <w:szCs w:val="19"/>
          <w:color w:val="auto"/>
        </w:rPr>
      </w:pPr>
      <w:r>
        <w:rPr>
          <w:rFonts w:ascii="Arial" w:cs="Arial" w:eastAsia="Arial" w:hAnsi="Arial"/>
          <w:sz w:val="19"/>
          <w:szCs w:val="19"/>
          <w:b w:val="1"/>
          <w:bCs w:val="1"/>
          <w:color w:val="auto"/>
        </w:rPr>
        <w:t xml:space="preserve">Obligations to the Company. </w:t>
      </w:r>
      <w:r>
        <w:rPr>
          <w:rFonts w:ascii="Arial" w:cs="Arial" w:eastAsia="Arial" w:hAnsi="Arial"/>
          <w:sz w:val="19"/>
          <w:szCs w:val="19"/>
          <w:color w:val="auto"/>
        </w:rPr>
        <w:t>During his Employment, Executive (i) shall devote substantially all of his full business efforts and</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non-profit boards and, subject to Board approval, at least one corporate board.</w:t>
      </w:r>
    </w:p>
    <w:p>
      <w:pPr>
        <w:spacing w:after="0" w:line="213" w:lineRule="exact"/>
        <w:rPr>
          <w:rFonts w:ascii="Arial" w:cs="Arial" w:eastAsia="Arial" w:hAnsi="Arial"/>
          <w:sz w:val="19"/>
          <w:szCs w:val="19"/>
          <w:color w:val="auto"/>
        </w:rPr>
      </w:pPr>
    </w:p>
    <w:p>
      <w:pPr>
        <w:jc w:val="both"/>
        <w:ind w:left="80" w:right="20" w:firstLine="3"/>
        <w:spacing w:after="0" w:line="270" w:lineRule="auto"/>
        <w:tabs>
          <w:tab w:leader="none" w:pos="600" w:val="left"/>
        </w:tabs>
        <w:numPr>
          <w:ilvl w:val="1"/>
          <w:numId w:val="49"/>
        </w:numPr>
        <w:rPr>
          <w:rFonts w:ascii="Arial" w:cs="Arial" w:eastAsia="Arial" w:hAnsi="Arial"/>
          <w:sz w:val="19"/>
          <w:szCs w:val="19"/>
          <w:color w:val="auto"/>
        </w:rPr>
      </w:pPr>
      <w:r>
        <w:rPr>
          <w:rFonts w:ascii="Arial" w:cs="Arial" w:eastAsia="Arial" w:hAnsi="Arial"/>
          <w:sz w:val="19"/>
          <w:szCs w:val="19"/>
          <w:b w:val="1"/>
          <w:bCs w:val="1"/>
          <w:color w:val="auto"/>
        </w:rPr>
        <w:t xml:space="preserve">No Conflicting Obligations. </w:t>
      </w:r>
      <w:r>
        <w:rPr>
          <w:rFonts w:ascii="Arial" w:cs="Arial" w:eastAsia="Arial" w:hAnsi="Arial"/>
          <w:sz w:val="19"/>
          <w:szCs w:val="19"/>
          <w:color w:val="auto"/>
        </w:rPr>
        <w:t>Executive represents and warrants to the Company that he is under no obligations or commitments,</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contractual or otherwise, that are inconsistent with his obligations under this Agreement. Executive represents and warrants that he will not use or disclose, in connection with his Employment, any trade secrets or other proprietary information or intellectual property in which Executive or any other person has any right, title or interest and that his Employment will not infringe or violate the rights of any other person. Executive represents and warrants to the Company that he has returned all property and confidential information belonging to any prior employer.</w:t>
      </w:r>
    </w:p>
    <w:p>
      <w:pPr>
        <w:spacing w:after="0" w:line="200" w:lineRule="exact"/>
        <w:rPr>
          <w:rFonts w:ascii="Arial" w:cs="Arial" w:eastAsia="Arial" w:hAnsi="Arial"/>
          <w:sz w:val="19"/>
          <w:szCs w:val="19"/>
          <w:color w:val="auto"/>
        </w:rPr>
      </w:pPr>
    </w:p>
    <w:p>
      <w:pPr>
        <w:jc w:val="both"/>
        <w:ind w:left="100" w:hanging="5"/>
        <w:spacing w:after="0" w:line="269" w:lineRule="auto"/>
        <w:tabs>
          <w:tab w:leader="none" w:pos="602" w:val="left"/>
        </w:tabs>
        <w:numPr>
          <w:ilvl w:val="2"/>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Indemnification/D&amp;O Insurance. </w:t>
      </w:r>
      <w:r>
        <w:rPr>
          <w:rFonts w:ascii="Arial" w:cs="Arial" w:eastAsia="Arial" w:hAnsi="Arial"/>
          <w:sz w:val="19"/>
          <w:szCs w:val="19"/>
          <w:color w:val="auto"/>
        </w:rPr>
        <w:t>To the maximum extent permitted by applicable law and the Company's by-laws,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shall indemnify (and provide advancement of expenses) Executive for all acts and omissions by him and any action on his part while acting in his capacity as a director, officer, employee or agent of the Company or another related corporation, partnership, joint venture, trust, employee benefit plan or other enterprise,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73" w:lineRule="exact"/>
        <w:rPr>
          <w:rFonts w:ascii="Arial" w:cs="Arial" w:eastAsia="Arial" w:hAnsi="Arial"/>
          <w:sz w:val="19"/>
          <w:szCs w:val="19"/>
          <w:b w:val="1"/>
          <w:bCs w:val="1"/>
          <w:color w:val="auto"/>
        </w:rPr>
      </w:pPr>
    </w:p>
    <w:p>
      <w:pPr>
        <w:ind w:left="740" w:hanging="628"/>
        <w:spacing w:after="0"/>
        <w:tabs>
          <w:tab w:leader="none" w:pos="740"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1</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0980"/>
          </w:cols>
          <w:pgMar w:left="360" w:top="1140" w:right="559" w:bottom="1440" w:gutter="0" w:footer="0" w:header="0"/>
        </w:sectPr>
      </w:pPr>
    </w:p>
    <w:bookmarkStart w:id="122" w:name="page123"/>
    <w:bookmarkEnd w:id="122"/>
    <w:p>
      <w:pPr>
        <w:jc w:val="both"/>
        <w:ind w:left="120" w:right="20" w:hanging="6"/>
        <w:spacing w:after="0" w:line="274" w:lineRule="auto"/>
        <w:tabs>
          <w:tab w:leader="none" w:pos="600" w:val="left"/>
        </w:tabs>
        <w:numPr>
          <w:ilvl w:val="2"/>
          <w:numId w:val="51"/>
        </w:numPr>
        <w:rPr>
          <w:rFonts w:ascii="Arial" w:cs="Arial" w:eastAsia="Arial" w:hAnsi="Arial"/>
          <w:sz w:val="19"/>
          <w:szCs w:val="19"/>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The Company shall pay Executive as compensation for his services a base salary at a gross annual rate of not less than</w:t>
      </w:r>
      <w:r>
        <w:rPr>
          <w:rFonts w:ascii="Arial" w:cs="Arial" w:eastAsia="Arial" w:hAnsi="Arial"/>
          <w:sz w:val="19"/>
          <w:szCs w:val="19"/>
          <w:b w:val="1"/>
          <w:bCs w:val="1"/>
          <w:color w:val="auto"/>
        </w:rPr>
        <w:t xml:space="preserve"> $390,000</w:t>
      </w:r>
      <w:r>
        <w:rPr>
          <w:rFonts w:ascii="Arial" w:cs="Arial" w:eastAsia="Arial" w:hAnsi="Arial"/>
          <w:sz w:val="19"/>
          <w:szCs w:val="19"/>
          <w:color w:val="auto"/>
        </w:rPr>
        <w:t>. Such salary shall be payable in accordance with the Company's standard payroll procedures. (The annual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specified in this </w:t>
      </w:r>
      <w:r>
        <w:rPr>
          <w:rFonts w:ascii="Arial" w:cs="Arial" w:eastAsia="Arial" w:hAnsi="Arial"/>
          <w:sz w:val="21"/>
          <w:szCs w:val="21"/>
          <w:color w:val="auto"/>
        </w:rPr>
        <w:t>Subsection (a), together with any increases in such compensation that the Company may grant from time to</w:t>
      </w:r>
      <w:r>
        <w:rPr>
          <w:rFonts w:ascii="Arial" w:cs="Arial" w:eastAsia="Arial" w:hAnsi="Arial"/>
          <w:sz w:val="19"/>
          <w:szCs w:val="19"/>
          <w:color w:val="auto"/>
        </w:rPr>
        <w:t xml:space="preserve"> </w:t>
      </w:r>
      <w:r>
        <w:rPr>
          <w:rFonts w:ascii="Arial" w:cs="Arial" w:eastAsia="Arial" w:hAnsi="Arial"/>
          <w:sz w:val="21"/>
          <w:szCs w:val="21"/>
          <w:color w:val="auto"/>
        </w:rPr>
        <w:t>time, is referred to in this Agreement as "Base Salary.")</w:t>
      </w:r>
    </w:p>
    <w:p>
      <w:pPr>
        <w:spacing w:after="0" w:line="199" w:lineRule="exact"/>
        <w:rPr>
          <w:rFonts w:ascii="Arial" w:cs="Arial" w:eastAsia="Arial" w:hAnsi="Arial"/>
          <w:sz w:val="19"/>
          <w:szCs w:val="19"/>
          <w:color w:val="auto"/>
        </w:rPr>
      </w:pPr>
    </w:p>
    <w:p>
      <w:pPr>
        <w:jc w:val="both"/>
        <w:ind w:left="100" w:right="40" w:firstLine="2"/>
        <w:spacing w:after="0" w:line="288" w:lineRule="auto"/>
        <w:tabs>
          <w:tab w:leader="none" w:pos="592" w:val="left"/>
        </w:tabs>
        <w:numPr>
          <w:ilvl w:val="2"/>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Incentive Bonuses. </w:t>
      </w:r>
      <w:r>
        <w:rPr>
          <w:rFonts w:ascii="Arial" w:cs="Arial" w:eastAsia="Arial" w:hAnsi="Arial"/>
          <w:sz w:val="18"/>
          <w:szCs w:val="18"/>
          <w:color w:val="auto"/>
        </w:rPr>
        <w:t>Executive shall be eligible for an annual incentive bonus with a target amount equal to</w:t>
      </w:r>
      <w:r>
        <w:rPr>
          <w:rFonts w:ascii="Arial" w:cs="Arial" w:eastAsia="Arial" w:hAnsi="Arial"/>
          <w:sz w:val="18"/>
          <w:szCs w:val="18"/>
          <w:b w:val="1"/>
          <w:bCs w:val="1"/>
          <w:color w:val="auto"/>
        </w:rPr>
        <w:t xml:space="preserve"> 70% of his Base Salary </w:t>
      </w:r>
      <w:r>
        <w:rPr>
          <w:rFonts w:ascii="Arial" w:cs="Arial" w:eastAsia="Arial" w:hAnsi="Arial"/>
          <w:sz w:val="18"/>
          <w:szCs w:val="18"/>
          <w:color w:val="auto"/>
        </w:rPr>
        <w:t>(the ·'Target Bonus"). Executive's bonus (if any) shall be awarded based on criteria established by the Company's Board of Directors (the "Board") or its Compensation Committee. Executive shall not be entitled to an incentive bonus for a fiscal year if he is not employed by the Company on the last day of the fiscal year for which such bonus is payable or is provided notice of termination under Section 5(b) prior to such time. Any bonus for a fiscal year shall be paid within 2½ months after the close of that fiscal year. The determinations of the Board or its Compensation Committee with respect to such bonus shall be final and binding.</w:t>
      </w:r>
    </w:p>
    <w:p>
      <w:pPr>
        <w:spacing w:after="0" w:line="185" w:lineRule="exact"/>
        <w:rPr>
          <w:rFonts w:ascii="Arial" w:cs="Arial" w:eastAsia="Arial" w:hAnsi="Arial"/>
          <w:sz w:val="18"/>
          <w:szCs w:val="18"/>
          <w:color w:val="auto"/>
        </w:rPr>
      </w:pPr>
    </w:p>
    <w:p>
      <w:pPr>
        <w:jc w:val="both"/>
        <w:ind w:left="120" w:right="40" w:hanging="5"/>
        <w:spacing w:after="0" w:line="295" w:lineRule="auto"/>
        <w:tabs>
          <w:tab w:leader="none" w:pos="59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Paid Time Off and Employee Benefits. </w:t>
      </w:r>
      <w:r>
        <w:rPr>
          <w:rFonts w:ascii="Arial" w:cs="Arial" w:eastAsia="Arial" w:hAnsi="Arial"/>
          <w:sz w:val="18"/>
          <w:szCs w:val="18"/>
          <w:color w:val="auto"/>
        </w:rPr>
        <w:t>During his Employment, Executive shall be eligible for paid time off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Flex Time Policy, which allows and encourages employees to take a reasonable amount of paid vacation and personal time each calendar year without having to accrue hours. During his Employment, Executive shall be eligible to participate in the employee benefit plans maintained by the Company, subject in each case to the terms and conditions of the plan in question.</w:t>
      </w:r>
    </w:p>
    <w:p>
      <w:pPr>
        <w:spacing w:after="0" w:line="178" w:lineRule="exact"/>
        <w:rPr>
          <w:rFonts w:ascii="Arial" w:cs="Arial" w:eastAsia="Arial" w:hAnsi="Arial"/>
          <w:sz w:val="18"/>
          <w:szCs w:val="18"/>
          <w:color w:val="auto"/>
        </w:rPr>
      </w:pPr>
    </w:p>
    <w:p>
      <w:pPr>
        <w:jc w:val="both"/>
        <w:ind w:left="120" w:right="20"/>
        <w:spacing w:after="0" w:line="285" w:lineRule="auto"/>
        <w:tabs>
          <w:tab w:leader="none" w:pos="595"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Business Expenses. </w:t>
      </w:r>
      <w:r>
        <w:rPr>
          <w:rFonts w:ascii="Arial" w:cs="Arial" w:eastAsia="Arial" w:hAnsi="Arial"/>
          <w:sz w:val="18"/>
          <w:szCs w:val="18"/>
          <w:color w:val="auto"/>
        </w:rPr>
        <w:t>During his Employment, Executive shall be authorized to incur necessary and reasonable travel, entertainment,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business expenses in connection with his duties hereunder. Notwithstanding anything to the contrary herein, except to the extent any expense or reimbursement provided pursuant to this Agreement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74" w:lineRule="exact"/>
        <w:rPr>
          <w:rFonts w:ascii="Arial" w:cs="Arial" w:eastAsia="Arial" w:hAnsi="Arial"/>
          <w:sz w:val="18"/>
          <w:szCs w:val="18"/>
          <w:color w:val="auto"/>
        </w:rPr>
      </w:pPr>
    </w:p>
    <w:p>
      <w:pPr>
        <w:ind w:left="760" w:hanging="622"/>
        <w:spacing w:after="0"/>
        <w:tabs>
          <w:tab w:leader="none" w:pos="760" w:val="left"/>
        </w:tabs>
        <w:numPr>
          <w:ilvl w:val="1"/>
          <w:numId w:val="52"/>
        </w:numPr>
        <w:rPr>
          <w:rFonts w:ascii="Arial" w:cs="Arial" w:eastAsia="Arial" w:hAnsi="Arial"/>
          <w:sz w:val="19"/>
          <w:szCs w:val="19"/>
          <w:color w:val="auto"/>
        </w:rPr>
      </w:pPr>
      <w:r>
        <w:rPr>
          <w:rFonts w:ascii="Arial" w:cs="Arial" w:eastAsia="Arial" w:hAnsi="Arial"/>
          <w:sz w:val="19"/>
          <w:szCs w:val="19"/>
          <w:b w:val="1"/>
          <w:bCs w:val="1"/>
          <w:color w:val="auto"/>
        </w:rPr>
        <w:t>Term of Employment.</w:t>
      </w:r>
    </w:p>
    <w:p>
      <w:pPr>
        <w:spacing w:after="0" w:line="233" w:lineRule="exact"/>
        <w:rPr>
          <w:rFonts w:ascii="Arial" w:cs="Arial" w:eastAsia="Arial" w:hAnsi="Arial"/>
          <w:sz w:val="19"/>
          <w:szCs w:val="19"/>
          <w:color w:val="auto"/>
        </w:rPr>
      </w:pPr>
    </w:p>
    <w:p>
      <w:pPr>
        <w:jc w:val="both"/>
        <w:ind w:left="140" w:right="20"/>
        <w:spacing w:after="0" w:line="275" w:lineRule="auto"/>
        <w:tabs>
          <w:tab w:leader="none" w:pos="595" w:val="left"/>
        </w:tabs>
        <w:numPr>
          <w:ilvl w:val="3"/>
          <w:numId w:val="52"/>
        </w:numPr>
        <w:rPr>
          <w:rFonts w:ascii="Arial" w:cs="Arial" w:eastAsia="Arial" w:hAnsi="Arial"/>
          <w:sz w:val="19"/>
          <w:szCs w:val="19"/>
          <w:color w:val="4F4F4F"/>
        </w:rPr>
      </w:pPr>
      <w:r>
        <w:rPr>
          <w:rFonts w:ascii="Arial" w:cs="Arial" w:eastAsia="Arial" w:hAnsi="Arial"/>
          <w:sz w:val="19"/>
          <w:szCs w:val="19"/>
          <w:b w:val="1"/>
          <w:bCs w:val="1"/>
          <w:color w:val="auto"/>
        </w:rPr>
        <w:t xml:space="preserve">Employment Term. </w:t>
      </w:r>
      <w:r>
        <w:rPr>
          <w:rFonts w:ascii="Arial" w:cs="Arial" w:eastAsia="Arial" w:hAnsi="Arial"/>
          <w:sz w:val="19"/>
          <w:szCs w:val="19"/>
          <w:color w:val="auto"/>
        </w:rPr>
        <w:t>The Company hereby employs Executive to render services to the Company in the position and with the duties</w:t>
      </w:r>
      <w:r>
        <w:rPr>
          <w:rFonts w:ascii="Arial" w:cs="Arial" w:eastAsia="Arial" w:hAnsi="Arial"/>
          <w:sz w:val="19"/>
          <w:szCs w:val="19"/>
          <w:b w:val="1"/>
          <w:bCs w:val="1"/>
          <w:color w:val="auto"/>
        </w:rPr>
        <w:t xml:space="preserve"> </w:t>
      </w:r>
      <w:r>
        <w:rPr>
          <w:rFonts w:ascii="Arial" w:cs="Arial" w:eastAsia="Arial" w:hAnsi="Arial"/>
          <w:sz w:val="19"/>
          <w:szCs w:val="19"/>
          <w:color w:val="auto"/>
        </w:rPr>
        <w:t>and responsibilities described in Section 1 for the period commencing on the Commencement Date and ending upon the earlier of (i) the date of Executive’s resignation from the Company and (ii) the date Executive’s Employment is terminated in accordance with Section 5(b) (the "Term").</w:t>
      </w:r>
    </w:p>
    <w:p>
      <w:pPr>
        <w:spacing w:after="0" w:line="208" w:lineRule="exact"/>
        <w:rPr>
          <w:rFonts w:ascii="Arial" w:cs="Arial" w:eastAsia="Arial" w:hAnsi="Arial"/>
          <w:sz w:val="19"/>
          <w:szCs w:val="19"/>
          <w:color w:val="4F4F4F"/>
        </w:rPr>
      </w:pPr>
    </w:p>
    <w:p>
      <w:pPr>
        <w:jc w:val="both"/>
        <w:ind w:left="140" w:firstLine="6"/>
        <w:spacing w:after="0" w:line="288" w:lineRule="auto"/>
        <w:tabs>
          <w:tab w:leader="none" w:pos="591" w:val="left"/>
        </w:tabs>
        <w:numPr>
          <w:ilvl w:val="3"/>
          <w:numId w:val="52"/>
        </w:numPr>
        <w:rPr>
          <w:rFonts w:ascii="Arial" w:cs="Arial" w:eastAsia="Arial" w:hAnsi="Arial"/>
          <w:sz w:val="18"/>
          <w:szCs w:val="18"/>
          <w:color w:val="4F4F4F"/>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The Company may terminate Executive's Employment at any time and for any reason (or no reason),</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or without Cause, by giving Executive 30 days' advance notice in writing. Executive may terminate his Employment by giving the Company 30 days' advance notice in writing. The Company shall have the right at any time during such 30- day period, to relieve Executive of his offices, duties and responsibilities and place him on a paid leave-of-absence status, provided that during such notice period, Executive shall remain a full time employee of the Company and shall continue to receive his then current salary compensation and other benefits as provided in this Agreement. Executive's Employment shall terminate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2</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020"/>
          </w:cols>
          <w:pgMar w:left="360" w:top="1127" w:right="519" w:bottom="1440" w:gutter="0" w:footer="0" w:header="0"/>
        </w:sectPr>
      </w:pPr>
    </w:p>
    <w:bookmarkStart w:id="123" w:name="page124"/>
    <w:bookmarkEnd w:id="123"/>
    <w:p>
      <w:pPr>
        <w:ind w:left="100" w:right="40"/>
        <w:spacing w:after="0" w:line="294" w:lineRule="auto"/>
        <w:rPr>
          <w:sz w:val="20"/>
          <w:szCs w:val="20"/>
          <w:color w:val="auto"/>
        </w:rPr>
      </w:pPr>
      <w:r>
        <w:rPr>
          <w:rFonts w:ascii="Arial" w:cs="Arial" w:eastAsia="Arial" w:hAnsi="Arial"/>
          <w:sz w:val="19"/>
          <w:szCs w:val="19"/>
          <w:color w:val="auto"/>
        </w:rPr>
        <w:t>automatically in the event of his death. The termination of Executive's Employment shall not limit or otherwise affect his obligations under Section 7.</w:t>
      </w:r>
    </w:p>
    <w:p>
      <w:pPr>
        <w:spacing w:after="0" w:line="177" w:lineRule="exact"/>
        <w:rPr>
          <w:sz w:val="20"/>
          <w:szCs w:val="20"/>
          <w:color w:val="auto"/>
        </w:rPr>
      </w:pPr>
    </w:p>
    <w:p>
      <w:pPr>
        <w:jc w:val="both"/>
        <w:ind w:left="120" w:right="40" w:hanging="12"/>
        <w:spacing w:after="0" w:line="266" w:lineRule="auto"/>
        <w:tabs>
          <w:tab w:leader="none" w:pos="614" w:val="left"/>
        </w:tabs>
        <w:numPr>
          <w:ilvl w:val="0"/>
          <w:numId w:val="53"/>
        </w:numPr>
        <w:rPr>
          <w:rFonts w:ascii="Arial" w:cs="Arial" w:eastAsia="Arial" w:hAnsi="Arial"/>
          <w:sz w:val="19"/>
          <w:szCs w:val="19"/>
          <w:color w:val="4F4F4F"/>
        </w:rPr>
      </w:pPr>
      <w:r>
        <w:rPr>
          <w:rFonts w:ascii="Arial" w:cs="Arial" w:eastAsia="Arial" w:hAnsi="Arial"/>
          <w:sz w:val="19"/>
          <w:szCs w:val="19"/>
          <w:b w:val="1"/>
          <w:bCs w:val="1"/>
          <w:color w:val="auto"/>
        </w:rPr>
        <w:t xml:space="preserve">Rights Upon Termination. </w:t>
      </w:r>
      <w:r>
        <w:rPr>
          <w:rFonts w:ascii="Arial" w:cs="Arial" w:eastAsia="Arial" w:hAnsi="Arial"/>
          <w:sz w:val="19"/>
          <w:szCs w:val="19"/>
          <w:color w:val="auto"/>
        </w:rPr>
        <w:t>Upon Executive's termination of Employment for any reason, Executive shall be entitled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benefits and reimbursements described in Sections 1, 2, 3, and 4 for the period preceding the effective date of such termination or otherwise accrued before such termination. Upon the termination of Executive's Employment under certain circumstances, Executive may be entitled to additional severance pay benefits described in Section</w:t>
      </w:r>
    </w:p>
    <w:p>
      <w:pPr>
        <w:spacing w:after="0" w:line="3" w:lineRule="exact"/>
        <w:rPr>
          <w:sz w:val="20"/>
          <w:szCs w:val="20"/>
          <w:color w:val="auto"/>
        </w:rPr>
      </w:pPr>
    </w:p>
    <w:p>
      <w:pPr>
        <w:ind w:left="120" w:right="40" w:hanging="7"/>
        <w:spacing w:after="0" w:line="285" w:lineRule="auto"/>
        <w:tabs>
          <w:tab w:leader="none" w:pos="59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payments under this Agreement shall fully discharge all responsibilities of the Company to Executive under this Agreement. This Agreement shall terminate when all obligations of the parties hereunder have been satisfied.</w:t>
      </w:r>
    </w:p>
    <w:p>
      <w:pPr>
        <w:spacing w:after="0" w:line="198" w:lineRule="exact"/>
        <w:rPr>
          <w:rFonts w:ascii="Arial" w:cs="Arial" w:eastAsia="Arial" w:hAnsi="Arial"/>
          <w:sz w:val="19"/>
          <w:szCs w:val="19"/>
          <w:color w:val="auto"/>
        </w:rPr>
      </w:pPr>
    </w:p>
    <w:p>
      <w:pPr>
        <w:jc w:val="both"/>
        <w:ind w:left="120" w:right="20" w:hanging="6"/>
        <w:spacing w:after="0" w:line="288" w:lineRule="auto"/>
        <w:tabs>
          <w:tab w:leader="none" w:pos="601" w:val="left"/>
        </w:tabs>
        <w:numPr>
          <w:ilvl w:val="3"/>
          <w:numId w:val="54"/>
        </w:numPr>
        <w:rPr>
          <w:rFonts w:ascii="Arial" w:cs="Arial" w:eastAsia="Arial" w:hAnsi="Arial"/>
          <w:sz w:val="18"/>
          <w:szCs w:val="18"/>
          <w:color w:val="4F4F4F"/>
        </w:rPr>
      </w:pPr>
      <w:r>
        <w:rPr>
          <w:rFonts w:ascii="Arial" w:cs="Arial" w:eastAsia="Arial" w:hAnsi="Arial"/>
          <w:sz w:val="18"/>
          <w:szCs w:val="18"/>
          <w:b w:val="1"/>
          <w:bCs w:val="1"/>
          <w:color w:val="auto"/>
        </w:rPr>
        <w:t xml:space="preserve">Rights Upon Death. </w:t>
      </w:r>
      <w:r>
        <w:rPr>
          <w:rFonts w:ascii="Arial" w:cs="Arial" w:eastAsia="Arial" w:hAnsi="Arial"/>
          <w:sz w:val="18"/>
          <w:szCs w:val="18"/>
          <w:color w:val="auto"/>
        </w:rPr>
        <w:t>If Executive's Employment ends due to death, (A) Executive's estate shall be entitled to receive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his target bonus for the fiscal year in which his death occurred (or, if greater, the bonus amount determined based on the applicable factors and actual performance for such fiscal year), prorated based on the number of days he was employed by the Company during that fiscal year and (B) all stock options, shares of restricted stock (other than performance-related restricted stock), and other time-based equity awards granted by the Company and held by Executive at the time of his death shall be fully vested. All amounts under this Section 5(d) shall be paid no later than the date all regular employees are paid their bonuses.</w:t>
      </w:r>
    </w:p>
    <w:p>
      <w:pPr>
        <w:spacing w:after="0" w:line="185" w:lineRule="exact"/>
        <w:rPr>
          <w:rFonts w:ascii="Arial" w:cs="Arial" w:eastAsia="Arial" w:hAnsi="Arial"/>
          <w:sz w:val="18"/>
          <w:szCs w:val="18"/>
          <w:color w:val="4F4F4F"/>
        </w:rPr>
      </w:pPr>
    </w:p>
    <w:p>
      <w:pPr>
        <w:jc w:val="both"/>
        <w:ind w:left="120" w:firstLine="7"/>
        <w:spacing w:after="0" w:line="284" w:lineRule="auto"/>
        <w:tabs>
          <w:tab w:leader="none" w:pos="588" w:val="left"/>
        </w:tabs>
        <w:numPr>
          <w:ilvl w:val="3"/>
          <w:numId w:val="54"/>
        </w:numPr>
        <w:rPr>
          <w:rFonts w:ascii="Arial" w:cs="Arial" w:eastAsia="Arial" w:hAnsi="Arial"/>
          <w:sz w:val="18"/>
          <w:szCs w:val="18"/>
          <w:color w:val="4F4F4F"/>
        </w:rPr>
      </w:pPr>
      <w:r>
        <w:rPr>
          <w:rFonts w:ascii="Arial" w:cs="Arial" w:eastAsia="Arial" w:hAnsi="Arial"/>
          <w:sz w:val="18"/>
          <w:szCs w:val="18"/>
          <w:b w:val="1"/>
          <w:bCs w:val="1"/>
          <w:color w:val="auto"/>
        </w:rPr>
        <w:t xml:space="preserve">Rights Upon Permanent Disability. </w:t>
      </w:r>
      <w:r>
        <w:rPr>
          <w:rFonts w:ascii="Arial" w:cs="Arial" w:eastAsia="Arial" w:hAnsi="Arial"/>
          <w:sz w:val="18"/>
          <w:szCs w:val="18"/>
          <w:color w:val="auto"/>
        </w:rPr>
        <w:t>If Executive's Employment ends due to Permanent Disability and a Separation occurs, (I)</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entitled to receive (i) an amount equal to his Target Bonus for the fiscal year in which his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75" w:lineRule="exact"/>
        <w:rPr>
          <w:rFonts w:ascii="Arial" w:cs="Arial" w:eastAsia="Arial" w:hAnsi="Arial"/>
          <w:sz w:val="18"/>
          <w:szCs w:val="18"/>
          <w:color w:val="4F4F4F"/>
        </w:rPr>
      </w:pPr>
    </w:p>
    <w:p>
      <w:pPr>
        <w:ind w:left="760" w:hanging="621"/>
        <w:spacing w:after="0"/>
        <w:tabs>
          <w:tab w:leader="none" w:pos="760" w:val="left"/>
        </w:tabs>
        <w:numPr>
          <w:ilvl w:val="1"/>
          <w:numId w:val="54"/>
        </w:numPr>
        <w:rPr>
          <w:rFonts w:ascii="Arial" w:cs="Arial" w:eastAsia="Arial" w:hAnsi="Arial"/>
          <w:sz w:val="19"/>
          <w:szCs w:val="19"/>
          <w:color w:val="auto"/>
        </w:rPr>
      </w:pPr>
      <w:r>
        <w:rPr>
          <w:rFonts w:ascii="Arial" w:cs="Arial" w:eastAsia="Arial" w:hAnsi="Arial"/>
          <w:sz w:val="19"/>
          <w:szCs w:val="19"/>
          <w:b w:val="1"/>
          <w:bCs w:val="1"/>
          <w:color w:val="auto"/>
        </w:rPr>
        <w:t>Termination Benefits.</w:t>
      </w:r>
    </w:p>
    <w:p>
      <w:pPr>
        <w:spacing w:after="0" w:line="233" w:lineRule="exact"/>
        <w:rPr>
          <w:rFonts w:ascii="Arial" w:cs="Arial" w:eastAsia="Arial" w:hAnsi="Arial"/>
          <w:sz w:val="19"/>
          <w:szCs w:val="19"/>
          <w:color w:val="auto"/>
        </w:rPr>
      </w:pPr>
    </w:p>
    <w:p>
      <w:pPr>
        <w:ind w:left="140" w:right="20"/>
        <w:spacing w:after="0" w:line="301" w:lineRule="auto"/>
        <w:tabs>
          <w:tab w:leader="none" w:pos="600" w:val="left"/>
        </w:tabs>
        <w:numPr>
          <w:ilvl w:val="4"/>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Preconditions. </w:t>
      </w:r>
      <w:r>
        <w:rPr>
          <w:rFonts w:ascii="Arial" w:cs="Arial" w:eastAsia="Arial" w:hAnsi="Arial"/>
          <w:sz w:val="19"/>
          <w:szCs w:val="19"/>
          <w:color w:val="auto"/>
        </w:rPr>
        <w:t>Any other provision of this Agreement notwithstanding, Subsections (b) and (c) below shall not apply unless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w:t>
      </w:r>
    </w:p>
    <w:p>
      <w:pPr>
        <w:spacing w:after="0" w:line="189" w:lineRule="exact"/>
        <w:rPr>
          <w:rFonts w:ascii="Arial" w:cs="Arial" w:eastAsia="Arial" w:hAnsi="Arial"/>
          <w:sz w:val="19"/>
          <w:szCs w:val="19"/>
          <w:color w:val="auto"/>
        </w:rPr>
      </w:pPr>
    </w:p>
    <w:p>
      <w:pPr>
        <w:jc w:val="both"/>
        <w:ind w:left="140"/>
        <w:spacing w:after="0" w:line="278" w:lineRule="auto"/>
        <w:tabs>
          <w:tab w:leader="none" w:pos="601" w:val="left"/>
        </w:tabs>
        <w:numPr>
          <w:ilvl w:val="4"/>
          <w:numId w:val="55"/>
        </w:numPr>
        <w:rPr>
          <w:rFonts w:ascii="Arial" w:cs="Arial" w:eastAsia="Arial" w:hAnsi="Arial"/>
          <w:sz w:val="19"/>
          <w:szCs w:val="19"/>
          <w:color w:val="auto"/>
        </w:rPr>
      </w:pPr>
      <w:r>
        <w:rPr>
          <w:rFonts w:ascii="Arial" w:cs="Arial" w:eastAsia="Arial" w:hAnsi="Arial"/>
          <w:sz w:val="19"/>
          <w:szCs w:val="19"/>
          <w:color w:val="auto"/>
        </w:rPr>
        <w:t>Has executed (or, with respect to Section 5(d), the executor or his estate has executed) a general release of all claims Executive (or his executor or estate) may have against the Company or persons affiliated with the Company (substantially in the form attached hereto as Exhibit A) (the "Release");</w:t>
      </w:r>
    </w:p>
    <w:p>
      <w:pPr>
        <w:spacing w:after="0" w:line="171" w:lineRule="exact"/>
        <w:rPr>
          <w:rFonts w:ascii="Arial" w:cs="Arial" w:eastAsia="Arial" w:hAnsi="Arial"/>
          <w:sz w:val="19"/>
          <w:szCs w:val="19"/>
          <w:color w:val="auto"/>
        </w:rPr>
      </w:pPr>
    </w:p>
    <w:p>
      <w:pPr>
        <w:ind w:left="780" w:hanging="634"/>
        <w:spacing w:after="0"/>
        <w:tabs>
          <w:tab w:leader="none" w:pos="780" w:val="left"/>
        </w:tabs>
        <w:numPr>
          <w:ilvl w:val="4"/>
          <w:numId w:val="56"/>
        </w:numPr>
        <w:rPr>
          <w:rFonts w:ascii="Arial" w:cs="Arial" w:eastAsia="Arial" w:hAnsi="Arial"/>
          <w:sz w:val="19"/>
          <w:szCs w:val="19"/>
          <w:color w:val="auto"/>
        </w:rPr>
      </w:pPr>
      <w:r>
        <w:rPr>
          <w:rFonts w:ascii="Arial" w:cs="Arial" w:eastAsia="Arial" w:hAnsi="Arial"/>
          <w:sz w:val="19"/>
          <w:szCs w:val="19"/>
          <w:color w:val="auto"/>
        </w:rPr>
        <w:t>Complies with Executive's obligations under Section 7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3</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000"/>
          </w:cols>
          <w:pgMar w:left="360" w:top="1160" w:right="539" w:bottom="1440" w:gutter="0" w:footer="0" w:header="0"/>
        </w:sectPr>
      </w:pPr>
    </w:p>
    <w:bookmarkStart w:id="124" w:name="page125"/>
    <w:bookmarkEnd w:id="124"/>
    <w:p>
      <w:pPr>
        <w:ind w:left="780" w:hanging="634"/>
        <w:spacing w:after="0"/>
        <w:tabs>
          <w:tab w:leader="none" w:pos="7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Has returned all property of the Company in Executive's possession; and</w:t>
      </w:r>
    </w:p>
    <w:p>
      <w:pPr>
        <w:spacing w:after="0" w:line="233" w:lineRule="exact"/>
        <w:rPr>
          <w:rFonts w:ascii="Arial" w:cs="Arial" w:eastAsia="Arial" w:hAnsi="Arial"/>
          <w:sz w:val="19"/>
          <w:szCs w:val="19"/>
          <w:color w:val="auto"/>
        </w:rPr>
      </w:pPr>
    </w:p>
    <w:p>
      <w:pPr>
        <w:ind w:left="140" w:right="20"/>
        <w:spacing w:after="0" w:line="294" w:lineRule="auto"/>
        <w:tabs>
          <w:tab w:leader="none" w:pos="585"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requested by the Board, has resigned as a member of the Board and as a member of the boards of directors of all subsidiaries of the Company, to the extent applicable.</w:t>
      </w:r>
    </w:p>
    <w:p>
      <w:pPr>
        <w:spacing w:after="0" w:line="196" w:lineRule="exact"/>
        <w:rPr>
          <w:sz w:val="20"/>
          <w:szCs w:val="20"/>
          <w:color w:val="auto"/>
        </w:rPr>
      </w:pPr>
    </w:p>
    <w:p>
      <w:pPr>
        <w:jc w:val="both"/>
        <w:ind w:left="140" w:firstLine="4"/>
        <w:spacing w:after="0" w:line="301" w:lineRule="auto"/>
        <w:rPr>
          <w:sz w:val="20"/>
          <w:szCs w:val="20"/>
          <w:color w:val="auto"/>
        </w:rPr>
      </w:pPr>
      <w:r>
        <w:rPr>
          <w:rFonts w:ascii="Arial" w:cs="Arial" w:eastAsia="Arial" w:hAnsi="Arial"/>
          <w:sz w:val="18"/>
          <w:szCs w:val="18"/>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6.</w:t>
      </w:r>
    </w:p>
    <w:p>
      <w:pPr>
        <w:spacing w:after="0" w:line="173" w:lineRule="exact"/>
        <w:rPr>
          <w:sz w:val="20"/>
          <w:szCs w:val="20"/>
          <w:color w:val="auto"/>
        </w:rPr>
      </w:pPr>
    </w:p>
    <w:p>
      <w:pPr>
        <w:jc w:val="both"/>
        <w:ind w:left="140"/>
        <w:spacing w:after="0" w:line="279" w:lineRule="auto"/>
        <w:tabs>
          <w:tab w:leader="none" w:pos="59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Severance Pay in the Absence of a Change in Control. </w:t>
      </w:r>
      <w:r>
        <w:rPr>
          <w:rFonts w:ascii="Arial" w:cs="Arial" w:eastAsia="Arial" w:hAnsi="Arial"/>
          <w:sz w:val="18"/>
          <w:szCs w:val="18"/>
          <w:color w:val="auto"/>
        </w:rPr>
        <w:t>If, during the term of this Agreement and not at a time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(c) below, Executive resigns his Employment for Good Reason and a Separation occurs or the Company terminates Executive's Employment with the Company for a reason other than death, Cause or Permanent Disability and a Separation occurs, then (i) the Company shall pay Executive a lump sum severance payment equal to (A) one and one-half times the sum of (1) his Base Salary in effect at the time of the termination of Employment plus, (2) his average annual bonus based on the actual amounts received in the immediately preceding two years, and (B) the product of (A) 24 and (B) the monthly amount the Company was paying on behalf of Executive and his eligible dependents with respect to the Company's health insurance plans in which Executive and his eligible dependents were participants as of the date of Separation. In the event that Executive Employment is terminated for a reason other than death, Cause or Permanent Disability or Executive resigns his Employment for Good Reason under this Subsection</w:t>
      </w:r>
    </w:p>
    <w:p>
      <w:pPr>
        <w:spacing w:after="0" w:line="7" w:lineRule="exact"/>
        <w:rPr>
          <w:rFonts w:ascii="Arial" w:cs="Arial" w:eastAsia="Arial" w:hAnsi="Arial"/>
          <w:sz w:val="18"/>
          <w:szCs w:val="18"/>
          <w:color w:val="auto"/>
        </w:rPr>
      </w:pPr>
    </w:p>
    <w:p>
      <w:pPr>
        <w:jc w:val="both"/>
        <w:ind w:left="120" w:firstLine="14"/>
        <w:spacing w:after="0" w:line="284" w:lineRule="auto"/>
        <w:tabs>
          <w:tab w:leader="none" w:pos="5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the payment of two full-year annual bonuses to Executive, then in lieu of using the average bonus received in the immediately preceding two years for the above calculation, such calculation shall use his Target Bonus in the year of termination if such termination under this Subsection (b) occurs prior to the payment of the first full-year annual bonus to Executive and an average of the Target Bonus and the first year bonus actually paid to Executive if such termination under this Subsection (b) occurs after the payment of the first full-year annual bonus but prior to the payment of two full-year bonuses to Executive (such severance bonus amount described in clause (i)(B) above as modified by this sentence, the “Severance Bonus”).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88" w:lineRule="exact"/>
        <w:rPr>
          <w:rFonts w:ascii="Arial" w:cs="Arial" w:eastAsia="Arial" w:hAnsi="Arial"/>
          <w:sz w:val="18"/>
          <w:szCs w:val="18"/>
          <w:color w:val="auto"/>
        </w:rPr>
      </w:pPr>
    </w:p>
    <w:p>
      <w:pPr>
        <w:jc w:val="both"/>
        <w:ind w:left="120" w:firstLine="7"/>
        <w:spacing w:after="0" w:line="266" w:lineRule="auto"/>
        <w:tabs>
          <w:tab w:leader="none" w:pos="587"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 xml:space="preserve">Severance Pay in Connection with a Change in Control. </w:t>
      </w:r>
      <w:r>
        <w:rPr>
          <w:rFonts w:ascii="Arial" w:cs="Arial" w:eastAsia="Arial" w:hAnsi="Arial"/>
          <w:sz w:val="19"/>
          <w:szCs w:val="19"/>
          <w:color w:val="auto"/>
        </w:rPr>
        <w:t>If, during the term of this Agreement and within (i) 120 days prior to or</w:t>
      </w:r>
      <w:r>
        <w:rPr>
          <w:rFonts w:ascii="Arial" w:cs="Arial" w:eastAsia="Arial" w:hAnsi="Arial"/>
          <w:sz w:val="19"/>
          <w:szCs w:val="19"/>
          <w:b w:val="1"/>
          <w:bCs w:val="1"/>
          <w:color w:val="auto"/>
        </w:rPr>
        <w:t xml:space="preserve"> </w:t>
      </w:r>
      <w:r>
        <w:rPr>
          <w:rFonts w:ascii="Arial" w:cs="Arial" w:eastAsia="Arial" w:hAnsi="Arial"/>
          <w:sz w:val="19"/>
          <w:szCs w:val="19"/>
          <w:color w:val="auto"/>
        </w:rPr>
        <w:t>on or (ii) 24 months following a Change in Control, Executive is subject to an Involuntary Termination, then (i) the Company shall pay Executive a lump sum severance payment equal to (x) two times his Base Salary in effect at the time of the termination of Employment plus two times the Severance Bonus and (y)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4</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000"/>
          </w:cols>
          <w:pgMar w:left="360" w:top="1120" w:right="539" w:bottom="1440" w:gutter="0" w:footer="0" w:header="0"/>
        </w:sectPr>
      </w:pPr>
    </w:p>
    <w:bookmarkStart w:id="125" w:name="page126"/>
    <w:bookmarkEnd w:id="125"/>
    <w:p>
      <w:pPr>
        <w:jc w:val="both"/>
        <w:ind w:left="140"/>
        <w:spacing w:after="0" w:line="267" w:lineRule="auto"/>
        <w:tabs>
          <w:tab w:leader="none" w:pos="601"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Commencement of Severance Payments. </w:t>
      </w:r>
      <w:r>
        <w:rPr>
          <w:rFonts w:ascii="Arial" w:cs="Arial" w:eastAsia="Arial" w:hAnsi="Arial"/>
          <w:sz w:val="19"/>
          <w:szCs w:val="19"/>
          <w:color w:val="auto"/>
        </w:rPr>
        <w:t>Payment of the severance pay provided for under this Agreement will be made no later</w:t>
      </w:r>
      <w:r>
        <w:rPr>
          <w:rFonts w:ascii="Arial" w:cs="Arial" w:eastAsia="Arial" w:hAnsi="Arial"/>
          <w:sz w:val="19"/>
          <w:szCs w:val="19"/>
          <w:b w:val="1"/>
          <w:bCs w:val="1"/>
          <w:color w:val="auto"/>
        </w:rPr>
        <w:t xml:space="preserve"> </w:t>
      </w:r>
      <w:r>
        <w:rPr>
          <w:rFonts w:ascii="Arial" w:cs="Arial" w:eastAsia="Arial" w:hAnsi="Arial"/>
          <w:sz w:val="19"/>
          <w:szCs w:val="19"/>
          <w:color w:val="auto"/>
        </w:rPr>
        <w:t>than the 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S(a)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ensure that any such payments due to Executive are paid promptly after such Good Reason arises.</w:t>
      </w:r>
    </w:p>
    <w:p>
      <w:pPr>
        <w:spacing w:after="0" w:line="201" w:lineRule="exact"/>
        <w:rPr>
          <w:rFonts w:ascii="Arial" w:cs="Arial" w:eastAsia="Arial" w:hAnsi="Arial"/>
          <w:sz w:val="19"/>
          <w:szCs w:val="19"/>
          <w:color w:val="auto"/>
        </w:rPr>
      </w:pPr>
    </w:p>
    <w:p>
      <w:pPr>
        <w:jc w:val="both"/>
        <w:ind w:left="120" w:firstLine="13"/>
        <w:spacing w:after="0" w:line="304" w:lineRule="auto"/>
        <w:tabs>
          <w:tab w:leader="none" w:pos="591" w:val="left"/>
        </w:tabs>
        <w:numPr>
          <w:ilvl w:val="1"/>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This Agreement shall be construed consistently with the intent that all payments hereunder shall be exempt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Section 409A of the Code by reason of the "short-term" deferral exemption or a different exemption. Each payment made under this Agreement shall be treated as a separate payment and the right to a series of installment payments under this Agreement is to be treated as a right to a series of separate payments. If the Company determines that Executive is a "specified employee" under Section 409A(a)(2)(B)(i) of the Code at the time of his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73" w:lineRule="exact"/>
        <w:rPr>
          <w:rFonts w:ascii="Arial" w:cs="Arial" w:eastAsia="Arial" w:hAnsi="Arial"/>
          <w:sz w:val="17"/>
          <w:szCs w:val="17"/>
          <w:color w:val="auto"/>
        </w:rPr>
      </w:pPr>
    </w:p>
    <w:p>
      <w:pPr>
        <w:jc w:val="both"/>
        <w:ind w:left="120" w:firstLine="13"/>
        <w:spacing w:after="0" w:line="275" w:lineRule="auto"/>
        <w:tabs>
          <w:tab w:leader="none" w:pos="593"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2B2826"/>
        </w:rPr>
        <w:t xml:space="preserve">Mitigation. </w:t>
      </w:r>
      <w:r>
        <w:rPr>
          <w:rFonts w:ascii="Arial" w:cs="Arial" w:eastAsia="Arial" w:hAnsi="Arial"/>
          <w:sz w:val="19"/>
          <w:szCs w:val="19"/>
          <w:color w:val="2B2826"/>
        </w:rPr>
        <w:t>If Executive's employment terminates for any reason entitling Executive to receive separation payments and/or benefits</w:t>
      </w:r>
      <w:r>
        <w:rPr>
          <w:rFonts w:ascii="Arial" w:cs="Arial" w:eastAsia="Arial" w:hAnsi="Arial"/>
          <w:sz w:val="19"/>
          <w:szCs w:val="19"/>
          <w:b w:val="1"/>
          <w:bCs w:val="1"/>
          <w:color w:val="2B2826"/>
        </w:rPr>
        <w:t xml:space="preserve"> </w:t>
      </w:r>
      <w:r>
        <w:rPr>
          <w:rFonts w:ascii="Arial" w:cs="Arial" w:eastAsia="Arial" w:hAnsi="Arial"/>
          <w:sz w:val="19"/>
          <w:szCs w:val="19"/>
          <w:color w:val="2B2826"/>
        </w:rPr>
        <w:t>under this Agreement, then in no event shall Executive be obligated to seek other employment or take any other action by way of mitigation of the amounts payable to Executive under this Agreement, and such amount shall not be reduced regardless of whether Executive obtains other employment or becomes self-employed.</w:t>
      </w:r>
    </w:p>
    <w:p>
      <w:pPr>
        <w:spacing w:after="0" w:line="181" w:lineRule="exact"/>
        <w:rPr>
          <w:rFonts w:ascii="Arial" w:cs="Arial" w:eastAsia="Arial" w:hAnsi="Arial"/>
          <w:sz w:val="19"/>
          <w:szCs w:val="19"/>
          <w:color w:val="auto"/>
        </w:rPr>
      </w:pPr>
    </w:p>
    <w:p>
      <w:pPr>
        <w:ind w:left="760" w:hanging="626"/>
        <w:spacing w:after="0"/>
        <w:tabs>
          <w:tab w:leader="none" w:pos="76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Protective Covenants.</w:t>
      </w:r>
    </w:p>
    <w:p>
      <w:pPr>
        <w:spacing w:after="0" w:line="234" w:lineRule="exact"/>
        <w:rPr>
          <w:sz w:val="20"/>
          <w:szCs w:val="20"/>
          <w:color w:val="auto"/>
        </w:rPr>
      </w:pPr>
    </w:p>
    <w:p>
      <w:pPr>
        <w:jc w:val="both"/>
        <w:ind w:left="120" w:firstLine="8"/>
        <w:spacing w:after="0" w:line="269" w:lineRule="auto"/>
        <w:tabs>
          <w:tab w:leader="none" w:pos="588"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As one of the Company's executive and management personnel and officer, Executive has acquired extensive</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knowledge and confidential information concerning the business of the Company, including certain trade secrets the Company wishes to protect. Executive further acknowledges that during his employment he will have access to and knowledge of Proprietary Information. To protect the Company's Proprietary Information, and in consideration of this Agreement, Executive agrees that during his employment with the Company and for a period of twelve (12) months after the termination of Executive's employment with the Company for any reason, whether under this Agreement or otherwise (the ·'Restricted Period"), he will not without the Company's approval (which shall not be unreasonably withheld),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5</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000"/>
          </w:cols>
          <w:pgMar w:left="360" w:top="1074" w:right="539" w:bottom="1440" w:gutter="0" w:footer="0" w:header="0"/>
        </w:sectPr>
      </w:pPr>
    </w:p>
    <w:bookmarkStart w:id="126" w:name="page127"/>
    <w:bookmarkEnd w:id="126"/>
    <w:p>
      <w:pPr>
        <w:jc w:val="both"/>
        <w:ind w:left="120" w:right="40" w:firstLine="7"/>
        <w:spacing w:after="0" w:line="269" w:lineRule="auto"/>
        <w:rPr>
          <w:sz w:val="20"/>
          <w:szCs w:val="20"/>
          <w:color w:val="auto"/>
        </w:rPr>
      </w:pPr>
      <w:r>
        <w:rPr>
          <w:rFonts w:ascii="Arial" w:cs="Arial" w:eastAsia="Arial" w:hAnsi="Arial"/>
          <w:sz w:val="18"/>
          <w:szCs w:val="18"/>
          <w:color w:val="auto"/>
        </w:rPr>
        <w:t>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provided that the Executive shall not be deemed to be engaged in or participating in the financing, operation, management or control of a Restricted Business if the Restricted Business constitutes less than 25 percent by revenue of the person, firm, corporation or business with which Executive is involved and the Executive is not personally directly engaged in the Restricted Business. It is agreed that ownership of (i) no more than one percent (l %) of the outstanding voting stock of a publicly traded corporation or (ii) any stock he presently owns shall not constitute a violation of this Section.</w:t>
      </w:r>
    </w:p>
    <w:p>
      <w:pPr>
        <w:spacing w:after="0" w:line="152" w:lineRule="exact"/>
        <w:rPr>
          <w:sz w:val="20"/>
          <w:szCs w:val="20"/>
          <w:color w:val="auto"/>
        </w:rPr>
      </w:pPr>
    </w:p>
    <w:p>
      <w:pPr>
        <w:jc w:val="both"/>
        <w:ind w:left="120" w:right="20" w:firstLine="7"/>
        <w:spacing w:after="0" w:line="267" w:lineRule="auto"/>
        <w:tabs>
          <w:tab w:leader="none" w:pos="585"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Non-Solicitation and Non-Servicing. </w:t>
      </w:r>
      <w:r>
        <w:rPr>
          <w:rFonts w:ascii="Arial" w:cs="Arial" w:eastAsia="Arial" w:hAnsi="Arial"/>
          <w:sz w:val="19"/>
          <w:szCs w:val="19"/>
          <w:color w:val="auto"/>
        </w:rPr>
        <w:t>During his employment with the Company and continuing for a period of twelve (12) months</w:t>
      </w:r>
      <w:r>
        <w:rPr>
          <w:rFonts w:ascii="Arial" w:cs="Arial" w:eastAsia="Arial" w:hAnsi="Arial"/>
          <w:sz w:val="19"/>
          <w:szCs w:val="19"/>
          <w:b w:val="1"/>
          <w:bCs w:val="1"/>
          <w:color w:val="auto"/>
        </w:rPr>
        <w:t xml:space="preserve"> </w:t>
      </w:r>
      <w:r>
        <w:rPr>
          <w:rFonts w:ascii="Arial" w:cs="Arial" w:eastAsia="Arial" w:hAnsi="Arial"/>
          <w:sz w:val="19"/>
          <w:szCs w:val="19"/>
          <w:color w:val="auto"/>
        </w:rPr>
        <w:t>after termination of Executive's employment with the Company for any reason, whether under this Agreement or otherwise, Executive shall not directly or indirectly, personally or through others,</w:t>
      </w:r>
    </w:p>
    <w:p>
      <w:pPr>
        <w:spacing w:after="0" w:line="168" w:lineRule="exact"/>
        <w:rPr>
          <w:sz w:val="20"/>
          <w:szCs w:val="20"/>
          <w:color w:val="auto"/>
        </w:rPr>
      </w:pPr>
    </w:p>
    <w:p>
      <w:pPr>
        <w:jc w:val="both"/>
        <w:ind w:left="140" w:right="20" w:hanging="8"/>
        <w:spacing w:after="0" w:line="256" w:lineRule="auto"/>
        <w:tabs>
          <w:tab w:leader="none" w:pos="603" w:val="left"/>
        </w:tabs>
        <w:numPr>
          <w:ilvl w:val="0"/>
          <w:numId w:val="64"/>
        </w:numPr>
        <w:rPr>
          <w:rFonts w:ascii="Arial" w:cs="Arial" w:eastAsia="Arial" w:hAnsi="Arial"/>
          <w:sz w:val="19"/>
          <w:szCs w:val="19"/>
          <w:color w:val="auto"/>
        </w:rPr>
      </w:pPr>
      <w:r>
        <w:rPr>
          <w:rFonts w:ascii="Arial" w:cs="Arial" w:eastAsia="Arial" w:hAnsi="Arial"/>
          <w:sz w:val="19"/>
          <w:szCs w:val="19"/>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64" w:lineRule="exact"/>
        <w:rPr>
          <w:rFonts w:ascii="Arial" w:cs="Arial" w:eastAsia="Arial" w:hAnsi="Arial"/>
          <w:sz w:val="19"/>
          <w:szCs w:val="19"/>
          <w:color w:val="auto"/>
        </w:rPr>
      </w:pPr>
    </w:p>
    <w:p>
      <w:pPr>
        <w:jc w:val="both"/>
        <w:ind w:left="140" w:right="20" w:hanging="8"/>
        <w:spacing w:after="0" w:line="252" w:lineRule="auto"/>
        <w:tabs>
          <w:tab w:leader="none" w:pos="604" w:val="left"/>
        </w:tabs>
        <w:numPr>
          <w:ilvl w:val="0"/>
          <w:numId w:val="64"/>
        </w:numPr>
        <w:rPr>
          <w:rFonts w:ascii="Arial" w:cs="Arial" w:eastAsia="Arial" w:hAnsi="Arial"/>
          <w:sz w:val="19"/>
          <w:szCs w:val="19"/>
          <w:color w:val="auto"/>
        </w:rPr>
      </w:pPr>
      <w:r>
        <w:rPr>
          <w:rFonts w:ascii="Arial" w:cs="Arial" w:eastAsia="Arial" w:hAnsi="Arial"/>
          <w:sz w:val="19"/>
          <w:szCs w:val="19"/>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his, her or its contractual or other relationship with the Company; provided, however, this subparagraph (ii) shall not apply with respect to (I) during the first six (6) months after Executive's Separation, up to two service providers of the Company who report in to Executive's organization, were recruited by Executive and had worked with Executive in prior employment, plus Executive's administrative assistant, and (II) during the next six (6) month period thereafter, up to two service providers of the Company who report in to Executive's organization, were recruited by Executive and had worked with Executive in prior employment; or</w:t>
      </w:r>
    </w:p>
    <w:p>
      <w:pPr>
        <w:spacing w:after="0" w:line="185" w:lineRule="exact"/>
        <w:rPr>
          <w:rFonts w:ascii="Arial" w:cs="Arial" w:eastAsia="Arial" w:hAnsi="Arial"/>
          <w:sz w:val="19"/>
          <w:szCs w:val="19"/>
          <w:color w:val="auto"/>
        </w:rPr>
      </w:pPr>
    </w:p>
    <w:p>
      <w:pPr>
        <w:ind w:left="600" w:hanging="468"/>
        <w:spacing w:after="0"/>
        <w:tabs>
          <w:tab w:leader="none" w:pos="6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render to or for any Client any services of the type rendered by the Company; or</w:t>
      </w:r>
    </w:p>
    <w:p>
      <w:pPr>
        <w:spacing w:after="0" w:line="206" w:lineRule="exact"/>
        <w:rPr>
          <w:rFonts w:ascii="Arial" w:cs="Arial" w:eastAsia="Arial" w:hAnsi="Arial"/>
          <w:sz w:val="19"/>
          <w:szCs w:val="19"/>
          <w:color w:val="auto"/>
        </w:rPr>
      </w:pPr>
    </w:p>
    <w:p>
      <w:pPr>
        <w:jc w:val="both"/>
        <w:ind w:left="140" w:right="20" w:hanging="8"/>
        <w:spacing w:after="0" w:line="256" w:lineRule="auto"/>
        <w:tabs>
          <w:tab w:leader="none" w:pos="607"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subject to the exceptions in subparagraph (ii) above, 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induce or attempt to persuade any employee of or consultant to the Company to leave the employ of the Company or to breach any service arrangement with the Company.</w:t>
      </w:r>
    </w:p>
    <w:p>
      <w:pPr>
        <w:spacing w:after="0" w:line="211" w:lineRule="exact"/>
        <w:rPr>
          <w:rFonts w:ascii="Arial" w:cs="Arial" w:eastAsia="Arial" w:hAnsi="Arial"/>
          <w:sz w:val="19"/>
          <w:szCs w:val="19"/>
          <w:color w:val="auto"/>
        </w:rPr>
      </w:pPr>
    </w:p>
    <w:p>
      <w:pPr>
        <w:ind w:left="160" w:hanging="1"/>
        <w:spacing w:after="0" w:line="286" w:lineRule="auto"/>
        <w:tabs>
          <w:tab w:leader="none" w:pos="595" w:val="left"/>
        </w:tabs>
        <w:numPr>
          <w:ilvl w:val="1"/>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Non-Disclosure. </w:t>
      </w:r>
      <w:r>
        <w:rPr>
          <w:rFonts w:ascii="Arial" w:cs="Arial" w:eastAsia="Arial" w:hAnsi="Arial"/>
          <w:sz w:val="19"/>
          <w:szCs w:val="19"/>
          <w:color w:val="auto"/>
        </w:rPr>
        <w:t>Executive has entered into a Proprietary Information and Inventions Agreement with the Company, which is</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6</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020"/>
          </w:cols>
          <w:pgMar w:left="360" w:top="1160" w:right="519" w:bottom="1440" w:gutter="0" w:footer="0" w:header="0"/>
        </w:sectPr>
      </w:pPr>
    </w:p>
    <w:bookmarkStart w:id="127" w:name="page128"/>
    <w:bookmarkEnd w:id="127"/>
    <w:p>
      <w:pPr>
        <w:jc w:val="both"/>
        <w:ind w:left="180" w:right="40" w:firstLine="5"/>
        <w:spacing w:after="0" w:line="286" w:lineRule="auto"/>
        <w:tabs>
          <w:tab w:leader="none" w:pos="59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Reasonable. </w:t>
      </w:r>
      <w:r>
        <w:rPr>
          <w:rFonts w:ascii="Arial" w:cs="Arial" w:eastAsia="Arial" w:hAnsi="Arial"/>
          <w:sz w:val="18"/>
          <w:szCs w:val="18"/>
          <w:color w:val="auto"/>
        </w:rPr>
        <w:t>Executive agrees and acknowledges that the time limitation on the restrictions in this Section 7,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scope, is reasonable. Executive also acknowledges and agrees that 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61" w:lineRule="exact"/>
        <w:rPr>
          <w:sz w:val="20"/>
          <w:szCs w:val="20"/>
          <w:color w:val="auto"/>
        </w:rPr>
      </w:pPr>
    </w:p>
    <w:p>
      <w:pPr>
        <w:ind w:left="840" w:hanging="647"/>
        <w:spacing w:after="0"/>
        <w:tabs>
          <w:tab w:leader="none" w:pos="84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Successors.</w:t>
      </w:r>
    </w:p>
    <w:p>
      <w:pPr>
        <w:spacing w:after="0" w:line="246" w:lineRule="exact"/>
        <w:rPr>
          <w:rFonts w:ascii="Arial" w:cs="Arial" w:eastAsia="Arial" w:hAnsi="Arial"/>
          <w:sz w:val="19"/>
          <w:szCs w:val="19"/>
          <w:color w:val="auto"/>
        </w:rPr>
      </w:pPr>
    </w:p>
    <w:p>
      <w:pPr>
        <w:jc w:val="both"/>
        <w:ind w:left="200" w:right="40" w:hanging="2"/>
        <w:spacing w:after="0" w:line="275" w:lineRule="auto"/>
        <w:tabs>
          <w:tab w:leader="none" w:pos="607" w:val="left"/>
        </w:tabs>
        <w:numPr>
          <w:ilvl w:val="1"/>
          <w:numId w:val="66"/>
        </w:numPr>
        <w:rPr>
          <w:rFonts w:ascii="Arial" w:cs="Arial" w:eastAsia="Arial" w:hAnsi="Arial"/>
          <w:sz w:val="19"/>
          <w:szCs w:val="19"/>
          <w:color w:val="auto"/>
        </w:rPr>
      </w:pPr>
      <w:r>
        <w:rPr>
          <w:rFonts w:ascii="Arial" w:cs="Arial" w:eastAsia="Arial" w:hAnsi="Arial"/>
          <w:sz w:val="19"/>
          <w:szCs w:val="19"/>
          <w:b w:val="1"/>
          <w:bCs w:val="1"/>
          <w:color w:val="auto"/>
        </w:rPr>
        <w:t xml:space="preserve">Company's Successors. </w:t>
      </w:r>
      <w:r>
        <w:rPr>
          <w:rFonts w:ascii="Arial" w:cs="Arial" w:eastAsia="Arial" w:hAnsi="Arial"/>
          <w:sz w:val="19"/>
          <w:szCs w:val="19"/>
          <w:color w:val="auto"/>
        </w:rPr>
        <w:t>This Agreement shall be binding upon any successor (whether direct or indirect and whether by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95" w:lineRule="exact"/>
        <w:rPr>
          <w:rFonts w:ascii="Arial" w:cs="Arial" w:eastAsia="Arial" w:hAnsi="Arial"/>
          <w:sz w:val="19"/>
          <w:szCs w:val="19"/>
          <w:color w:val="auto"/>
        </w:rPr>
      </w:pPr>
    </w:p>
    <w:p>
      <w:pPr>
        <w:ind w:left="200" w:right="40" w:hanging="2"/>
        <w:spacing w:after="0" w:line="331" w:lineRule="auto"/>
        <w:tabs>
          <w:tab w:leader="none" w:pos="598"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Employee's Successors. </w:t>
      </w:r>
      <w:r>
        <w:rPr>
          <w:rFonts w:ascii="Arial" w:cs="Arial" w:eastAsia="Arial" w:hAnsi="Arial"/>
          <w:sz w:val="18"/>
          <w:szCs w:val="18"/>
          <w:color w:val="auto"/>
        </w:rPr>
        <w:t>This Agreement and all rights of Executive hereunder shall inure to the benefit of, and be enforceable by,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personal or legal representatives, executors, administrators, successors, heirs, distributees, devisees, and legatees.</w:t>
      </w:r>
    </w:p>
    <w:p>
      <w:pPr>
        <w:spacing w:after="0" w:line="13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9"/>
          <w:szCs w:val="19"/>
          <w:color w:val="auto"/>
        </w:rPr>
        <w:t>9.</w:t>
      </w:r>
      <w:r>
        <w:rPr>
          <w:rFonts w:ascii="Arial" w:cs="Arial" w:eastAsia="Arial" w:hAnsi="Arial"/>
          <w:sz w:val="16"/>
          <w:szCs w:val="16"/>
          <w:b w:val="1"/>
          <w:bCs w:val="1"/>
          <w:color w:val="auto"/>
        </w:rPr>
        <w:t>Taxes.</w:t>
      </w:r>
    </w:p>
    <w:p>
      <w:pPr>
        <w:spacing w:after="0" w:line="234" w:lineRule="exact"/>
        <w:rPr>
          <w:sz w:val="20"/>
          <w:szCs w:val="20"/>
          <w:color w:val="auto"/>
        </w:rPr>
      </w:pPr>
    </w:p>
    <w:p>
      <w:pPr>
        <w:ind w:left="220" w:right="20" w:hanging="16"/>
        <w:spacing w:after="0" w:line="301" w:lineRule="auto"/>
        <w:tabs>
          <w:tab w:leader="none" w:pos="596"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 xml:space="preserve">Withholding Taxes. </w:t>
      </w:r>
      <w:r>
        <w:rPr>
          <w:rFonts w:ascii="Arial" w:cs="Arial" w:eastAsia="Arial" w:hAnsi="Arial"/>
          <w:sz w:val="19"/>
          <w:szCs w:val="19"/>
          <w:color w:val="auto"/>
        </w:rPr>
        <w:t>All payments made under this Agreement shall be subject to reduction to reflect applicable withholding and</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taxes or other deductions required to be withheld by law.</w:t>
      </w:r>
    </w:p>
    <w:p>
      <w:pPr>
        <w:spacing w:after="0" w:line="183" w:lineRule="exact"/>
        <w:rPr>
          <w:rFonts w:ascii="Arial" w:cs="Arial" w:eastAsia="Arial" w:hAnsi="Arial"/>
          <w:sz w:val="19"/>
          <w:szCs w:val="19"/>
          <w:color w:val="auto"/>
        </w:rPr>
      </w:pPr>
    </w:p>
    <w:p>
      <w:pPr>
        <w:jc w:val="both"/>
        <w:ind w:left="220" w:right="20" w:hanging="10"/>
        <w:spacing w:after="0" w:line="329" w:lineRule="auto"/>
        <w:tabs>
          <w:tab w:leader="none" w:pos="605"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Tax Advice. </w:t>
      </w:r>
      <w:r>
        <w:rPr>
          <w:rFonts w:ascii="Arial" w:cs="Arial" w:eastAsia="Arial" w:hAnsi="Arial"/>
          <w:sz w:val="17"/>
          <w:szCs w:val="17"/>
          <w:color w:val="auto"/>
        </w:rPr>
        <w:t>Executive is encouraged to obtain his own tax advice regarding his compensation from the Company. Executive agrees</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53" w:lineRule="exact"/>
        <w:rPr>
          <w:rFonts w:ascii="Arial" w:cs="Arial" w:eastAsia="Arial" w:hAnsi="Arial"/>
          <w:sz w:val="17"/>
          <w:szCs w:val="17"/>
          <w:color w:val="auto"/>
        </w:rPr>
      </w:pPr>
    </w:p>
    <w:p>
      <w:pPr>
        <w:jc w:val="both"/>
        <w:ind w:left="220" w:hanging="3"/>
        <w:spacing w:after="0" w:line="284" w:lineRule="auto"/>
        <w:tabs>
          <w:tab w:leader="none" w:pos="60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Parachute Taxes. </w:t>
      </w:r>
      <w:r>
        <w:rPr>
          <w:rFonts w:ascii="Arial" w:cs="Arial" w:eastAsia="Arial" w:hAnsi="Arial"/>
          <w:sz w:val="18"/>
          <w:szCs w:val="18"/>
          <w:color w:val="auto"/>
        </w:rPr>
        <w:t>Notwithstanding anything in this Agreement to the contrary, if it shall be determined that any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by the Company to or for the benefit of Executive, whether paid or payable or distributed or distributable pursuant to the terms of this Agreement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if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7</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100"/>
          </w:cols>
          <w:pgMar w:left="360" w:top="1193" w:right="439" w:bottom="1440" w:gutter="0" w:footer="0" w:header="0"/>
        </w:sectPr>
      </w:pPr>
    </w:p>
    <w:bookmarkStart w:id="128" w:name="page129"/>
    <w:bookmarkEnd w:id="128"/>
    <w:p>
      <w:pPr>
        <w:jc w:val="both"/>
        <w:ind w:left="120" w:firstLine="11"/>
        <w:spacing w:after="0" w:line="279" w:lineRule="auto"/>
        <w:rPr>
          <w:sz w:val="20"/>
          <w:szCs w:val="20"/>
          <w:color w:val="auto"/>
        </w:rPr>
      </w:pPr>
      <w:r>
        <w:rPr>
          <w:rFonts w:ascii="Arial" w:cs="Arial" w:eastAsia="Arial" w:hAnsi="Arial"/>
          <w:sz w:val="17"/>
          <w:szCs w:val="17"/>
          <w:color w:val="auto"/>
        </w:rPr>
        <w:t>restrictive covenants in effect for Executive pursuant to Section 7 of this Agreement, and the amount of his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w:t>
      </w:r>
    </w:p>
    <w:p>
      <w:pPr>
        <w:spacing w:after="0" w:line="5" w:lineRule="exact"/>
        <w:rPr>
          <w:sz w:val="20"/>
          <w:szCs w:val="20"/>
          <w:color w:val="auto"/>
        </w:rPr>
      </w:pPr>
    </w:p>
    <w:p>
      <w:pPr>
        <w:ind w:left="160" w:right="7640" w:hanging="38"/>
        <w:spacing w:after="0" w:line="455" w:lineRule="auto"/>
        <w:tabs>
          <w:tab w:leader="none" w:pos="38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shall be borne solely by the Company. l 0. </w:t>
      </w:r>
      <w:r>
        <w:rPr>
          <w:rFonts w:ascii="Arial" w:cs="Arial" w:eastAsia="Arial" w:hAnsi="Arial"/>
          <w:sz w:val="19"/>
          <w:szCs w:val="19"/>
          <w:b w:val="1"/>
          <w:bCs w:val="1"/>
          <w:color w:val="auto"/>
        </w:rPr>
        <w:t>Definitions.</w:t>
      </w:r>
    </w:p>
    <w:p>
      <w:pPr>
        <w:ind w:left="760" w:hanging="627"/>
        <w:spacing w:after="0"/>
        <w:tabs>
          <w:tab w:leader="none" w:pos="760" w:val="left"/>
        </w:tabs>
        <w:numPr>
          <w:ilvl w:val="1"/>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For all purposes under this Agreement, "Cause" shall mean:</w:t>
      </w:r>
    </w:p>
    <w:p>
      <w:pPr>
        <w:spacing w:after="0" w:line="240" w:lineRule="exact"/>
        <w:rPr>
          <w:sz w:val="20"/>
          <w:szCs w:val="20"/>
          <w:color w:val="auto"/>
        </w:rPr>
      </w:pPr>
    </w:p>
    <w:p>
      <w:pPr>
        <w:ind w:left="140" w:hanging="1"/>
        <w:spacing w:after="0" w:line="267" w:lineRule="auto"/>
        <w:tabs>
          <w:tab w:leader="none" w:pos="603" w:val="left"/>
        </w:tabs>
        <w:numPr>
          <w:ilvl w:val="0"/>
          <w:numId w:val="69"/>
        </w:numPr>
        <w:rPr>
          <w:rFonts w:ascii="Arial" w:cs="Arial" w:eastAsia="Arial" w:hAnsi="Arial"/>
          <w:sz w:val="20"/>
          <w:szCs w:val="20"/>
          <w:color w:val="525252"/>
        </w:rPr>
      </w:pPr>
      <w:r>
        <w:rPr>
          <w:rFonts w:ascii="Arial" w:cs="Arial" w:eastAsia="Arial" w:hAnsi="Arial"/>
          <w:sz w:val="19"/>
          <w:szCs w:val="19"/>
          <w:color w:val="auto"/>
        </w:rPr>
        <w:t>An intentional and unauthorized use or disclosure by Executive of the Company's confidential information or trade secrets, which use, or disclosure causes material harm to the Company.</w:t>
      </w:r>
    </w:p>
    <w:p>
      <w:pPr>
        <w:spacing w:after="0" w:line="205" w:lineRule="exact"/>
        <w:rPr>
          <w:rFonts w:ascii="Arial" w:cs="Arial" w:eastAsia="Arial" w:hAnsi="Arial"/>
          <w:sz w:val="20"/>
          <w:szCs w:val="20"/>
          <w:color w:val="525252"/>
        </w:rPr>
      </w:pPr>
    </w:p>
    <w:p>
      <w:pPr>
        <w:ind w:left="600" w:hanging="460"/>
        <w:spacing w:after="0"/>
        <w:tabs>
          <w:tab w:leader="none" w:pos="600" w:val="left"/>
        </w:tabs>
        <w:numPr>
          <w:ilvl w:val="0"/>
          <w:numId w:val="69"/>
        </w:numPr>
        <w:rPr>
          <w:rFonts w:ascii="Arial" w:cs="Arial" w:eastAsia="Arial" w:hAnsi="Arial"/>
          <w:sz w:val="20"/>
          <w:szCs w:val="20"/>
          <w:color w:val="525252"/>
        </w:rPr>
      </w:pPr>
      <w:r>
        <w:rPr>
          <w:rFonts w:ascii="Arial" w:cs="Arial" w:eastAsia="Arial" w:hAnsi="Arial"/>
          <w:sz w:val="19"/>
          <w:szCs w:val="19"/>
          <w:color w:val="auto"/>
        </w:rPr>
        <w:t>A material breach by Executive of any material agreement between Executive and the Company.</w:t>
      </w:r>
    </w:p>
    <w:p>
      <w:pPr>
        <w:spacing w:after="0" w:line="248" w:lineRule="exact"/>
        <w:rPr>
          <w:rFonts w:ascii="Arial" w:cs="Arial" w:eastAsia="Arial" w:hAnsi="Arial"/>
          <w:sz w:val="20"/>
          <w:szCs w:val="20"/>
          <w:color w:val="525252"/>
        </w:rPr>
      </w:pPr>
    </w:p>
    <w:p>
      <w:pPr>
        <w:ind w:left="780" w:hanging="635"/>
        <w:spacing w:after="0"/>
        <w:tabs>
          <w:tab w:leader="none" w:pos="780" w:val="left"/>
        </w:tabs>
        <w:numPr>
          <w:ilvl w:val="0"/>
          <w:numId w:val="69"/>
        </w:numPr>
        <w:rPr>
          <w:rFonts w:ascii="Arial" w:cs="Arial" w:eastAsia="Arial" w:hAnsi="Arial"/>
          <w:sz w:val="18"/>
          <w:szCs w:val="18"/>
          <w:color w:val="525252"/>
        </w:rPr>
      </w:pPr>
      <w:r>
        <w:rPr>
          <w:rFonts w:ascii="Arial" w:cs="Arial" w:eastAsia="Arial" w:hAnsi="Arial"/>
          <w:sz w:val="18"/>
          <w:szCs w:val="18"/>
          <w:color w:val="auto"/>
        </w:rPr>
        <w:t>A material failure by Executive to comply with the Company's written policies or rules that are made available to Executive.</w:t>
      </w:r>
    </w:p>
    <w:p>
      <w:pPr>
        <w:spacing w:after="0" w:line="245" w:lineRule="exact"/>
        <w:rPr>
          <w:rFonts w:ascii="Arial" w:cs="Arial" w:eastAsia="Arial" w:hAnsi="Arial"/>
          <w:sz w:val="18"/>
          <w:szCs w:val="18"/>
          <w:color w:val="525252"/>
        </w:rPr>
      </w:pPr>
    </w:p>
    <w:p>
      <w:pPr>
        <w:ind w:left="600" w:hanging="454"/>
        <w:spacing w:after="0"/>
        <w:tabs>
          <w:tab w:leader="none" w:pos="600" w:val="left"/>
        </w:tabs>
        <w:numPr>
          <w:ilvl w:val="0"/>
          <w:numId w:val="69"/>
        </w:numPr>
        <w:rPr>
          <w:rFonts w:ascii="Arial" w:cs="Arial" w:eastAsia="Arial" w:hAnsi="Arial"/>
          <w:sz w:val="18"/>
          <w:szCs w:val="18"/>
          <w:color w:val="525252"/>
        </w:rPr>
      </w:pPr>
      <w:r>
        <w:rPr>
          <w:rFonts w:ascii="Arial" w:cs="Arial" w:eastAsia="Arial" w:hAnsi="Arial"/>
          <w:sz w:val="18"/>
          <w:szCs w:val="18"/>
          <w:color w:val="auto"/>
        </w:rPr>
        <w:t>Executive's conviction of or plea of "guilty" or "no contest" to, a felony under the laws of the United States or any State thereof.</w:t>
      </w:r>
    </w:p>
    <w:p>
      <w:pPr>
        <w:spacing w:after="0" w:line="231" w:lineRule="exact"/>
        <w:rPr>
          <w:rFonts w:ascii="Arial" w:cs="Arial" w:eastAsia="Arial" w:hAnsi="Arial"/>
          <w:sz w:val="18"/>
          <w:szCs w:val="18"/>
          <w:color w:val="525252"/>
        </w:rPr>
      </w:pPr>
    </w:p>
    <w:p>
      <w:pPr>
        <w:ind w:left="600" w:hanging="455"/>
        <w:spacing w:after="0"/>
        <w:tabs>
          <w:tab w:leader="none" w:pos="600" w:val="left"/>
        </w:tabs>
        <w:numPr>
          <w:ilvl w:val="0"/>
          <w:numId w:val="69"/>
        </w:numPr>
        <w:rPr>
          <w:rFonts w:ascii="Arial" w:cs="Arial" w:eastAsia="Arial" w:hAnsi="Arial"/>
          <w:sz w:val="20"/>
          <w:szCs w:val="20"/>
          <w:color w:val="525252"/>
        </w:rPr>
      </w:pPr>
      <w:r>
        <w:rPr>
          <w:rFonts w:ascii="Arial" w:cs="Arial" w:eastAsia="Arial" w:hAnsi="Arial"/>
          <w:sz w:val="19"/>
          <w:szCs w:val="19"/>
          <w:color w:val="auto"/>
        </w:rPr>
        <w:t>Executive's gross negligence or willful misconduct which causes material harm to the Company. or</w:t>
      </w:r>
    </w:p>
    <w:p>
      <w:pPr>
        <w:spacing w:after="0" w:line="261" w:lineRule="exact"/>
        <w:rPr>
          <w:rFonts w:ascii="Arial" w:cs="Arial" w:eastAsia="Arial" w:hAnsi="Arial"/>
          <w:sz w:val="20"/>
          <w:szCs w:val="20"/>
          <w:color w:val="525252"/>
        </w:rPr>
      </w:pPr>
    </w:p>
    <w:p>
      <w:pPr>
        <w:ind w:left="160" w:hanging="7"/>
        <w:spacing w:after="0" w:line="267" w:lineRule="auto"/>
        <w:tabs>
          <w:tab w:leader="none" w:pos="599" w:val="left"/>
        </w:tabs>
        <w:numPr>
          <w:ilvl w:val="1"/>
          <w:numId w:val="69"/>
        </w:numPr>
        <w:rPr>
          <w:rFonts w:ascii="Arial" w:cs="Arial" w:eastAsia="Arial" w:hAnsi="Arial"/>
          <w:sz w:val="20"/>
          <w:szCs w:val="20"/>
          <w:color w:val="525252"/>
        </w:rPr>
      </w:pPr>
      <w:r>
        <w:rPr>
          <w:rFonts w:ascii="Arial" w:cs="Arial" w:eastAsia="Arial" w:hAnsi="Arial"/>
          <w:sz w:val="19"/>
          <w:szCs w:val="19"/>
          <w:color w:val="auto"/>
        </w:rPr>
        <w:t>A continued failure by Executive to perform reasonably assigned duties after receiving written notification of such failure from the Board (other than by reason of Executive's physical or mental illness, incapacity, or disability).</w:t>
      </w:r>
    </w:p>
    <w:p>
      <w:pPr>
        <w:spacing w:after="0" w:line="200" w:lineRule="exact"/>
        <w:rPr>
          <w:sz w:val="20"/>
          <w:szCs w:val="20"/>
          <w:color w:val="auto"/>
        </w:rPr>
      </w:pPr>
    </w:p>
    <w:p>
      <w:pPr>
        <w:spacing w:after="0" w:line="232" w:lineRule="exact"/>
        <w:rPr>
          <w:sz w:val="20"/>
          <w:szCs w:val="20"/>
          <w:color w:val="auto"/>
        </w:rPr>
      </w:pPr>
    </w:p>
    <w:p>
      <w:pPr>
        <w:ind w:left="160" w:right="60" w:firstLine="7"/>
        <w:spacing w:after="0" w:line="256" w:lineRule="auto"/>
        <w:rPr>
          <w:sz w:val="20"/>
          <w:szCs w:val="20"/>
          <w:color w:val="auto"/>
        </w:rPr>
      </w:pPr>
      <w:r>
        <w:rPr>
          <w:rFonts w:ascii="Arial" w:cs="Arial" w:eastAsia="Arial" w:hAnsi="Arial"/>
          <w:sz w:val="19"/>
          <w:szCs w:val="19"/>
          <w:color w:val="auto"/>
        </w:rPr>
        <w:t>Any act of Executive based on advice of counsel or instruction of the Board or Chief Executive Officer shall be deemed to be in good faith and shall not be deemed to constitute a material failure or breach by Executive for the purposes of this section of the Agreement. The Company shall not have the right to terminate Executive for Cause unless the Company provides Executive with written notice of such breach or failure and, with respect to subparagraphs (ii), (iii), (v) or (vi), Executive fails to cure the breach or failure within 30 days of the Company's written notice to Executive of such breach or failure.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8</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000"/>
          </w:cols>
          <w:pgMar w:left="360" w:top="1173" w:right="539" w:bottom="1440" w:gutter="0" w:footer="0" w:header="0"/>
        </w:sectPr>
      </w:pPr>
    </w:p>
    <w:bookmarkStart w:id="129" w:name="page130"/>
    <w:bookmarkEnd w:id="129"/>
    <w:p>
      <w:pPr>
        <w:ind w:left="180"/>
        <w:spacing w:after="0"/>
        <w:tabs>
          <w:tab w:leader="none" w:pos="5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For all purposes under this Agreement, "Change in Control" shall mean the occurrence of:</w:t>
      </w:r>
    </w:p>
    <w:p>
      <w:pPr>
        <w:spacing w:after="0" w:line="279" w:lineRule="exact"/>
        <w:rPr>
          <w:sz w:val="20"/>
          <w:szCs w:val="20"/>
          <w:color w:val="auto"/>
        </w:rPr>
      </w:pPr>
    </w:p>
    <w:p>
      <w:pPr>
        <w:ind w:left="200" w:right="380" w:firstLine="3"/>
        <w:spacing w:after="0" w:line="294" w:lineRule="auto"/>
        <w:tabs>
          <w:tab w:leader="none" w:pos="602" w:val="left"/>
        </w:tabs>
        <w:numPr>
          <w:ilvl w:val="0"/>
          <w:numId w:val="70"/>
        </w:numPr>
        <w:rPr>
          <w:rFonts w:ascii="Arial" w:cs="Arial" w:eastAsia="Arial" w:hAnsi="Arial"/>
          <w:sz w:val="19"/>
          <w:szCs w:val="19"/>
          <w:color w:val="5D5D5D"/>
        </w:rPr>
      </w:pPr>
      <w:r>
        <w:rPr>
          <w:rFonts w:ascii="Arial" w:cs="Arial" w:eastAsia="Arial" w:hAnsi="Arial"/>
          <w:sz w:val="19"/>
          <w:szCs w:val="19"/>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82" w:lineRule="exact"/>
        <w:rPr>
          <w:rFonts w:ascii="Arial" w:cs="Arial" w:eastAsia="Arial" w:hAnsi="Arial"/>
          <w:sz w:val="19"/>
          <w:szCs w:val="19"/>
          <w:color w:val="5D5D5D"/>
        </w:rPr>
      </w:pPr>
    </w:p>
    <w:p>
      <w:pPr>
        <w:ind w:left="200" w:right="380" w:firstLine="3"/>
        <w:spacing w:after="0" w:line="294" w:lineRule="auto"/>
        <w:tabs>
          <w:tab w:leader="none" w:pos="596" w:val="left"/>
        </w:tabs>
        <w:numPr>
          <w:ilvl w:val="0"/>
          <w:numId w:val="70"/>
        </w:numPr>
        <w:rPr>
          <w:rFonts w:ascii="Arial" w:cs="Arial" w:eastAsia="Arial" w:hAnsi="Arial"/>
          <w:sz w:val="19"/>
          <w:szCs w:val="19"/>
          <w:color w:val="5D5D5D"/>
        </w:rPr>
      </w:pPr>
      <w:r>
        <w:rPr>
          <w:rFonts w:ascii="Arial" w:cs="Arial" w:eastAsia="Arial" w:hAnsi="Arial"/>
          <w:sz w:val="19"/>
          <w:szCs w:val="19"/>
          <w:color w:val="auto"/>
        </w:rPr>
        <w:t>The acquisition, during a 12-month period ending on the date of the most recent acquisition, by a person or persons acting as a group, of 30% or more of the total voting power of the Company.</w:t>
      </w:r>
    </w:p>
    <w:p>
      <w:pPr>
        <w:spacing w:after="0" w:line="195" w:lineRule="exact"/>
        <w:rPr>
          <w:rFonts w:ascii="Arial" w:cs="Arial" w:eastAsia="Arial" w:hAnsi="Arial"/>
          <w:sz w:val="19"/>
          <w:szCs w:val="19"/>
          <w:color w:val="5D5D5D"/>
        </w:rPr>
      </w:pPr>
    </w:p>
    <w:p>
      <w:pPr>
        <w:jc w:val="both"/>
        <w:ind w:left="220" w:right="360" w:hanging="11"/>
        <w:spacing w:after="0" w:line="273" w:lineRule="auto"/>
        <w:tabs>
          <w:tab w:leader="none" w:pos="598" w:val="left"/>
        </w:tabs>
        <w:numPr>
          <w:ilvl w:val="0"/>
          <w:numId w:val="70"/>
        </w:numPr>
        <w:rPr>
          <w:rFonts w:ascii="Arial" w:cs="Arial" w:eastAsia="Arial" w:hAnsi="Arial"/>
          <w:sz w:val="19"/>
          <w:szCs w:val="19"/>
          <w:color w:val="5D5D5D"/>
        </w:rPr>
      </w:pPr>
      <w:r>
        <w:rPr>
          <w:rFonts w:ascii="Arial" w:cs="Arial" w:eastAsia="Arial" w:hAnsi="Arial"/>
          <w:sz w:val="19"/>
          <w:szCs w:val="19"/>
          <w:color w:val="auto"/>
        </w:rPr>
        <w:t>The replacement of a majority of the members of the Board, during any 12-month period, by directors whose appointment or election is not endorsed by a majority of the members of the Board before the date of such appointment or election; directors shall not be considered endorsed by the majority of the members of the Board if they assume office in connection with or at the time of an actual or threatened proxy contest; or</w:t>
      </w:r>
    </w:p>
    <w:p>
      <w:pPr>
        <w:spacing w:after="0" w:line="202" w:lineRule="exact"/>
        <w:rPr>
          <w:rFonts w:ascii="Arial" w:cs="Arial" w:eastAsia="Arial" w:hAnsi="Arial"/>
          <w:sz w:val="19"/>
          <w:szCs w:val="19"/>
          <w:color w:val="5D5D5D"/>
        </w:rPr>
      </w:pPr>
    </w:p>
    <w:p>
      <w:pPr>
        <w:jc w:val="both"/>
        <w:ind w:left="200" w:right="360" w:firstLine="9"/>
        <w:spacing w:after="0" w:line="273" w:lineRule="auto"/>
        <w:tabs>
          <w:tab w:leader="none" w:pos="588" w:val="left"/>
        </w:tabs>
        <w:numPr>
          <w:ilvl w:val="0"/>
          <w:numId w:val="70"/>
        </w:numPr>
        <w:rPr>
          <w:rFonts w:ascii="Arial" w:cs="Arial" w:eastAsia="Arial" w:hAnsi="Arial"/>
          <w:sz w:val="19"/>
          <w:szCs w:val="19"/>
          <w:color w:val="5D5D5D"/>
        </w:rPr>
      </w:pPr>
      <w:r>
        <w:rPr>
          <w:rFonts w:ascii="Arial" w:cs="Arial" w:eastAsia="Arial" w:hAnsi="Arial"/>
          <w:sz w:val="19"/>
          <w:szCs w:val="19"/>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202" w:lineRule="exact"/>
        <w:rPr>
          <w:rFonts w:ascii="Arial" w:cs="Arial" w:eastAsia="Arial" w:hAnsi="Arial"/>
          <w:sz w:val="19"/>
          <w:szCs w:val="19"/>
          <w:color w:val="5D5D5D"/>
        </w:rPr>
      </w:pPr>
    </w:p>
    <w:p>
      <w:pPr>
        <w:jc w:val="both"/>
        <w:ind w:left="200" w:right="360" w:firstLine="9"/>
        <w:spacing w:after="0" w:line="278" w:lineRule="auto"/>
        <w:tabs>
          <w:tab w:leader="none" w:pos="587" w:val="left"/>
        </w:tabs>
        <w:numPr>
          <w:ilvl w:val="0"/>
          <w:numId w:val="70"/>
        </w:numPr>
        <w:rPr>
          <w:rFonts w:ascii="Arial" w:cs="Arial" w:eastAsia="Arial" w:hAnsi="Arial"/>
          <w:sz w:val="19"/>
          <w:szCs w:val="19"/>
          <w:color w:val="5D5D5D"/>
        </w:rPr>
      </w:pPr>
      <w:r>
        <w:rPr>
          <w:rFonts w:ascii="Arial" w:cs="Arial" w:eastAsia="Arial" w:hAnsi="Arial"/>
          <w:sz w:val="19"/>
          <w:szCs w:val="19"/>
          <w:color w:val="auto"/>
        </w:rPr>
        <w:t>A merger or similar business combination involving the Company or one of its affiliates, which immediately following the business combination the shareholders of the Company cease to own a majority of the entity resulting from such business combination.</w:t>
      </w:r>
    </w:p>
    <w:p>
      <w:pPr>
        <w:spacing w:after="0" w:line="198" w:lineRule="exact"/>
        <w:rPr>
          <w:sz w:val="20"/>
          <w:szCs w:val="20"/>
          <w:color w:val="auto"/>
        </w:rPr>
      </w:pPr>
    </w:p>
    <w:p>
      <w:pPr>
        <w:jc w:val="both"/>
        <w:ind w:left="220" w:right="340" w:firstLine="645"/>
        <w:spacing w:after="0" w:line="273" w:lineRule="auto"/>
        <w:rPr>
          <w:sz w:val="20"/>
          <w:szCs w:val="20"/>
          <w:color w:val="auto"/>
        </w:rPr>
      </w:pPr>
      <w:r>
        <w:rPr>
          <w:rFonts w:ascii="Arial" w:cs="Arial" w:eastAsia="Arial" w:hAnsi="Arial"/>
          <w:sz w:val="19"/>
          <w:szCs w:val="19"/>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210" w:lineRule="exact"/>
        <w:rPr>
          <w:sz w:val="20"/>
          <w:szCs w:val="20"/>
          <w:color w:val="auto"/>
        </w:rPr>
      </w:pPr>
    </w:p>
    <w:p>
      <w:pPr>
        <w:jc w:val="both"/>
        <w:ind w:left="200" w:firstLine="10"/>
        <w:spacing w:after="0" w:line="268" w:lineRule="auto"/>
        <w:tabs>
          <w:tab w:leader="none" w:pos="590"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 xml:space="preserve">Client. </w:t>
      </w:r>
      <w:r>
        <w:rPr>
          <w:rFonts w:ascii="Arial" w:cs="Arial" w:eastAsia="Arial" w:hAnsi="Arial"/>
          <w:sz w:val="19"/>
          <w:szCs w:val="19"/>
          <w:color w:val="auto"/>
        </w:rPr>
        <w:t>For all purposes under this Agreement, ·'Client" shall mean (i) anyone who is a client of the Company as of, or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202" w:lineRule="exact"/>
        <w:rPr>
          <w:rFonts w:ascii="Arial" w:cs="Arial" w:eastAsia="Arial" w:hAnsi="Arial"/>
          <w:sz w:val="19"/>
          <w:szCs w:val="19"/>
          <w:color w:val="auto"/>
        </w:rPr>
      </w:pPr>
    </w:p>
    <w:p>
      <w:pPr>
        <w:ind w:left="600" w:hanging="384"/>
        <w:spacing w:after="0"/>
        <w:tabs>
          <w:tab w:leader="none" w:pos="600"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 xml:space="preserve">Code. </w:t>
      </w:r>
      <w:r>
        <w:rPr>
          <w:rFonts w:ascii="Arial" w:cs="Arial" w:eastAsia="Arial" w:hAnsi="Arial"/>
          <w:sz w:val="19"/>
          <w:szCs w:val="19"/>
          <w:color w:val="auto"/>
        </w:rPr>
        <w:t>For all purposes under this Agreement, "Code" shall mean the Internal Revenue Code of 1986, as amended.</w:t>
      </w:r>
    </w:p>
    <w:p>
      <w:pPr>
        <w:spacing w:after="0" w:line="260" w:lineRule="exact"/>
        <w:rPr>
          <w:sz w:val="20"/>
          <w:szCs w:val="20"/>
          <w:color w:val="auto"/>
        </w:rPr>
      </w:pPr>
    </w:p>
    <w:p>
      <w:pPr>
        <w:ind w:left="220" w:right="20" w:firstLine="3"/>
        <w:spacing w:after="0" w:line="301" w:lineRule="auto"/>
        <w:tabs>
          <w:tab w:leader="none" w:pos="599"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 xml:space="preserve">Company. </w:t>
      </w:r>
      <w:r>
        <w:rPr>
          <w:rFonts w:ascii="Arial" w:cs="Arial" w:eastAsia="Arial" w:hAnsi="Arial"/>
          <w:sz w:val="19"/>
          <w:szCs w:val="19"/>
          <w:color w:val="auto"/>
        </w:rPr>
        <w:t>For all purposes under this Agreement, ·'Company" shall include Synchronoss Technologies, Inc. and all of its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and affiliates.</w:t>
      </w:r>
    </w:p>
    <w:p>
      <w:pPr>
        <w:spacing w:after="0" w:line="143" w:lineRule="exact"/>
        <w:rPr>
          <w:sz w:val="20"/>
          <w:szCs w:val="20"/>
          <w:color w:val="auto"/>
        </w:rPr>
      </w:pPr>
    </w:p>
    <w:p>
      <w:pPr>
        <w:ind w:left="460" w:hanging="230"/>
        <w:spacing w:after="0"/>
        <w:tabs>
          <w:tab w:leader="none" w:pos="460"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For all purposes under this Agreement, ·'Good Reason" shall mean: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9</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100"/>
          </w:cols>
          <w:pgMar w:left="360" w:top="1154" w:right="439" w:bottom="1440" w:gutter="0" w:footer="0" w:header="0"/>
        </w:sectPr>
      </w:pPr>
    </w:p>
    <w:bookmarkStart w:id="130" w:name="page131"/>
    <w:bookmarkEnd w:id="130"/>
    <w:p>
      <w:pPr>
        <w:ind w:left="100" w:right="60" w:hanging="13"/>
        <w:spacing w:after="0" w:line="294" w:lineRule="auto"/>
        <w:tabs>
          <w:tab w:leader="none" w:pos="609"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reduction in Executive's base salary by more than 10% unless, prior to a Change in Control only, pursuant to a Company- wide salary reduction affecting all of the Company's Section 16 officers proportionately.</w:t>
      </w:r>
    </w:p>
    <w:p>
      <w:pPr>
        <w:spacing w:after="0" w:line="182" w:lineRule="exact"/>
        <w:rPr>
          <w:rFonts w:ascii="Arial" w:cs="Arial" w:eastAsia="Arial" w:hAnsi="Arial"/>
          <w:sz w:val="19"/>
          <w:szCs w:val="19"/>
          <w:color w:val="auto"/>
        </w:rPr>
      </w:pPr>
    </w:p>
    <w:p>
      <w:pPr>
        <w:ind w:left="100" w:right="60" w:hanging="8"/>
        <w:spacing w:after="0" w:line="294" w:lineRule="auto"/>
        <w:tabs>
          <w:tab w:leader="none" w:pos="602" w:val="left"/>
        </w:tabs>
        <w:numPr>
          <w:ilvl w:val="0"/>
          <w:numId w:val="74"/>
        </w:numPr>
        <w:rPr>
          <w:rFonts w:ascii="Arial" w:cs="Arial" w:eastAsia="Arial" w:hAnsi="Arial"/>
          <w:sz w:val="19"/>
          <w:szCs w:val="19"/>
          <w:color w:val="auto"/>
        </w:rPr>
      </w:pPr>
      <w:r>
        <w:rPr>
          <w:rFonts w:ascii="Arial" w:cs="Arial" w:eastAsia="Arial" w:hAnsi="Arial"/>
          <w:sz w:val="19"/>
          <w:szCs w:val="19"/>
          <w:color w:val="auto"/>
        </w:rPr>
        <w:t>relocation of Executive's principal workplace that results in an increase to Executive's commute by more than 30 miles or the requirement that Executive perform his duties from any particular location.</w:t>
      </w:r>
    </w:p>
    <w:p>
      <w:pPr>
        <w:spacing w:after="0" w:line="182" w:lineRule="exact"/>
        <w:rPr>
          <w:rFonts w:ascii="Arial" w:cs="Arial" w:eastAsia="Arial" w:hAnsi="Arial"/>
          <w:sz w:val="19"/>
          <w:szCs w:val="19"/>
          <w:color w:val="auto"/>
        </w:rPr>
      </w:pPr>
    </w:p>
    <w:p>
      <w:pPr>
        <w:ind w:left="100" w:right="60" w:hanging="8"/>
        <w:spacing w:after="0" w:line="294" w:lineRule="auto"/>
        <w:tabs>
          <w:tab w:leader="none" w:pos="603"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diminution in the Executive’s title or reporting relationship or a material diminution in a Executive’s authority, duties, or responsibilities with respect to the Company; or</w:t>
      </w:r>
    </w:p>
    <w:p>
      <w:pPr>
        <w:spacing w:after="0" w:line="156" w:lineRule="exact"/>
        <w:rPr>
          <w:rFonts w:ascii="Arial" w:cs="Arial" w:eastAsia="Arial" w:hAnsi="Arial"/>
          <w:sz w:val="19"/>
          <w:szCs w:val="19"/>
          <w:color w:val="auto"/>
        </w:rPr>
      </w:pPr>
    </w:p>
    <w:p>
      <w:pPr>
        <w:ind w:left="780" w:hanging="647"/>
        <w:spacing w:after="0"/>
        <w:tabs>
          <w:tab w:leader="none" w:pos="7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a material breach by the Company of this Agreement or any other agreement with the Company.</w:t>
      </w:r>
    </w:p>
    <w:p>
      <w:pPr>
        <w:spacing w:after="0" w:line="247" w:lineRule="exact"/>
        <w:rPr>
          <w:sz w:val="20"/>
          <w:szCs w:val="20"/>
          <w:color w:val="auto"/>
        </w:rPr>
      </w:pPr>
    </w:p>
    <w:p>
      <w:pPr>
        <w:jc w:val="both"/>
        <w:ind w:left="140" w:right="20" w:firstLine="11"/>
        <w:spacing w:after="0" w:line="273" w:lineRule="auto"/>
        <w:rPr>
          <w:sz w:val="20"/>
          <w:szCs w:val="20"/>
          <w:color w:val="auto"/>
        </w:rPr>
      </w:pPr>
      <w:r>
        <w:rPr>
          <w:rFonts w:ascii="Arial" w:cs="Arial" w:eastAsia="Arial" w:hAnsi="Arial"/>
          <w:sz w:val="19"/>
          <w:szCs w:val="19"/>
          <w:color w:val="auto"/>
        </w:rPr>
        <w:t>A condition shall not be considered "Good Reason" unless Executive gives the Company written notice of such condition within 90 days after Executive has knowledge of such condition and the Company fails to remedy such condition (or in the case of (v), remedy such breach) within 30 days after receiving Executive's written notice. In addition, Executive's resignation must occur no later than 12 months after Executive has knowledge of such condition.</w:t>
      </w:r>
    </w:p>
    <w:p>
      <w:pPr>
        <w:spacing w:after="0" w:line="197" w:lineRule="exact"/>
        <w:rPr>
          <w:sz w:val="20"/>
          <w:szCs w:val="20"/>
          <w:color w:val="auto"/>
        </w:rPr>
      </w:pPr>
    </w:p>
    <w:p>
      <w:pPr>
        <w:jc w:val="both"/>
        <w:ind w:left="140" w:right="40"/>
        <w:spacing w:after="0" w:line="282" w:lineRule="auto"/>
        <w:tabs>
          <w:tab w:leader="none" w:pos="597"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Involuntary Termination. </w:t>
      </w:r>
      <w:r>
        <w:rPr>
          <w:rFonts w:ascii="Arial" w:cs="Arial" w:eastAsia="Arial" w:hAnsi="Arial"/>
          <w:sz w:val="19"/>
          <w:szCs w:val="19"/>
          <w:color w:val="auto"/>
        </w:rPr>
        <w:t>For all purposes under this Agreement, "Involuntary Termination" shall mean either (i)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terminates Executive's Employment with the Company for a reason other than death, Cause or Permanent Disability and a Separation occurs, or (ii) Executive resigns his Employment for Good Reason and a Separation occurs.</w:t>
      </w:r>
    </w:p>
    <w:p>
      <w:pPr>
        <w:spacing w:after="0" w:line="200" w:lineRule="exact"/>
        <w:rPr>
          <w:rFonts w:ascii="Arial" w:cs="Arial" w:eastAsia="Arial" w:hAnsi="Arial"/>
          <w:sz w:val="19"/>
          <w:szCs w:val="19"/>
          <w:color w:val="auto"/>
        </w:rPr>
      </w:pPr>
    </w:p>
    <w:p>
      <w:pPr>
        <w:jc w:val="both"/>
        <w:ind w:left="140" w:right="20"/>
        <w:spacing w:after="0" w:line="304" w:lineRule="auto"/>
        <w:tabs>
          <w:tab w:leader="none" w:pos="591"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Permanent Disability. </w:t>
      </w:r>
      <w:r>
        <w:rPr>
          <w:rFonts w:ascii="Arial" w:cs="Arial" w:eastAsia="Arial" w:hAnsi="Arial"/>
          <w:sz w:val="18"/>
          <w:szCs w:val="18"/>
          <w:color w:val="auto"/>
        </w:rPr>
        <w:t>For all purposes under this Agreement, "Permanent Disability" shall mean, in the reasonable determination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Compensation Committee, Executive's inability to perform the essential functions of Executive's position, with or without reasonable accommodation, for a period of at least 180 consecutive days because of a physical or mental impairment.</w:t>
      </w:r>
    </w:p>
    <w:p>
      <w:pPr>
        <w:spacing w:after="0" w:line="170" w:lineRule="exact"/>
        <w:rPr>
          <w:rFonts w:ascii="Arial" w:cs="Arial" w:eastAsia="Arial" w:hAnsi="Arial"/>
          <w:sz w:val="18"/>
          <w:szCs w:val="18"/>
          <w:color w:val="auto"/>
        </w:rPr>
      </w:pPr>
    </w:p>
    <w:p>
      <w:pPr>
        <w:jc w:val="both"/>
        <w:ind w:left="140" w:right="20" w:firstLine="6"/>
        <w:spacing w:after="0" w:line="308" w:lineRule="auto"/>
        <w:tabs>
          <w:tab w:leader="none" w:pos="588"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Proprietary Information. </w:t>
      </w:r>
      <w:r>
        <w:rPr>
          <w:rFonts w:ascii="Arial" w:cs="Arial" w:eastAsia="Arial" w:hAnsi="Arial"/>
          <w:sz w:val="17"/>
          <w:szCs w:val="17"/>
          <w:color w:val="auto"/>
        </w:rPr>
        <w:t>For all purposes under this Agreement, "Proprietary Information" shall mean any and all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83" w:lineRule="exact"/>
        <w:rPr>
          <w:rFonts w:ascii="Arial" w:cs="Arial" w:eastAsia="Arial" w:hAnsi="Arial"/>
          <w:sz w:val="17"/>
          <w:szCs w:val="17"/>
          <w:color w:val="auto"/>
        </w:rPr>
      </w:pPr>
    </w:p>
    <w:p>
      <w:pPr>
        <w:jc w:val="both"/>
        <w:ind w:left="160" w:right="20" w:hanging="9"/>
        <w:spacing w:after="0" w:line="274" w:lineRule="auto"/>
        <w:tabs>
          <w:tab w:leader="none" w:pos="399" w:val="left"/>
        </w:tabs>
        <w:numPr>
          <w:ilvl w:val="1"/>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Restricted Business. </w:t>
      </w:r>
      <w:r>
        <w:rPr>
          <w:rFonts w:ascii="Arial" w:cs="Arial" w:eastAsia="Arial" w:hAnsi="Arial"/>
          <w:sz w:val="19"/>
          <w:szCs w:val="19"/>
          <w:color w:val="auto"/>
        </w:rPr>
        <w:t>For all purposes under this Agreement, "Restricted Business" shall mean the design, development, marketing or</w:t>
      </w:r>
      <w:r>
        <w:rPr>
          <w:rFonts w:ascii="Arial" w:cs="Arial" w:eastAsia="Arial" w:hAnsi="Arial"/>
          <w:sz w:val="19"/>
          <w:szCs w:val="19"/>
          <w:b w:val="1"/>
          <w:bCs w:val="1"/>
          <w:color w:val="auto"/>
        </w:rPr>
        <w:t xml:space="preserve"> </w:t>
      </w:r>
      <w:r>
        <w:rPr>
          <w:rFonts w:ascii="Arial" w:cs="Arial" w:eastAsia="Arial" w:hAnsi="Arial"/>
          <w:sz w:val="19"/>
          <w:szCs w:val="19"/>
          <w:color w:val="auto"/>
        </w:rPr>
        <w:t>sales of software, or any other process, system, product, or service marketed, sold or under development by the Company (and expected to reach market before the end of the Restricted Period) at the time Executive's employment with the</w:t>
      </w:r>
    </w:p>
    <w:p>
      <w:pPr>
        <w:spacing w:after="0" w:line="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19"/>
          <w:szCs w:val="19"/>
          <w:color w:val="auto"/>
        </w:rPr>
        <w:t>Company ends, whether during or after the Term.</w:t>
      </w:r>
    </w:p>
    <w:p>
      <w:pPr>
        <w:spacing w:after="0" w:line="227" w:lineRule="exact"/>
        <w:rPr>
          <w:rFonts w:ascii="Arial" w:cs="Arial" w:eastAsia="Arial" w:hAnsi="Arial"/>
          <w:sz w:val="19"/>
          <w:szCs w:val="19"/>
          <w:color w:val="auto"/>
        </w:rPr>
      </w:pPr>
    </w:p>
    <w:p>
      <w:pPr>
        <w:ind w:left="200" w:right="20" w:hanging="8"/>
        <w:spacing w:after="0" w:line="301" w:lineRule="auto"/>
        <w:tabs>
          <w:tab w:leader="none" w:pos="598" w:val="left"/>
        </w:tabs>
        <w:numPr>
          <w:ilvl w:val="2"/>
          <w:numId w:val="75"/>
        </w:numPr>
        <w:rPr>
          <w:rFonts w:ascii="Arial" w:cs="Arial" w:eastAsia="Arial" w:hAnsi="Arial"/>
          <w:sz w:val="19"/>
          <w:szCs w:val="19"/>
          <w:color w:val="5D5D5D"/>
        </w:rPr>
      </w:pPr>
      <w:r>
        <w:rPr>
          <w:rFonts w:ascii="Arial" w:cs="Arial" w:eastAsia="Arial" w:hAnsi="Arial"/>
          <w:sz w:val="19"/>
          <w:szCs w:val="19"/>
          <w:b w:val="1"/>
          <w:bCs w:val="1"/>
          <w:color w:val="auto"/>
        </w:rPr>
        <w:t xml:space="preserve">Restricted Territory. </w:t>
      </w:r>
      <w:r>
        <w:rPr>
          <w:rFonts w:ascii="Arial" w:cs="Arial" w:eastAsia="Arial" w:hAnsi="Arial"/>
          <w:sz w:val="19"/>
          <w:szCs w:val="19"/>
          <w:color w:val="auto"/>
        </w:rPr>
        <w:t>For all purposes under this Agreement, "Restricted Territory" shall mean any state, county, or locality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or around the world in which the Company conducts business.</w:t>
      </w:r>
    </w:p>
    <w:p>
      <w:pPr>
        <w:spacing w:after="0" w:line="169" w:lineRule="exact"/>
        <w:rPr>
          <w:rFonts w:ascii="Arial" w:cs="Arial" w:eastAsia="Arial" w:hAnsi="Arial"/>
          <w:sz w:val="19"/>
          <w:szCs w:val="19"/>
          <w:color w:val="5D5D5D"/>
        </w:rPr>
      </w:pPr>
    </w:p>
    <w:p>
      <w:pPr>
        <w:ind w:left="180" w:firstLine="18"/>
        <w:spacing w:after="0" w:line="301" w:lineRule="auto"/>
        <w:tabs>
          <w:tab w:leader="none" w:pos="591" w:val="left"/>
        </w:tabs>
        <w:numPr>
          <w:ilvl w:val="3"/>
          <w:numId w:val="75"/>
        </w:numPr>
        <w:rPr>
          <w:rFonts w:ascii="Arial" w:cs="Arial" w:eastAsia="Arial" w:hAnsi="Arial"/>
          <w:sz w:val="19"/>
          <w:szCs w:val="19"/>
          <w:color w:val="707070"/>
        </w:rPr>
      </w:pPr>
      <w:r>
        <w:rPr>
          <w:rFonts w:ascii="Arial" w:cs="Arial" w:eastAsia="Arial" w:hAnsi="Arial"/>
          <w:sz w:val="19"/>
          <w:szCs w:val="19"/>
          <w:b w:val="1"/>
          <w:bCs w:val="1"/>
          <w:color w:val="auto"/>
        </w:rPr>
        <w:t xml:space="preserve">Separation. </w:t>
      </w:r>
      <w:r>
        <w:rPr>
          <w:rFonts w:ascii="Arial" w:cs="Arial" w:eastAsia="Arial" w:hAnsi="Arial"/>
          <w:sz w:val="19"/>
          <w:szCs w:val="19"/>
          <w:color w:val="auto"/>
        </w:rPr>
        <w:t>For all purposes under this Employment Agreement, "Separation" means a "separation from service," as defined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10</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040"/>
          </w:cols>
          <w:pgMar w:left="360" w:top="1346" w:right="499" w:bottom="1440" w:gutter="0" w:footer="0" w:header="0"/>
        </w:sectPr>
      </w:pPr>
    </w:p>
    <w:bookmarkStart w:id="131" w:name="page132"/>
    <w:bookmarkEnd w:id="131"/>
    <w:p>
      <w:pPr>
        <w:jc w:val="both"/>
        <w:ind w:left="200" w:right="40" w:hanging="2"/>
        <w:spacing w:after="0" w:line="284" w:lineRule="auto"/>
        <w:tabs>
          <w:tab w:leader="none" w:pos="529"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Solicit. </w:t>
      </w:r>
      <w:r>
        <w:rPr>
          <w:rFonts w:ascii="Arial" w:cs="Arial" w:eastAsia="Arial" w:hAnsi="Arial"/>
          <w:sz w:val="18"/>
          <w:szCs w:val="18"/>
          <w:color w:val="auto"/>
        </w:rPr>
        <w:t>For all purposes under this Agreement, "solicit" shall mean (i) active solicitation of any Client or Company employee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 provided that, notwithstanding the foregoing, in no event shall Solicit include advertising (whether in writing, electronically or otherwise) that is not targeted at Clients, suppliers, vendors or Company employees.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Miscellaneous Provisions.</w:t>
      </w:r>
    </w:p>
    <w:p>
      <w:pPr>
        <w:spacing w:after="0" w:line="246" w:lineRule="exact"/>
        <w:rPr>
          <w:sz w:val="20"/>
          <w:szCs w:val="20"/>
          <w:color w:val="auto"/>
        </w:rPr>
      </w:pPr>
    </w:p>
    <w:p>
      <w:pPr>
        <w:jc w:val="both"/>
        <w:ind w:left="220" w:right="20" w:hanging="10"/>
        <w:spacing w:after="0" w:line="291" w:lineRule="auto"/>
        <w:tabs>
          <w:tab w:leader="none" w:pos="607"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Notices and all other communications contemplated by this Agreement shall be in writing and shall be deemed to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given when personally delivered, when delivered by FedEx with delivery charges prepaid, or when mailed by U.S. registered or certified mail, return receipt requested and postage prepaid. Tn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81" w:lineRule="exact"/>
        <w:rPr>
          <w:sz w:val="20"/>
          <w:szCs w:val="20"/>
          <w:color w:val="auto"/>
        </w:rPr>
      </w:pPr>
    </w:p>
    <w:p>
      <w:pPr>
        <w:jc w:val="both"/>
        <w:ind w:left="220" w:right="20" w:firstLine="2"/>
        <w:spacing w:after="0" w:line="295" w:lineRule="auto"/>
        <w:tabs>
          <w:tab w:leader="none" w:pos="598"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Modifications and Waivers. </w:t>
      </w:r>
      <w:r>
        <w:rPr>
          <w:rFonts w:ascii="Arial" w:cs="Arial" w:eastAsia="Arial" w:hAnsi="Arial"/>
          <w:sz w:val="18"/>
          <w:szCs w:val="18"/>
          <w:color w:val="auto"/>
        </w:rPr>
        <w:t>No provision of this Agreement shall be modified, waived, or discharged unless the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92" w:lineRule="exact"/>
        <w:rPr>
          <w:rFonts w:ascii="Arial" w:cs="Arial" w:eastAsia="Arial" w:hAnsi="Arial"/>
          <w:sz w:val="18"/>
          <w:szCs w:val="18"/>
          <w:color w:val="auto"/>
        </w:rPr>
      </w:pPr>
    </w:p>
    <w:p>
      <w:pPr>
        <w:jc w:val="both"/>
        <w:ind w:left="240" w:hanging="10"/>
        <w:spacing w:after="0" w:line="295" w:lineRule="auto"/>
        <w:tabs>
          <w:tab w:leader="none" w:pos="603"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Whole Agreement. </w:t>
      </w:r>
      <w:r>
        <w:rPr>
          <w:rFonts w:ascii="Arial" w:cs="Arial" w:eastAsia="Arial" w:hAnsi="Arial"/>
          <w:sz w:val="18"/>
          <w:szCs w:val="18"/>
          <w:color w:val="auto"/>
        </w:rPr>
        <w:t>This Agreement and the Proprietary Information and Inventions Agreement supersede and replace any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65" w:lineRule="exact"/>
        <w:rPr>
          <w:rFonts w:ascii="Arial" w:cs="Arial" w:eastAsia="Arial" w:hAnsi="Arial"/>
          <w:sz w:val="18"/>
          <w:szCs w:val="18"/>
          <w:color w:val="auto"/>
        </w:rPr>
      </w:pPr>
    </w:p>
    <w:p>
      <w:pPr>
        <w:ind w:left="240" w:right="20" w:firstLine="3"/>
        <w:spacing w:after="0" w:line="272" w:lineRule="auto"/>
        <w:tabs>
          <w:tab w:leader="none" w:pos="594" w:val="left"/>
        </w:tabs>
        <w:numPr>
          <w:ilvl w:val="1"/>
          <w:numId w:val="78"/>
        </w:numPr>
        <w:rPr>
          <w:rFonts w:ascii="Arial" w:cs="Arial" w:eastAsia="Arial" w:hAnsi="Arial"/>
          <w:sz w:val="19"/>
          <w:szCs w:val="19"/>
          <w:color w:val="auto"/>
        </w:rPr>
      </w:pPr>
      <w:r>
        <w:rPr>
          <w:rFonts w:ascii="Arial" w:cs="Arial" w:eastAsia="Arial" w:hAnsi="Arial"/>
          <w:sz w:val="19"/>
          <w:szCs w:val="19"/>
          <w:b w:val="1"/>
          <w:bCs w:val="1"/>
          <w:color w:val="auto"/>
        </w:rPr>
        <w:t xml:space="preserve">Choice of Law and Severability. </w:t>
      </w:r>
      <w:r>
        <w:rPr>
          <w:rFonts w:ascii="Arial" w:cs="Arial" w:eastAsia="Arial" w:hAnsi="Arial"/>
          <w:sz w:val="19"/>
          <w:szCs w:val="19"/>
          <w:color w:val="auto"/>
        </w:rPr>
        <w:t>This Agreement shall be interpreted in accordance with the laws of the State of New Jersey (except</w:t>
      </w:r>
      <w:r>
        <w:rPr>
          <w:rFonts w:ascii="Arial" w:cs="Arial" w:eastAsia="Arial" w:hAnsi="Arial"/>
          <w:sz w:val="19"/>
          <w:szCs w:val="19"/>
          <w:b w:val="1"/>
          <w:bCs w:val="1"/>
          <w:color w:val="auto"/>
        </w:rPr>
        <w:t xml:space="preserve"> </w:t>
      </w:r>
      <w:r>
        <w:rPr>
          <w:rFonts w:ascii="Arial" w:cs="Arial" w:eastAsia="Arial" w:hAnsi="Arial"/>
          <w:sz w:val="19"/>
          <w:szCs w:val="19"/>
          <w:color w:val="auto"/>
        </w:rPr>
        <w:t>their provisions governing the choice of law). If any</w:t>
      </w:r>
    </w:p>
    <w:p>
      <w:pPr>
        <w:spacing w:after="0" w:line="3" w:lineRule="exact"/>
        <w:rPr>
          <w:sz w:val="20"/>
          <w:szCs w:val="20"/>
          <w:color w:val="auto"/>
        </w:rPr>
      </w:pPr>
    </w:p>
    <w:p>
      <w:pPr>
        <w:jc w:val="both"/>
        <w:ind w:left="140" w:right="100" w:firstLine="17"/>
        <w:spacing w:after="0" w:line="252" w:lineRule="auto"/>
        <w:rPr>
          <w:sz w:val="20"/>
          <w:szCs w:val="20"/>
          <w:color w:val="auto"/>
        </w:rPr>
      </w:pPr>
      <w:r>
        <w:rPr>
          <w:rFonts w:ascii="Arial" w:cs="Arial" w:eastAsia="Arial" w:hAnsi="Arial"/>
          <w:sz w:val="19"/>
          <w:szCs w:val="19"/>
          <w:color w:val="auto"/>
        </w:rPr>
        <w:t>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 In the event of any good faith dispute following a Change in Control, the Company shall pay the Executive reasonable legal fees incurred in connection with such dispute.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11</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1100"/>
          </w:cols>
          <w:pgMar w:left="360" w:top="1101" w:right="439" w:bottom="1440" w:gutter="0" w:footer="0" w:header="0"/>
        </w:sectPr>
      </w:pPr>
    </w:p>
    <w:bookmarkStart w:id="132" w:name="page133"/>
    <w:bookmarkEnd w:id="132"/>
    <w:p>
      <w:pPr>
        <w:jc w:val="both"/>
        <w:ind w:left="120" w:firstLine="8"/>
        <w:spacing w:after="0" w:line="313" w:lineRule="auto"/>
        <w:tabs>
          <w:tab w:leader="none" w:pos="588"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No Assignment. </w:t>
      </w:r>
      <w:r>
        <w:rPr>
          <w:rFonts w:ascii="Arial" w:cs="Arial" w:eastAsia="Arial" w:hAnsi="Arial"/>
          <w:sz w:val="17"/>
          <w:szCs w:val="17"/>
          <w:color w:val="auto"/>
        </w:rPr>
        <w:t>This Agreement and all rights and obligations of Executive hereunder are personal to Executive and may not be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or assigned by Executive at any time. The Company may assign its rights under this Agreement to any entity that assumes the Company's obligations hereunder in connection with any sale or transfer of all or substantially all of the Company's assets to such entity.</w:t>
      </w:r>
    </w:p>
    <w:p>
      <w:pPr>
        <w:spacing w:after="0" w:line="152" w:lineRule="exact"/>
        <w:rPr>
          <w:rFonts w:ascii="Arial" w:cs="Arial" w:eastAsia="Arial" w:hAnsi="Arial"/>
          <w:sz w:val="17"/>
          <w:szCs w:val="17"/>
          <w:color w:val="auto"/>
        </w:rPr>
      </w:pPr>
    </w:p>
    <w:p>
      <w:pPr>
        <w:ind w:left="120" w:firstLine="7"/>
        <w:spacing w:after="0" w:line="272" w:lineRule="auto"/>
        <w:tabs>
          <w:tab w:leader="none" w:pos="593"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may be executed in two or more counterparts, each of which shall be deemed an original, but all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together shall constitute one and the same instrument.</w:t>
      </w:r>
    </w:p>
    <w:p>
      <w:pPr>
        <w:spacing w:after="0" w:line="182" w:lineRule="exact"/>
        <w:rPr>
          <w:rFonts w:ascii="Arial" w:cs="Arial" w:eastAsia="Arial" w:hAnsi="Arial"/>
          <w:sz w:val="19"/>
          <w:szCs w:val="19"/>
          <w:color w:val="auto"/>
        </w:rPr>
      </w:pPr>
    </w:p>
    <w:p>
      <w:pPr>
        <w:jc w:val="both"/>
        <w:ind w:left="120" w:firstLine="8"/>
        <w:spacing w:after="0" w:line="289" w:lineRule="auto"/>
        <w:tabs>
          <w:tab w:leader="none" w:pos="58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rights and obligations of the parties under the provisions of this Agreement (including without limitation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1(d), 6 and 7) shall survive, and remaining binding and enforceable, notwithstanding the termination of this Agreement, the termination of Executive's Employment hereunder or otherwise, to the extent necessary to preserve the intended benefits of such provision.</w:t>
      </w:r>
    </w:p>
    <w:p>
      <w:pPr>
        <w:spacing w:after="0" w:line="169" w:lineRule="exact"/>
        <w:rPr>
          <w:rFonts w:ascii="Arial" w:cs="Arial" w:eastAsia="Arial" w:hAnsi="Arial"/>
          <w:sz w:val="18"/>
          <w:szCs w:val="18"/>
          <w:color w:val="auto"/>
        </w:rPr>
      </w:pPr>
    </w:p>
    <w:p>
      <w:pPr>
        <w:ind w:left="120" w:firstLine="8"/>
        <w:spacing w:after="0" w:line="286" w:lineRule="auto"/>
        <w:tabs>
          <w:tab w:leader="none" w:pos="586"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Attorneys Fees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82823"/>
        </w:rPr>
        <w:t>The Company shall also reimburse Executive’s attorneys’ fees incurred in connection with the</w:t>
      </w:r>
      <w:r>
        <w:rPr>
          <w:rFonts w:ascii="Arial" w:cs="Arial" w:eastAsia="Arial" w:hAnsi="Arial"/>
          <w:sz w:val="19"/>
          <w:szCs w:val="19"/>
          <w:b w:val="1"/>
          <w:bCs w:val="1"/>
          <w:color w:val="auto"/>
        </w:rPr>
        <w:t xml:space="preserve"> </w:t>
      </w:r>
      <w:r>
        <w:rPr>
          <w:rFonts w:ascii="Arial" w:cs="Arial" w:eastAsia="Arial" w:hAnsi="Arial"/>
          <w:sz w:val="19"/>
          <w:szCs w:val="19"/>
          <w:color w:val="282823"/>
        </w:rPr>
        <w:t>negotiation and preparation of this Agreement up to a maximum of $10,000.00.</w:t>
      </w:r>
    </w:p>
    <w:p>
      <w:pPr>
        <w:spacing w:after="0" w:line="344" w:lineRule="exact"/>
        <w:rPr>
          <w:sz w:val="20"/>
          <w:szCs w:val="20"/>
          <w:color w:val="auto"/>
        </w:rPr>
      </w:pPr>
    </w:p>
    <w:p>
      <w:pPr>
        <w:ind w:left="120" w:right="420" w:firstLine="1282"/>
        <w:spacing w:after="0" w:line="286" w:lineRule="auto"/>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each of the parities has executed this Agreement, in the case of the Company by its duly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officer, as of the day and year first above written.</w:t>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383838"/>
        </w:rPr>
        <w:t xml:space="preserve">SYNCHRONOSS </w:t>
      </w:r>
      <w:r>
        <w:rPr>
          <w:rFonts w:ascii="Arial" w:cs="Arial" w:eastAsia="Arial" w:hAnsi="Arial"/>
          <w:sz w:val="19"/>
          <w:szCs w:val="19"/>
          <w:color w:val="4B4B4B"/>
        </w:rPr>
        <w:t>TECHNOLOGLES,</w:t>
      </w:r>
      <w:r>
        <w:rPr>
          <w:rFonts w:ascii="Arial" w:cs="Arial" w:eastAsia="Arial" w:hAnsi="Arial"/>
          <w:sz w:val="19"/>
          <w:szCs w:val="19"/>
          <w:color w:val="383838"/>
        </w:rPr>
        <w:t xml:space="preserve"> INC.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 __________________________________</w:t>
      </w:r>
    </w:p>
    <w:p>
      <w:pPr>
        <w:jc w:val="center"/>
        <w:ind w:right="40"/>
        <w:spacing w:after="0"/>
        <w:rPr>
          <w:sz w:val="20"/>
          <w:szCs w:val="20"/>
          <w:color w:val="auto"/>
        </w:rPr>
      </w:pPr>
      <w:r>
        <w:rPr>
          <w:rFonts w:ascii="Arial" w:cs="Arial" w:eastAsia="Arial" w:hAnsi="Arial"/>
          <w:sz w:val="21"/>
          <w:szCs w:val="21"/>
          <w:color w:val="auto"/>
        </w:rPr>
        <w:t>Jeff Miller – President &amp; CEO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ACCEPTED BY:</w:t>
      </w:r>
    </w:p>
    <w:p>
      <w:pPr>
        <w:spacing w:after="0" w:line="200" w:lineRule="exact"/>
        <w:rPr>
          <w:sz w:val="20"/>
          <w:szCs w:val="20"/>
          <w:color w:val="auto"/>
        </w:rPr>
      </w:pPr>
    </w:p>
    <w:p>
      <w:pPr>
        <w:spacing w:after="0" w:line="232"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__________________</w:t>
      </w:r>
      <w:r>
        <w:rPr>
          <w:rFonts w:ascii="Arial" w:cs="Arial" w:eastAsia="Arial" w:hAnsi="Arial"/>
          <w:sz w:val="17"/>
          <w:szCs w:val="17"/>
          <w:color w:val="auto"/>
        </w:rPr>
        <w:t>________________________</w:t>
      </w:r>
    </w:p>
    <w:p>
      <w:pPr>
        <w:ind w:left="4320"/>
        <w:spacing w:after="0"/>
        <w:rPr>
          <w:sz w:val="20"/>
          <w:szCs w:val="20"/>
          <w:color w:val="auto"/>
        </w:rPr>
      </w:pPr>
      <w:r>
        <w:rPr>
          <w:rFonts w:ascii="Arial" w:cs="Arial" w:eastAsia="Arial" w:hAnsi="Arial"/>
          <w:sz w:val="18"/>
          <w:szCs w:val="18"/>
          <w:color w:val="auto"/>
        </w:rPr>
        <w:t>TAYLOR GREENWALD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5D5D5D"/>
        </w:rPr>
        <w:t xml:space="preserve">Page </w:t>
      </w:r>
      <w:r>
        <w:rPr>
          <w:rFonts w:ascii="Arial" w:cs="Arial" w:eastAsia="Arial" w:hAnsi="Arial"/>
          <w:sz w:val="18"/>
          <w:szCs w:val="18"/>
          <w:b w:val="1"/>
          <w:bCs w:val="1"/>
          <w:color w:val="494949"/>
        </w:rPr>
        <w:t>12</w:t>
      </w:r>
      <w:r>
        <w:rPr>
          <w:rFonts w:ascii="Arial" w:cs="Arial" w:eastAsia="Arial" w:hAnsi="Arial"/>
          <w:sz w:val="19"/>
          <w:szCs w:val="19"/>
          <w:color w:val="5D5D5D"/>
        </w:rPr>
        <w:t xml:space="preserve"> </w:t>
      </w:r>
      <w:r>
        <w:rPr>
          <w:rFonts w:ascii="Arial" w:cs="Arial" w:eastAsia="Arial" w:hAnsi="Arial"/>
          <w:sz w:val="20"/>
          <w:szCs w:val="20"/>
          <w:b w:val="1"/>
          <w:bCs w:val="1"/>
          <w:color w:val="5D5D5D"/>
        </w:rPr>
        <w:t>of</w:t>
      </w:r>
      <w:r>
        <w:rPr>
          <w:rFonts w:ascii="Arial" w:cs="Arial" w:eastAsia="Arial" w:hAnsi="Arial"/>
          <w:sz w:val="19"/>
          <w:szCs w:val="19"/>
          <w:color w:val="5D5D5D"/>
        </w:rPr>
        <w:t xml:space="preserve"> </w:t>
      </w:r>
      <w:r>
        <w:rPr>
          <w:rFonts w:ascii="Arial" w:cs="Arial" w:eastAsia="Arial" w:hAnsi="Arial"/>
          <w:sz w:val="18"/>
          <w:szCs w:val="18"/>
          <w:b w:val="1"/>
          <w:bCs w:val="1"/>
          <w:color w:val="494949"/>
        </w:rPr>
        <w:t>12</w:t>
      </w:r>
    </w:p>
    <w:p>
      <w:pPr>
        <w:sectPr>
          <w:pgSz w:w="11900" w:h="16838" w:orient="portrait"/>
          <w:cols w:equalWidth="0" w:num="1">
            <w:col w:w="10980"/>
          </w:cols>
          <w:pgMar w:left="360" w:top="1327" w:right="5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140"/>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We consent to the incorporation by reference in the following Registration Statements:</w:t>
      </w:r>
    </w:p>
    <w:p>
      <w:pPr>
        <w:spacing w:after="0" w:line="260" w:lineRule="exact"/>
        <w:rPr>
          <w:sz w:val="20"/>
          <w:szCs w:val="20"/>
          <w:color w:val="auto"/>
        </w:rPr>
      </w:pPr>
    </w:p>
    <w:p>
      <w:pPr>
        <w:ind w:left="880" w:hanging="475"/>
        <w:spacing w:after="0" w:line="196" w:lineRule="exact"/>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w:t>
      </w:r>
      <w:r>
        <w:rPr>
          <w:rFonts w:ascii="MS PGothic" w:cs="MS PGothic" w:eastAsia="MS PGothic" w:hAnsi="MS PGothic"/>
          <w:sz w:val="17"/>
          <w:szCs w:val="17"/>
          <w:color w:val="auto"/>
        </w:rPr>
        <w:t>‑</w:t>
      </w:r>
      <w:r>
        <w:rPr>
          <w:rFonts w:ascii="Arial" w:cs="Arial" w:eastAsia="Arial" w:hAnsi="Arial"/>
          <w:sz w:val="17"/>
          <w:szCs w:val="17"/>
          <w:color w:val="auto"/>
        </w:rPr>
        <w:t>8 No. 333</w:t>
      </w:r>
      <w:r>
        <w:rPr>
          <w:rFonts w:ascii="MS PGothic" w:cs="MS PGothic" w:eastAsia="MS PGothic" w:hAnsi="MS PGothic"/>
          <w:sz w:val="17"/>
          <w:szCs w:val="17"/>
          <w:color w:val="auto"/>
        </w:rPr>
        <w:t>‑</w:t>
      </w:r>
      <w:r>
        <w:rPr>
          <w:rFonts w:ascii="Arial" w:cs="Arial" w:eastAsia="Arial" w:hAnsi="Arial"/>
          <w:sz w:val="17"/>
          <w:szCs w:val="17"/>
          <w:color w:val="auto"/>
        </w:rPr>
        <w:t>136088) pertaining to the 2006 Equity Incentive Plan of Synchronoss Technologies, Inc.,</w:t>
      </w:r>
    </w:p>
    <w:p>
      <w:pPr>
        <w:spacing w:after="0" w:line="46" w:lineRule="exact"/>
        <w:rPr>
          <w:rFonts w:ascii="Arial" w:cs="Arial" w:eastAsia="Arial" w:hAnsi="Arial"/>
          <w:sz w:val="17"/>
          <w:szCs w:val="17"/>
          <w:color w:val="auto"/>
        </w:rPr>
      </w:pPr>
    </w:p>
    <w:p>
      <w:pPr>
        <w:ind w:left="880" w:hanging="475"/>
        <w:spacing w:after="0" w:line="196" w:lineRule="exact"/>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w:t>
      </w:r>
      <w:r>
        <w:rPr>
          <w:rFonts w:ascii="MS PGothic" w:cs="MS PGothic" w:eastAsia="MS PGothic" w:hAnsi="MS PGothic"/>
          <w:sz w:val="17"/>
          <w:szCs w:val="17"/>
          <w:color w:val="auto"/>
        </w:rPr>
        <w:t>‑</w:t>
      </w:r>
      <w:r>
        <w:rPr>
          <w:rFonts w:ascii="Arial" w:cs="Arial" w:eastAsia="Arial" w:hAnsi="Arial"/>
          <w:sz w:val="17"/>
          <w:szCs w:val="17"/>
          <w:color w:val="auto"/>
        </w:rPr>
        <w:t>8 No. 333</w:t>
      </w:r>
      <w:r>
        <w:rPr>
          <w:rFonts w:ascii="MS PGothic" w:cs="MS PGothic" w:eastAsia="MS PGothic" w:hAnsi="MS PGothic"/>
          <w:sz w:val="17"/>
          <w:szCs w:val="17"/>
          <w:color w:val="auto"/>
        </w:rPr>
        <w:t>‑</w:t>
      </w:r>
      <w:r>
        <w:rPr>
          <w:rFonts w:ascii="Arial" w:cs="Arial" w:eastAsia="Arial" w:hAnsi="Arial"/>
          <w:sz w:val="17"/>
          <w:szCs w:val="17"/>
          <w:color w:val="auto"/>
        </w:rPr>
        <w:t>167000) pertaining to the 2006 Equity Incentive Plan of Synchronoss Technologies, Inc.,</w:t>
      </w:r>
    </w:p>
    <w:p>
      <w:pPr>
        <w:spacing w:after="0" w:line="30" w:lineRule="exact"/>
        <w:rPr>
          <w:rFonts w:ascii="Arial" w:cs="Arial" w:eastAsia="Arial" w:hAnsi="Arial"/>
          <w:sz w:val="17"/>
          <w:szCs w:val="17"/>
          <w:color w:val="auto"/>
        </w:rPr>
      </w:pPr>
    </w:p>
    <w:p>
      <w:pPr>
        <w:ind w:left="880" w:hanging="475"/>
        <w:spacing w:after="0" w:line="248" w:lineRule="auto"/>
        <w:tabs>
          <w:tab w:leader="none" w:pos="868"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S-8 No. 333-216614) pertaining to the Intralinks Holdings, Inc. 2007 Stock Option and Grant Plan and Intralinks Holdings, Inc. 2010 Equity Incentive Plan,</w:t>
      </w:r>
    </w:p>
    <w:p>
      <w:pPr>
        <w:ind w:left="880" w:hanging="475"/>
        <w:spacing w:after="0" w:line="226" w:lineRule="exact"/>
        <w:tabs>
          <w:tab w:leader="none" w:pos="868"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w:t>
      </w:r>
      <w:r>
        <w:rPr>
          <w:rFonts w:ascii="MS PGothic" w:cs="MS PGothic" w:eastAsia="MS PGothic" w:hAnsi="MS PGothic"/>
          <w:sz w:val="19"/>
          <w:szCs w:val="19"/>
          <w:color w:val="auto"/>
        </w:rPr>
        <w:t>‑</w:t>
      </w:r>
      <w:r>
        <w:rPr>
          <w:rFonts w:ascii="Arial" w:cs="Arial" w:eastAsia="Arial" w:hAnsi="Arial"/>
          <w:sz w:val="19"/>
          <w:szCs w:val="19"/>
          <w:color w:val="auto"/>
        </w:rPr>
        <w:t>8 No. 333</w:t>
      </w:r>
      <w:r>
        <w:rPr>
          <w:rFonts w:ascii="MS PGothic" w:cs="MS PGothic" w:eastAsia="MS PGothic" w:hAnsi="MS PGothic"/>
          <w:sz w:val="19"/>
          <w:szCs w:val="19"/>
          <w:color w:val="auto"/>
        </w:rPr>
        <w:t>‑</w:t>
      </w:r>
      <w:r>
        <w:rPr>
          <w:rFonts w:ascii="Arial" w:cs="Arial" w:eastAsia="Arial" w:hAnsi="Arial"/>
          <w:sz w:val="19"/>
          <w:szCs w:val="19"/>
          <w:color w:val="auto"/>
        </w:rPr>
        <w:t>168745) pertaining to the 2010 New Hire Equity Incentive Plan of Synchronoss Technologies, Inc.,</w:t>
      </w:r>
    </w:p>
    <w:p>
      <w:pPr>
        <w:ind w:left="880" w:hanging="475"/>
        <w:spacing w:after="0" w:line="226" w:lineRule="exact"/>
        <w:tabs>
          <w:tab w:leader="none" w:pos="868"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w:t>
      </w:r>
      <w:r>
        <w:rPr>
          <w:rFonts w:ascii="MS PGothic" w:cs="MS PGothic" w:eastAsia="MS PGothic" w:hAnsi="MS PGothic"/>
          <w:sz w:val="19"/>
          <w:szCs w:val="19"/>
          <w:color w:val="auto"/>
        </w:rPr>
        <w:t>‑</w:t>
      </w:r>
      <w:r>
        <w:rPr>
          <w:rFonts w:ascii="Arial" w:cs="Arial" w:eastAsia="Arial" w:hAnsi="Arial"/>
          <w:sz w:val="19"/>
          <w:szCs w:val="19"/>
          <w:color w:val="auto"/>
        </w:rPr>
        <w:t>8 No. 333</w:t>
      </w:r>
      <w:r>
        <w:rPr>
          <w:rFonts w:ascii="MS PGothic" w:cs="MS PGothic" w:eastAsia="MS PGothic" w:hAnsi="MS PGothic"/>
          <w:sz w:val="19"/>
          <w:szCs w:val="19"/>
          <w:color w:val="auto"/>
        </w:rPr>
        <w:t>‑</w:t>
      </w:r>
      <w:r>
        <w:rPr>
          <w:rFonts w:ascii="Arial" w:cs="Arial" w:eastAsia="Arial" w:hAnsi="Arial"/>
          <w:sz w:val="19"/>
          <w:szCs w:val="19"/>
          <w:color w:val="auto"/>
        </w:rPr>
        <w:t>179544) pertaining to the Employee Stock Purchase Plan of Synchronoss Technologies, Inc.,</w:t>
      </w:r>
    </w:p>
    <w:p>
      <w:pPr>
        <w:ind w:left="880" w:hanging="475"/>
        <w:spacing w:after="0" w:line="196" w:lineRule="exact"/>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w:t>
      </w:r>
      <w:r>
        <w:rPr>
          <w:rFonts w:ascii="MS PGothic" w:cs="MS PGothic" w:eastAsia="MS PGothic" w:hAnsi="MS PGothic"/>
          <w:sz w:val="17"/>
          <w:szCs w:val="17"/>
          <w:color w:val="auto"/>
        </w:rPr>
        <w:t>‑</w:t>
      </w:r>
      <w:r>
        <w:rPr>
          <w:rFonts w:ascii="Arial" w:cs="Arial" w:eastAsia="Arial" w:hAnsi="Arial"/>
          <w:sz w:val="17"/>
          <w:szCs w:val="17"/>
          <w:color w:val="auto"/>
        </w:rPr>
        <w:t>8 No. 333</w:t>
      </w:r>
      <w:r>
        <w:rPr>
          <w:rFonts w:ascii="MS PGothic" w:cs="MS PGothic" w:eastAsia="MS PGothic" w:hAnsi="MS PGothic"/>
          <w:sz w:val="17"/>
          <w:szCs w:val="17"/>
          <w:color w:val="auto"/>
        </w:rPr>
        <w:t>‑</w:t>
      </w:r>
      <w:r>
        <w:rPr>
          <w:rFonts w:ascii="Arial" w:cs="Arial" w:eastAsia="Arial" w:hAnsi="Arial"/>
          <w:sz w:val="17"/>
          <w:szCs w:val="17"/>
          <w:color w:val="auto"/>
        </w:rPr>
        <w:t>188939) pertaining to the 2006 Equity Incentive Plan of Synchronoss Technologies, Inc.,</w:t>
      </w:r>
    </w:p>
    <w:p>
      <w:pPr>
        <w:spacing w:after="0" w:line="30" w:lineRule="exact"/>
        <w:rPr>
          <w:rFonts w:ascii="Arial" w:cs="Arial" w:eastAsia="Arial" w:hAnsi="Arial"/>
          <w:sz w:val="17"/>
          <w:szCs w:val="17"/>
          <w:color w:val="auto"/>
        </w:rPr>
      </w:pPr>
    </w:p>
    <w:p>
      <w:pPr>
        <w:ind w:left="880" w:hanging="475"/>
        <w:spacing w:after="0" w:line="196" w:lineRule="exact"/>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w:t>
      </w:r>
      <w:r>
        <w:rPr>
          <w:rFonts w:ascii="MS PGothic" w:cs="MS PGothic" w:eastAsia="MS PGothic" w:hAnsi="MS PGothic"/>
          <w:sz w:val="17"/>
          <w:szCs w:val="17"/>
          <w:color w:val="auto"/>
        </w:rPr>
        <w:t>‑</w:t>
      </w:r>
      <w:r>
        <w:rPr>
          <w:rFonts w:ascii="Arial" w:cs="Arial" w:eastAsia="Arial" w:hAnsi="Arial"/>
          <w:sz w:val="17"/>
          <w:szCs w:val="17"/>
          <w:color w:val="auto"/>
        </w:rPr>
        <w:t>204311) pertaining to the 2015 Equity Incentive Plan of Synchronoss Technologies, Inc.,</w:t>
      </w:r>
    </w:p>
    <w:p>
      <w:pPr>
        <w:spacing w:after="0" w:line="30" w:lineRule="exact"/>
        <w:rPr>
          <w:rFonts w:ascii="Arial" w:cs="Arial" w:eastAsia="Arial" w:hAnsi="Arial"/>
          <w:sz w:val="17"/>
          <w:szCs w:val="17"/>
          <w:color w:val="auto"/>
        </w:rPr>
      </w:pPr>
    </w:p>
    <w:p>
      <w:pPr>
        <w:ind w:left="880" w:hanging="475"/>
        <w:spacing w:after="0" w:line="226" w:lineRule="exact"/>
        <w:tabs>
          <w:tab w:leader="none" w:pos="868"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S-8 No. 333</w:t>
      </w:r>
      <w:r>
        <w:rPr>
          <w:rFonts w:ascii="MS PGothic" w:cs="MS PGothic" w:eastAsia="MS PGothic" w:hAnsi="MS PGothic"/>
          <w:sz w:val="19"/>
          <w:szCs w:val="19"/>
          <w:color w:val="auto"/>
        </w:rPr>
        <w:t>‑</w:t>
      </w:r>
      <w:r>
        <w:rPr>
          <w:rFonts w:ascii="Arial" w:cs="Arial" w:eastAsia="Arial" w:hAnsi="Arial"/>
          <w:sz w:val="19"/>
          <w:szCs w:val="19"/>
          <w:color w:val="auto"/>
        </w:rPr>
        <w:t>237276) pertaining to the Amended and Restated 2015 Equity Incentive Plan of Synchronoss Technologies, Inc.,</w:t>
      </w:r>
    </w:p>
    <w:p>
      <w:pPr>
        <w:ind w:left="880" w:hanging="475"/>
        <w:spacing w:after="0" w:line="226" w:lineRule="exact"/>
        <w:tabs>
          <w:tab w:leader="none" w:pos="868"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S-8 No. 333</w:t>
      </w:r>
      <w:r>
        <w:rPr>
          <w:rFonts w:ascii="MS PGothic" w:cs="MS PGothic" w:eastAsia="MS PGothic" w:hAnsi="MS PGothic"/>
          <w:sz w:val="19"/>
          <w:szCs w:val="19"/>
          <w:color w:val="auto"/>
        </w:rPr>
        <w:t>‑</w:t>
      </w:r>
      <w:r>
        <w:rPr>
          <w:rFonts w:ascii="Arial" w:cs="Arial" w:eastAsia="Arial" w:hAnsi="Arial"/>
          <w:sz w:val="19"/>
          <w:szCs w:val="19"/>
          <w:color w:val="auto"/>
        </w:rPr>
        <w:t>257097) pertaining to the Amended and Restated 2015 Equity Incentive Plan of Synchronoss Technologies, Inc.,</w:t>
      </w:r>
    </w:p>
    <w:p>
      <w:pPr>
        <w:ind w:left="880" w:hanging="475"/>
        <w:spacing w:after="0" w:line="219" w:lineRule="exact"/>
        <w:tabs>
          <w:tab w:leader="none" w:pos="8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S-3 No. 333</w:t>
      </w:r>
      <w:r>
        <w:rPr>
          <w:rFonts w:ascii="MS PGothic" w:cs="MS PGothic" w:eastAsia="MS PGothic" w:hAnsi="MS PGothic"/>
          <w:sz w:val="19"/>
          <w:szCs w:val="19"/>
          <w:color w:val="auto"/>
        </w:rPr>
        <w:t>‑</w:t>
      </w:r>
      <w:r>
        <w:rPr>
          <w:rFonts w:ascii="Arial" w:cs="Arial" w:eastAsia="Arial" w:hAnsi="Arial"/>
          <w:sz w:val="19"/>
          <w:szCs w:val="19"/>
          <w:color w:val="auto"/>
        </w:rPr>
        <w:t>248133) of Synchronoss Technologies, Inc.,</w:t>
      </w:r>
    </w:p>
    <w:p>
      <w:pPr>
        <w:spacing w:after="0" w:line="7" w:lineRule="exact"/>
        <w:rPr>
          <w:rFonts w:ascii="Arial" w:cs="Arial" w:eastAsia="Arial" w:hAnsi="Arial"/>
          <w:sz w:val="19"/>
          <w:szCs w:val="19"/>
          <w:color w:val="auto"/>
        </w:rPr>
      </w:pPr>
    </w:p>
    <w:p>
      <w:pPr>
        <w:ind w:left="860" w:hanging="455"/>
        <w:spacing w:after="0" w:line="219" w:lineRule="exact"/>
        <w:tabs>
          <w:tab w:leader="none" w:pos="8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S-3 No. 333</w:t>
      </w:r>
      <w:r>
        <w:rPr>
          <w:rFonts w:ascii="MS PGothic" w:cs="MS PGothic" w:eastAsia="MS PGothic" w:hAnsi="MS PGothic"/>
          <w:sz w:val="19"/>
          <w:szCs w:val="19"/>
          <w:color w:val="auto"/>
        </w:rPr>
        <w:t>‑</w:t>
      </w:r>
      <w:r>
        <w:rPr>
          <w:rFonts w:ascii="Arial" w:cs="Arial" w:eastAsia="Arial" w:hAnsi="Arial"/>
          <w:sz w:val="19"/>
          <w:szCs w:val="19"/>
          <w:color w:val="auto"/>
        </w:rPr>
        <w:t>260482) of Synchronoss Technologies, Inc., and</w:t>
      </w:r>
    </w:p>
    <w:p>
      <w:pPr>
        <w:spacing w:after="0" w:line="7" w:lineRule="exact"/>
        <w:rPr>
          <w:rFonts w:ascii="Arial" w:cs="Arial" w:eastAsia="Arial" w:hAnsi="Arial"/>
          <w:sz w:val="19"/>
          <w:szCs w:val="19"/>
          <w:color w:val="auto"/>
        </w:rPr>
      </w:pPr>
    </w:p>
    <w:p>
      <w:pPr>
        <w:ind w:left="880" w:hanging="475"/>
        <w:spacing w:after="0" w:line="229" w:lineRule="exact"/>
        <w:tabs>
          <w:tab w:leader="none" w:pos="872"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Registration Statement (Form S-8 No. 333</w:t>
      </w:r>
      <w:r>
        <w:rPr>
          <w:rFonts w:ascii="MS PGothic" w:cs="MS PGothic" w:eastAsia="MS PGothic" w:hAnsi="MS PGothic"/>
          <w:sz w:val="19"/>
          <w:szCs w:val="19"/>
          <w:color w:val="auto"/>
        </w:rPr>
        <w:t>‑</w:t>
      </w:r>
      <w:r>
        <w:rPr>
          <w:rFonts w:ascii="Arial" w:cs="Arial" w:eastAsia="Arial" w:hAnsi="Arial"/>
          <w:sz w:val="19"/>
          <w:szCs w:val="19"/>
          <w:color w:val="auto"/>
        </w:rPr>
        <w:t>230539) pertaining to the Synchronoss Technologies, Inc. 2017 New Hire Equity Incentive Plan, Glenn Lurie Inducement Awards and Synchronoss Technologies, Inc. Employee Stock Purchase Plan;</w:t>
      </w: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of our reports dated March 15, 2022, with respect to the consolidated financial statements of Synchronoss Technologies, Inc. and the effectiveness of internal control over financial reporting of Synchronoss Technologies, Inc. included in this Annual Report (Form 10-K) of Synchronoss Technologies, Inc. for the year ended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Iselin, New Jersey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9"/>
          <w:szCs w:val="9"/>
          <w:color w:val="808080"/>
        </w:rPr>
        <w:t>A member firm of Ernst &amp; Young Global Limited</w:t>
      </w:r>
    </w:p>
    <w:p>
      <w:pPr>
        <w:sectPr>
          <w:pgSz w:w="11900" w:h="16838" w:orient="portrait"/>
          <w:cols w:equalWidth="0" w:num="1">
            <w:col w:w="11240"/>
          </w:cols>
          <w:pgMar w:left="320" w:top="609"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Jeff Miller</w:t>
      </w:r>
      <w:r>
        <w:rPr>
          <w:rFonts w:ascii="Arial" w:cs="Arial" w:eastAsia="Arial" w:hAnsi="Arial"/>
          <w:sz w:val="18"/>
          <w:szCs w:val="18"/>
          <w:color w:val="auto"/>
        </w:rPr>
        <w:t>, certify that:</w:t>
      </w:r>
    </w:p>
    <w:p>
      <w:pPr>
        <w:spacing w:after="0" w:line="224" w:lineRule="exact"/>
        <w:rPr>
          <w:sz w:val="20"/>
          <w:szCs w:val="20"/>
          <w:color w:val="auto"/>
        </w:rPr>
      </w:pPr>
    </w:p>
    <w:p>
      <w:pPr>
        <w:ind w:left="640" w:hanging="315"/>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2021;</w:t>
      </w:r>
    </w:p>
    <w:p>
      <w:pPr>
        <w:spacing w:after="0" w:line="178"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40" w:hanging="315"/>
        <w:spacing w:after="0" w:line="296"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jc w:val="both"/>
        <w:ind w:left="1280" w:hanging="316"/>
        <w:spacing w:after="0" w:line="256" w:lineRule="auto"/>
        <w:tabs>
          <w:tab w:leader="none" w:pos="127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280" w:hanging="316"/>
        <w:spacing w:after="0" w:line="256" w:lineRule="auto"/>
        <w:tabs>
          <w:tab w:leader="none" w:pos="12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left="1280" w:hanging="316"/>
        <w:spacing w:after="0" w:line="329" w:lineRule="auto"/>
        <w:tabs>
          <w:tab w:leader="none" w:pos="127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6"/>
          <w:szCs w:val="16"/>
          <w:color w:val="auto"/>
        </w:rPr>
      </w:pPr>
    </w:p>
    <w:p>
      <w:pPr>
        <w:jc w:val="both"/>
        <w:ind w:left="1280" w:hanging="316"/>
        <w:spacing w:after="0" w:line="256" w:lineRule="auto"/>
        <w:tabs>
          <w:tab w:leader="none" w:pos="12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640" w:right="20" w:hanging="315"/>
        <w:spacing w:after="0" w:line="329"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1280" w:hanging="316"/>
        <w:spacing w:after="0" w:line="296" w:lineRule="auto"/>
        <w:tabs>
          <w:tab w:leader="none" w:pos="127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7"/>
          <w:szCs w:val="17"/>
          <w:color w:val="auto"/>
        </w:rPr>
      </w:pPr>
    </w:p>
    <w:p>
      <w:pPr>
        <w:ind w:left="1280" w:hanging="316"/>
        <w:spacing w:after="0" w:line="266" w:lineRule="auto"/>
        <w:tabs>
          <w:tab w:leader="none" w:pos="12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28575</wp:posOffset>
            </wp:positionV>
            <wp:extent cx="2988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3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79"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Taylor Greenwald, certify that:</w:t>
      </w:r>
    </w:p>
    <w:p>
      <w:pPr>
        <w:spacing w:after="0" w:line="218" w:lineRule="exact"/>
        <w:rPr>
          <w:sz w:val="20"/>
          <w:szCs w:val="20"/>
          <w:color w:val="auto"/>
        </w:rPr>
      </w:pPr>
    </w:p>
    <w:p>
      <w:pPr>
        <w:ind w:left="640" w:hanging="315"/>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Synchronoss Technologies, Inc. for the year ended December 31, 2021;</w:t>
      </w:r>
    </w:p>
    <w:p>
      <w:pPr>
        <w:spacing w:after="0" w:line="178" w:lineRule="exact"/>
        <w:rPr>
          <w:rFonts w:ascii="Arial" w:cs="Arial" w:eastAsia="Arial" w:hAnsi="Arial"/>
          <w:sz w:val="18"/>
          <w:szCs w:val="18"/>
          <w:color w:val="auto"/>
        </w:rPr>
      </w:pPr>
    </w:p>
    <w:p>
      <w:pPr>
        <w:jc w:val="both"/>
        <w:ind w:left="640" w:hanging="315"/>
        <w:spacing w:after="0" w:line="256"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40" w:hanging="315"/>
        <w:spacing w:after="0" w:line="296"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jc w:val="both"/>
        <w:ind w:left="640" w:hanging="315"/>
        <w:spacing w:after="0" w:line="256"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jc w:val="both"/>
        <w:ind w:left="1280" w:hanging="316"/>
        <w:spacing w:after="0" w:line="256" w:lineRule="auto"/>
        <w:tabs>
          <w:tab w:leader="none" w:pos="127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1280" w:hanging="316"/>
        <w:spacing w:after="0" w:line="256" w:lineRule="auto"/>
        <w:tabs>
          <w:tab w:leader="none" w:pos="12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left="1280" w:hanging="316"/>
        <w:spacing w:after="0" w:line="329" w:lineRule="auto"/>
        <w:tabs>
          <w:tab w:leader="none" w:pos="127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6"/>
          <w:szCs w:val="16"/>
          <w:color w:val="auto"/>
        </w:rPr>
      </w:pPr>
    </w:p>
    <w:p>
      <w:pPr>
        <w:jc w:val="both"/>
        <w:ind w:left="1280" w:hanging="316"/>
        <w:spacing w:after="0" w:line="256" w:lineRule="auto"/>
        <w:tabs>
          <w:tab w:leader="none" w:pos="12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 w:hanging="315"/>
        <w:spacing w:after="0" w:line="329" w:lineRule="auto"/>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6"/>
          <w:szCs w:val="16"/>
          <w:color w:val="auto"/>
        </w:rPr>
      </w:pPr>
    </w:p>
    <w:p>
      <w:pPr>
        <w:ind w:left="1280" w:hanging="316"/>
        <w:spacing w:after="0" w:line="296" w:lineRule="auto"/>
        <w:tabs>
          <w:tab w:leader="none" w:pos="127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7"/>
          <w:szCs w:val="17"/>
          <w:color w:val="auto"/>
        </w:rPr>
      </w:pPr>
    </w:p>
    <w:p>
      <w:pPr>
        <w:ind w:left="1280" w:hanging="316"/>
        <w:spacing w:after="0" w:line="266" w:lineRule="auto"/>
        <w:tabs>
          <w:tab w:leader="none" w:pos="12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00" w:lineRule="exact"/>
        <w:rPr>
          <w:sz w:val="20"/>
          <w:szCs w:val="20"/>
          <w:color w:val="auto"/>
        </w:rPr>
      </w:pPr>
    </w:p>
    <w:p>
      <w:pPr>
        <w:spacing w:after="0" w:line="20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28575</wp:posOffset>
            </wp:positionV>
            <wp:extent cx="264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3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Taylor Greenwald</w:t>
      </w:r>
    </w:p>
    <w:p>
      <w:pPr>
        <w:spacing w:after="0" w:line="7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79"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PURSUANT TO 18 U.S.C. SECTION 1350</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In connection with the Annual Report on Form 10-K of Synchronoss Technologies, Inc. (the “Company”) for the year ended December 31, 2021,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4" w:lineRule="exact"/>
        <w:rPr>
          <w:sz w:val="20"/>
          <w:szCs w:val="20"/>
          <w:color w:val="auto"/>
        </w:rPr>
      </w:pPr>
    </w:p>
    <w:p>
      <w:pPr>
        <w:ind w:left="640" w:hanging="315"/>
        <w:spacing w:after="0"/>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14" w:lineRule="exact"/>
        <w:rPr>
          <w:rFonts w:ascii="Arial" w:cs="Arial" w:eastAsia="Arial" w:hAnsi="Arial"/>
          <w:sz w:val="16"/>
          <w:szCs w:val="16"/>
          <w:color w:val="auto"/>
        </w:rPr>
      </w:pPr>
    </w:p>
    <w:p>
      <w:pPr>
        <w:ind w:left="640" w:hanging="315"/>
        <w:spacing w:after="0"/>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28575</wp:posOffset>
            </wp:positionV>
            <wp:extent cx="30054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spacing w:after="0" w:line="3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Chief Executive Officer</w:t>
      </w:r>
    </w:p>
    <w:p>
      <w:pPr>
        <w:spacing w:after="0" w:line="3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9"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Annual Report on Form 10-K of Synchronoss Technologies, Inc. (the “Company”) for the year ended December 31, 2021, as filed with the Securities and Exchange Commission on the date hereof (the “Report”), I, Taylor Greenwald, the Chief Financial Officer of the Company, hereby certify, pursuant to 18 U.S.C. 1350, as adopted pursuant to Section 906 of the Sarbanes-Oxley Act of 2002, to the best of my knowledge and belief that:</w:t>
      </w:r>
    </w:p>
    <w:p>
      <w:pPr>
        <w:spacing w:after="0" w:line="114" w:lineRule="exact"/>
        <w:rPr>
          <w:sz w:val="20"/>
          <w:szCs w:val="20"/>
          <w:color w:val="auto"/>
        </w:rPr>
      </w:pPr>
    </w:p>
    <w:p>
      <w:pPr>
        <w:ind w:left="640" w:hanging="315"/>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14" w:lineRule="exact"/>
        <w:rPr>
          <w:rFonts w:ascii="Arial" w:cs="Arial" w:eastAsia="Arial" w:hAnsi="Arial"/>
          <w:sz w:val="16"/>
          <w:szCs w:val="16"/>
          <w:color w:val="auto"/>
        </w:rPr>
      </w:pPr>
    </w:p>
    <w:p>
      <w:pPr>
        <w:ind w:left="640" w:hanging="315"/>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28575</wp:posOffset>
            </wp:positionV>
            <wp:extent cx="2558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Taylor Greenwald</w:t>
      </w:r>
    </w:p>
    <w:p>
      <w:pPr>
        <w:spacing w:after="0" w:line="7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Chief Financial Officer</w:t>
      </w:r>
    </w:p>
    <w:p>
      <w:pPr>
        <w:spacing w:after="0" w:line="3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lvl w:ilvl="1">
      <w:lvlJc w:val="left"/>
      <w:lvlText w:val="◦"/>
      <w:numFmt w:val="bullet"/>
      <w:start w:val="1"/>
    </w:lvl>
  </w:abstractNum>
  <w:abstractNum w:abstractNumId="3">
    <w:nsid w:val="725A06FB"/>
    <w:multiLevelType w:val="hybridMultilevel"/>
    <w:lvl w:ilvl="0">
      <w:lvlJc w:val="left"/>
      <w:lvlText w:val="•"/>
      <w:numFmt w:val="bullet"/>
      <w:start w:val="1"/>
    </w:lvl>
    <w:lvl w:ilvl="1">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lvl w:ilvl="1">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1"/>
      <w:numFmt w:val="bullet"/>
      <w:start w:val="1"/>
    </w:lvl>
  </w:abstractNum>
  <w:abstractNum w:abstractNumId="29">
    <w:nsid w:val="1CF10FD8"/>
    <w:multiLevelType w:val="hybridMultilevel"/>
    <w:lvl w:ilvl="0">
      <w:lvlJc w:val="left"/>
      <w:lvlText w:val="1"/>
      <w:numFmt w:val="bullet"/>
      <w:start w:val="1"/>
    </w:lvl>
  </w:abstractNum>
  <w:abstractNum w:abstractNumId="30">
    <w:nsid w:val="180115BE"/>
    <w:multiLevelType w:val="hybridMultilevel"/>
    <w:lvl w:ilvl="0">
      <w:lvlJc w:val="left"/>
      <w:lvlText w:val="1"/>
      <w:numFmt w:val="bullet"/>
      <w:start w:val="1"/>
    </w:lvl>
  </w:abstractNum>
  <w:abstractNum w:abstractNumId="31">
    <w:nsid w:val="235BA861"/>
    <w:multiLevelType w:val="hybridMultilevel"/>
    <w:lvl w:ilvl="0">
      <w:lvlJc w:val="left"/>
      <w:lvlText w:val="•"/>
      <w:numFmt w:val="bullet"/>
      <w:start w:val="1"/>
    </w:lvl>
    <w:lvl w:ilvl="1">
      <w:lvlJc w:val="left"/>
      <w:lvlText w:val="\endash "/>
      <w:numFmt w:val="bullet"/>
      <w:start w:val="1"/>
    </w:lvl>
  </w:abstractNum>
  <w:abstractNum w:abstractNumId="32">
    <w:nsid w:val="47398C89"/>
    <w:multiLevelType w:val="hybridMultilevel"/>
    <w:lvl w:ilvl="0">
      <w:lvlJc w:val="left"/>
      <w:lvlText w:val="1"/>
      <w:numFmt w:val="bullet"/>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bullet"/>
      <w:start w:val="1"/>
    </w:lvl>
  </w:abstractNum>
  <w:abstractNum w:abstractNumId="37">
    <w:nsid w:val="10233C99"/>
    <w:multiLevelType w:val="hybridMultilevel"/>
    <w:lvl w:ilvl="0">
      <w:lvlJc w:val="left"/>
      <w:lvlText w:val="1"/>
      <w:numFmt w:val="bullet"/>
      <w:start w:val="1"/>
    </w:lvl>
  </w:abstractNum>
  <w:abstractNum w:abstractNumId="38">
    <w:nsid w:val="3F6AB60F"/>
    <w:multiLevelType w:val="hybridMultilevel"/>
    <w:lvl w:ilvl="0">
      <w:lvlJc w:val="left"/>
      <w:lvlText w:val="1"/>
      <w:numFmt w:val="bullet"/>
      <w:start w:val="1"/>
    </w:lvl>
  </w:abstractNum>
  <w:abstractNum w:abstractNumId="39">
    <w:nsid w:val="61574095"/>
    <w:multiLevelType w:val="hybridMultilevel"/>
    <w:lvl w:ilvl="0">
      <w:lvlJc w:val="left"/>
      <w:lvlText w:val="1"/>
      <w:numFmt w:val="bullet"/>
      <w:start w:val="1"/>
    </w:lvl>
  </w:abstractNum>
  <w:abstractNum w:abstractNumId="40">
    <w:nsid w:val="7E0C57B1"/>
    <w:multiLevelType w:val="hybridMultilevel"/>
    <w:lvl w:ilvl="0">
      <w:lvlJc w:val="left"/>
      <w:lvlText w:val="2"/>
      <w:numFmt w:val="bullet"/>
      <w:start w:val="1"/>
    </w:lvl>
  </w:abstractNum>
  <w:abstractNum w:abstractNumId="41">
    <w:nsid w:val="77AE35EB"/>
    <w:multiLevelType w:val="hybridMultilevel"/>
    <w:lvl w:ilvl="0">
      <w:lvlJc w:val="left"/>
      <w:lvlText w:val="1"/>
      <w:numFmt w:val="bullet"/>
      <w:start w:val="1"/>
    </w:lvl>
  </w:abstractNum>
  <w:abstractNum w:abstractNumId="42">
    <w:nsid w:val="579BE4F1"/>
    <w:multiLevelType w:val="hybridMultilevel"/>
    <w:lvl w:ilvl="0">
      <w:lvlJc w:val="left"/>
      <w:lvlText w:val="1"/>
      <w:numFmt w:val="bullet"/>
      <w:start w:val="1"/>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lowerLetter"/>
      <w:start w:val="2"/>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49">
    <w:nsid w:val="1F48EAA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0">
    <w:nsid w:val="138182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1">
    <w:nsid w:val="5DB70AE5"/>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52">
    <w:nsid w:val="100F8FCA"/>
    <w:multiLevelType w:val="hybridMultilevel"/>
    <w:lvl w:ilvl="0">
      <w:lvlJc w:val="left"/>
      <w:lvlText w:val="(%1)"/>
      <w:numFmt w:val="lowerLetter"/>
      <w:start w:val="3"/>
    </w:lvl>
  </w:abstractNum>
  <w:abstractNum w:abstractNumId="53">
    <w:nsid w:val="6590700B"/>
    <w:multiLevelType w:val="hybridMultilevel"/>
    <w:lvl w:ilvl="0">
      <w:lvlJc w:val="left"/>
      <w:lvlText w:val="%1."/>
      <w:numFmt w:val="decimal"/>
      <w:start w:val="6"/>
    </w:lvl>
    <w:lvl w:ilvl="1">
      <w:lvlJc w:val="left"/>
      <w:lvlText w:val="%2."/>
      <w:numFmt w:val="decimal"/>
      <w:start w:val="5"/>
    </w:lvl>
    <w:lvl w:ilvl="2">
      <w:lvlJc w:val="left"/>
      <w:lvlText w:val="%3"/>
      <w:numFmt w:val="lowerRoman"/>
      <w:start w:val="1"/>
    </w:lvl>
    <w:lvl w:ilvl="3">
      <w:lvlJc w:val="left"/>
      <w:lvlText w:val="(%4)"/>
      <w:numFmt w:val="lowerLetter"/>
      <w:start w:val="4"/>
    </w:lvl>
    <w:lvl w:ilvl="4">
      <w:lvlJc w:val="left"/>
      <w:lvlText w:val="(%5)"/>
      <w:numFmt w:val="lowerLetter"/>
      <w:start w:val="1"/>
    </w:lvl>
  </w:abstractNum>
  <w:abstractNum w:abstractNumId="54">
    <w:nsid w:val="15014ACB"/>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lvl w:ilvl="4">
      <w:lvlJc w:val="left"/>
      <w:lvlText w:val="(%5)"/>
      <w:numFmt w:val="lowerLetter"/>
      <w:start w:val="9"/>
    </w:lvl>
  </w:abstractNum>
  <w:abstractNum w:abstractNumId="55">
    <w:nsid w:val="5F5E7FD0"/>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lvl w:ilvl="4">
      <w:lvlJc w:val="left"/>
      <w:lvlText w:val="(%5)"/>
      <w:numFmt w:val="lowerLetter"/>
      <w:start w:val="35"/>
    </w:lvl>
  </w:abstractNum>
  <w:abstractNum w:abstractNumId="56">
    <w:nsid w:val="98A3148"/>
    <w:multiLevelType w:val="hybridMultilevel"/>
    <w:lvl w:ilvl="0">
      <w:lvlJc w:val="left"/>
      <w:lvlText w:val="(%1)"/>
      <w:numFmt w:val="lowerRoman"/>
      <w:start w:val="3"/>
    </w:lvl>
  </w:abstractNum>
  <w:abstractNum w:abstractNumId="57">
    <w:nsid w:val="799D0247"/>
    <w:multiLevelType w:val="hybridMultilevel"/>
    <w:lvl w:ilvl="0">
      <w:lvlJc w:val="left"/>
      <w:lvlText w:val="(%1)"/>
      <w:numFmt w:val="lowerLetter"/>
      <w:start w:val="2"/>
    </w:lvl>
    <w:lvl w:ilvl="1">
      <w:lvlJc w:val="left"/>
      <w:lvlText w:val="%2"/>
      <w:numFmt w:val="lowerLetter"/>
      <w:start w:val="1"/>
    </w:lvl>
  </w:abstractNum>
  <w:abstractNum w:abstractNumId="58">
    <w:nsid w:val="6B94764"/>
    <w:multiLevelType w:val="hybridMultilevel"/>
    <w:lvl w:ilvl="0">
      <w:lvlJc w:val="left"/>
      <w:lvlText w:val="(%1)"/>
      <w:numFmt w:val="lowerLetter"/>
      <w:start w:val="2"/>
    </w:lvl>
    <w:lvl w:ilvl="1">
      <w:lvlJc w:val="left"/>
      <w:lvlText w:val="%2"/>
      <w:numFmt w:val="lowerLetter"/>
      <w:start w:val="1"/>
    </w:lvl>
  </w:abstractNum>
  <w:abstractNum w:abstractNumId="59">
    <w:nsid w:val="42C296BD"/>
    <w:multiLevelType w:val="hybridMultilevel"/>
    <w:lvl w:ilvl="0">
      <w:lvlJc w:val="left"/>
      <w:lvlText w:val="%1"/>
      <w:numFmt w:val="decimal"/>
      <w:start w:val="1"/>
    </w:lvl>
    <w:lvl w:ilvl="1">
      <w:lvlJc w:val="left"/>
      <w:lvlText w:val="(%2)"/>
      <w:numFmt w:val="lowerLetter"/>
      <w:start w:val="3"/>
    </w:lvl>
  </w:abstractNum>
  <w:abstractNum w:abstractNumId="60">
    <w:nsid w:val="168E121F"/>
    <w:multiLevelType w:val="hybridMultilevel"/>
    <w:lvl w:ilvl="0">
      <w:lvlJc w:val="left"/>
      <w:lvlText w:val="%1."/>
      <w:numFmt w:val="decimal"/>
      <w:start w:val="7"/>
    </w:lvl>
    <w:lvl w:ilvl="1">
      <w:lvlJc w:val="left"/>
      <w:lvlText w:val="%2"/>
      <w:numFmt w:val="lowerLetter"/>
      <w:start w:val="1"/>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2"/>
    </w:lvl>
  </w:abstractNum>
  <w:abstractNum w:abstractNumId="63">
    <w:nsid w:val="5DC79EA8"/>
    <w:multiLevelType w:val="hybridMultilevel"/>
    <w:lvl w:ilvl="0">
      <w:lvlJc w:val="left"/>
      <w:lvlText w:val="(%1)"/>
      <w:numFmt w:val="lowerRoman"/>
      <w:start w:val="1"/>
    </w:lvl>
    <w:lvl w:ilvl="1">
      <w:lvlJc w:val="left"/>
      <w:lvlText w:val="(%2)"/>
      <w:numFmt w:val="lowerLetter"/>
      <w:start w:val="3"/>
    </w:lvl>
  </w:abstractNum>
  <w:abstractNum w:abstractNumId="64">
    <w:nsid w:val="540A471C"/>
    <w:multiLevelType w:val="hybridMultilevel"/>
    <w:lvl w:ilvl="0">
      <w:lvlJc w:val="left"/>
      <w:lvlText w:val="(%1)"/>
      <w:numFmt w:val="lowerLetter"/>
      <w:start w:val="4"/>
    </w:lvl>
  </w:abstractNum>
  <w:abstractNum w:abstractNumId="65">
    <w:nsid w:val="7BD3EE7B"/>
    <w:multiLevelType w:val="hybridMultilevel"/>
    <w:lvl w:ilvl="0">
      <w:lvlJc w:val="left"/>
      <w:lvlText w:val="%1."/>
      <w:numFmt w:val="decimal"/>
      <w:start w:val="8"/>
    </w:lvl>
    <w:lvl w:ilvl="1">
      <w:lvlJc w:val="left"/>
      <w:lvlText w:val="(%2)"/>
      <w:numFmt w:val="lowerLetter"/>
      <w:start w:val="1"/>
    </w:lvl>
  </w:abstractNum>
  <w:abstractNum w:abstractNumId="66">
    <w:nsid w:val="51D9C564"/>
    <w:multiLevelType w:val="hybridMultilevel"/>
    <w:lvl w:ilvl="0">
      <w:lvlJc w:val="left"/>
      <w:lvlText w:val="(%1)"/>
      <w:numFmt w:val="lowerLetter"/>
      <w:start w:val="1"/>
    </w:lvl>
    <w:lvl w:ilvl="1">
      <w:lvlJc w:val="left"/>
      <w:lvlText w:val="(%2)"/>
      <w:numFmt w:val="lowerLetter"/>
      <w:start w:val="3"/>
    </w:lvl>
  </w:abstractNum>
  <w:abstractNum w:abstractNumId="67">
    <w:nsid w:val="613EFDC5"/>
    <w:multiLevelType w:val="hybridMultilevel"/>
    <w:lvl w:ilvl="0">
      <w:lvlJc w:val="left"/>
      <w:lvlText w:val="(%1)"/>
      <w:numFmt w:val="lowerLetter"/>
      <w:start w:val="3"/>
    </w:lvl>
    <w:lvl w:ilvl="1">
      <w:lvlJc w:val="left"/>
      <w:lvlText w:val="(%2)"/>
      <w:numFmt w:val="lowerLetter"/>
      <w:start w:val="1"/>
    </w:lvl>
  </w:abstractNum>
  <w:abstractNum w:abstractNumId="68">
    <w:nsid w:val="BF72B14"/>
    <w:multiLevelType w:val="hybridMultilevel"/>
    <w:lvl w:ilvl="0">
      <w:lvlJc w:val="left"/>
      <w:lvlText w:val="(%1)"/>
      <w:numFmt w:val="lowerRoman"/>
      <w:start w:val="1"/>
    </w:lvl>
    <w:lvl w:ilvl="1">
      <w:lvlJc w:val="left"/>
      <w:lvlText w:val="(%2)"/>
      <w:numFmt w:val="lowerRoman"/>
      <w:start w:val="6"/>
    </w:lvl>
  </w:abstractNum>
  <w:abstractNum w:abstractNumId="69">
    <w:nsid w:val="11447B73"/>
    <w:multiLevelType w:val="hybridMultilevel"/>
    <w:lvl w:ilvl="0">
      <w:lvlJc w:val="left"/>
      <w:lvlText w:val="(%1)"/>
      <w:numFmt w:val="lowerRoman"/>
      <w:start w:val="1"/>
    </w:lvl>
  </w:abstractNum>
  <w:abstractNum w:abstractNumId="70">
    <w:nsid w:val="42963E5A"/>
    <w:multiLevelType w:val="hybridMultilevel"/>
    <w:lvl w:ilvl="0">
      <w:lvlJc w:val="left"/>
      <w:lvlText w:val="(%1)"/>
      <w:numFmt w:val="lowerLetter"/>
      <w:start w:val="3"/>
    </w:lvl>
  </w:abstractNum>
  <w:abstractNum w:abstractNumId="71">
    <w:nsid w:val="A0382C5"/>
    <w:multiLevelType w:val="hybridMultilevel"/>
    <w:lvl w:ilvl="0">
      <w:lvlJc w:val="left"/>
      <w:lvlText w:val="(%1)"/>
      <w:numFmt w:val="lowerLetter"/>
      <w:start w:val="5"/>
    </w:lvl>
  </w:abstractNum>
  <w:abstractNum w:abstractNumId="72">
    <w:nsid w:val="8F2B15E"/>
    <w:multiLevelType w:val="hybridMultilevel"/>
    <w:lvl w:ilvl="0">
      <w:lvlJc w:val="left"/>
      <w:lvlText w:val="(%1)"/>
      <w:numFmt w:val="lowerLetter"/>
      <w:start w:val="20"/>
    </w:lvl>
  </w:abstractNum>
  <w:abstractNum w:abstractNumId="73">
    <w:nsid w:val="1A32234B"/>
    <w:multiLevelType w:val="hybridMultilevel"/>
    <w:lvl w:ilvl="0">
      <w:lvlJc w:val="left"/>
      <w:lvlText w:val="(%1)"/>
      <w:numFmt w:val="lowerRoman"/>
      <w:start w:val="1"/>
    </w:lvl>
    <w:lvl w:ilvl="1">
      <w:lvlJc w:val="left"/>
      <w:lvlText w:val="(%2)"/>
      <w:numFmt w:val="lowerRoman"/>
      <w:start w:val="4"/>
    </w:lvl>
  </w:abstractNum>
  <w:abstractNum w:abstractNumId="74">
    <w:nsid w:val="3B0FD379"/>
    <w:multiLevelType w:val="hybridMultilevel"/>
    <w:lvl w:ilvl="0">
      <w:lvlJc w:val="left"/>
      <w:lvlText w:val="(%1)"/>
      <w:numFmt w:val="lowerLetter"/>
      <w:start w:val="7"/>
    </w:lvl>
    <w:lvl w:ilvl="1">
      <w:lvlJc w:val="left"/>
      <w:lvlText w:val="%2)"/>
      <w:numFmt w:val="upperLetter"/>
      <w:start w:val="21"/>
    </w:lvl>
    <w:lvl w:ilvl="2">
      <w:lvlJc w:val="left"/>
      <w:lvlText w:val="(%3)"/>
      <w:numFmt w:val="lowerLetter"/>
      <w:start w:val="11"/>
    </w:lvl>
    <w:lvl w:ilvl="3">
      <w:lvlJc w:val="left"/>
      <w:lvlText w:val="(%4)"/>
      <w:numFmt w:val="decimal"/>
      <w:start w:val="1"/>
    </w:lvl>
  </w:abstractNum>
  <w:abstractNum w:abstractNumId="75">
    <w:nsid w:val="68EB2F63"/>
    <w:multiLevelType w:val="hybridMultilevel"/>
    <w:lvl w:ilvl="0">
      <w:lvlJc w:val="left"/>
      <w:lvlText w:val="(%1)"/>
      <w:numFmt w:val="lowerLetter"/>
      <w:start w:val="13"/>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2"/>
    </w:lvl>
    <w:lvl w:ilvl="1">
      <w:lvlJc w:val="left"/>
      <w:lvlText w:val="(%2)"/>
      <w:numFmt w:val="lowerLetter"/>
      <w:start w:val="4"/>
    </w:lvl>
  </w:abstractNum>
  <w:abstractNum w:abstractNumId="78">
    <w:nsid w:val="6A5EE64"/>
    <w:multiLevelType w:val="hybridMultilevel"/>
    <w:lvl w:ilvl="0">
      <w:lvlJc w:val="left"/>
      <w:lvlText w:val="(%1)"/>
      <w:numFmt w:val="lowerLetter"/>
      <w:start w:val="5"/>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81"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44" Type="http://schemas.openxmlformats.org/officeDocument/2006/relationships/hyperlink" Target="http://www.sec.gov/Archives/edgar/data/1131554/000095012306005985/y15440a2exv3w2.txt" TargetMode="External"/><Relationship Id="rId145" Type="http://schemas.openxmlformats.org/officeDocument/2006/relationships/hyperlink" Target="http://www.sec.gov/Archives/edgar/data/1131554/000095012306005985/y15440a2exv3w4.txt" TargetMode="External"/><Relationship Id="rId146" Type="http://schemas.openxmlformats.org/officeDocument/2006/relationships/hyperlink" Target="http://www.sec.gov/Archives/edgar/data/1131554/000110465918010721/a18-6289_1ex3d2.htm" TargetMode="External"/><Relationship Id="rId147" Type="http://schemas.openxmlformats.org/officeDocument/2006/relationships/hyperlink" Target="https://www.sec.gov/Archives/edgar/data/1131554/000110465921087598/tm2120300d3_ex3-3.htm" TargetMode="External"/><Relationship Id="rId148" Type="http://schemas.openxmlformats.org/officeDocument/2006/relationships/hyperlink" Target="http://www.sec.gov/Archives/edgar/data/1131554/000110465918010721/a18-6289_1ex3d1.htm" TargetMode="External"/><Relationship Id="rId149" Type="http://schemas.openxmlformats.org/officeDocument/2006/relationships/hyperlink" Target="https://www.sec.gov/Archives/edgar/data/1131554/000110465921087598/tm2120300d3_ex3-2.htm" TargetMode="External"/><Relationship Id="rId150" Type="http://schemas.openxmlformats.org/officeDocument/2006/relationships/hyperlink" Target="https://www.sec.gov/Archives/edgar/data/1131554/000110465921087598/tm2120300d3_ex3-1.htm" TargetMode="External"/><Relationship Id="rId151" Type="http://schemas.openxmlformats.org/officeDocument/2006/relationships/hyperlink" Target="http://www.sec.gov/Archives/edgar/data/1131554/000095012306002345/y15440exv3w1.txt" TargetMode="External"/><Relationship Id="rId152" Type="http://schemas.openxmlformats.org/officeDocument/2006/relationships/hyperlink" Target="http://www.sec.gov/Archives/edgar/data/1131554/000095012306002345/y15440exv4w5.txt" TargetMode="External"/><Relationship Id="rId153" Type="http://schemas.openxmlformats.org/officeDocument/2006/relationships/hyperlink" Target="http://www.sec.gov/Archives/edgar/data/1131554/000095012306002345/y15440exv4w6.txt" TargetMode="External"/><Relationship Id="rId154" Type="http://schemas.openxmlformats.org/officeDocument/2006/relationships/hyperlink" Target="http://www.sec.gov/Archives/edgar/data/1131554/000095012306007587/y15440a4exv4w2.htm" TargetMode="External"/><Relationship Id="rId155" Type="http://schemas.openxmlformats.org/officeDocument/2006/relationships/hyperlink" Target="http://www.sec.gov/Archives/edgar/data/1131554/000104746914006661/a2221016zex-4_8.htm" TargetMode="External"/><Relationship Id="rId158" Type="http://schemas.openxmlformats.org/officeDocument/2006/relationships/hyperlink" Target="https://www.sec.gov/Archives/edgar/data/1131554/000110465921087598/tm2120300d3_ex4-1.htm" TargetMode="External"/><Relationship Id="rId159" Type="http://schemas.openxmlformats.org/officeDocument/2006/relationships/hyperlink" Target="https://www.sec.gov/Archives/edgar/data/1131554/000110465921087598/tm2120300d3_ex4-2.htm" TargetMode="External"/><Relationship Id="rId160" Type="http://schemas.openxmlformats.org/officeDocument/2006/relationships/hyperlink" Target="https://www.sec.gov/Archives/edgar/data/1131554/000110465921087598/tm2120300d3_ex4-3.htm" TargetMode="External"/><Relationship Id="rId161" Type="http://schemas.openxmlformats.org/officeDocument/2006/relationships/hyperlink" Target="http://www.sec.gov/Archives/edgar/data/1131554/000095012306005985/y15440a2exv10w1.txt" TargetMode="External"/><Relationship Id="rId162" Type="http://schemas.openxmlformats.org/officeDocument/2006/relationships/hyperlink" Target="http://www.sec.gov/Archives/edgar/data/1131554/000095012306002345/y15440exv10w2.txt" TargetMode="External"/><Relationship Id="rId163" Type="http://schemas.openxmlformats.org/officeDocument/2006/relationships/hyperlink" Target="http://www.sec.gov/Archives/edgar/data/1131554/000095012306005985/y15440a2exv10w3.txt" TargetMode="External"/><Relationship Id="rId164" Type="http://schemas.openxmlformats.org/officeDocument/2006/relationships/hyperlink" Target="http://www.sec.gov/Archives/edgar/data/1131554/000095012310033268/w77948def14a.htm" TargetMode="External"/><Relationship Id="rId165" Type="http://schemas.openxmlformats.org/officeDocument/2006/relationships/hyperlink" Target="http://www.sec.gov/Archives/edgar/data/1131554/000095012310076039/c04665exv10w4a.htm" TargetMode="External"/><Relationship Id="rId166" Type="http://schemas.openxmlformats.org/officeDocument/2006/relationships/hyperlink" Target="https://www.sec.gov/Archives/edgar/data/1131554/000113155421000025/sncramendedandrestated2015.htm" TargetMode="External"/><Relationship Id="rId167" Type="http://schemas.openxmlformats.org/officeDocument/2006/relationships/hyperlink" Target="http://www.sec.gov/Archives/edgar/data/1131554/000110465917074626/a17-28588_1ex10d1.htm" TargetMode="External"/><Relationship Id="rId168" Type="http://schemas.openxmlformats.org/officeDocument/2006/relationships/hyperlink" Target="http://www.sec.gov/Archives/edgar/data/1131554/000104746912001638/a2207384zex-10_5.htm" TargetMode="External"/><Relationship Id="rId169" Type="http://schemas.openxmlformats.org/officeDocument/2006/relationships/hyperlink" Target="http://www.sec.gov/Archives/edgar/data/1131554/000104746912001638/a2207384zex-10_10.htm" TargetMode="External"/><Relationship Id="rId170" Type="http://schemas.openxmlformats.org/officeDocument/2006/relationships/hyperlink" Target="http://www.sec.gov/Archives/edgar/data/1131554/000095012306004687/y15440a1exv10w10.txt" TargetMode="External"/><Relationship Id="rId171" Type="http://schemas.openxmlformats.org/officeDocument/2006/relationships/hyperlink" Target="http://www.sec.gov/Archives/edgar/data/1131554/000110465913081193/a13-19478_1ex10d9d1.htm" TargetMode="External"/><Relationship Id="rId172" Type="http://schemas.openxmlformats.org/officeDocument/2006/relationships/hyperlink" Target="http://www.sec.gov/Archives/edgar/data/1131554/000113155416000033/sncr-20151231ex1091e4f3b.htm" TargetMode="External"/><Relationship Id="rId173" Type="http://schemas.openxmlformats.org/officeDocument/2006/relationships/hyperlink" Target="http://www.sec.gov/Archives/edgar/data/1131554/000113155416000033/sncr-20151231ex1092ff2ca.htm" TargetMode="External"/><Relationship Id="rId174" Type="http://schemas.openxmlformats.org/officeDocument/2006/relationships/hyperlink" Target="http://www.sec.gov/Archives/edgar/data/1131554/000113155416000033/sncr-20151231ex1093e2081.htm" TargetMode="External"/><Relationship Id="rId175" Type="http://schemas.openxmlformats.org/officeDocument/2006/relationships/hyperlink" Target="http://www.sec.gov/Archives/edgar/data/1131554/000113155416000033/sncr-20151231ex109512fbd.htm" TargetMode="External"/><Relationship Id="rId176" Type="http://schemas.openxmlformats.org/officeDocument/2006/relationships/hyperlink" Target="http://www.sec.gov/Archives/edgar/data/1131554/000113155416000033/sncr-20151231ex109472495.htm" TargetMode="External"/><Relationship Id="rId177" Type="http://schemas.openxmlformats.org/officeDocument/2006/relationships/hyperlink" Target="http://www.sec.gov/Archives/edgar/data/1131554/000113155416000033/sncr-20151231ex1097062e5.htm" TargetMode="External"/><Relationship Id="rId178" Type="http://schemas.openxmlformats.org/officeDocument/2006/relationships/hyperlink" Target="http://www.sec.gov/Archives/edgar/data/1131554/000113155418000060/sncr-063018ex104.htm" TargetMode="External"/><Relationship Id="rId179" Type="http://schemas.openxmlformats.org/officeDocument/2006/relationships/hyperlink" Target="http://www.sec.gov/Archives/edgar/data/1131554/000113155418000060/sncr-063018ex105.htm" TargetMode="External"/><Relationship Id="rId180" Type="http://schemas.openxmlformats.org/officeDocument/2006/relationships/hyperlink" Target="http://www.sec.gov/Archives/edgar/data/1131554/000113155418000083/sncr-093018ex104.htm" TargetMode="External"/><Relationship Id="rId182" Type="http://schemas.openxmlformats.org/officeDocument/2006/relationships/hyperlink" Target="http://www.sec.gov/Archives/edgar/data/1131554/000113155418000049/sncr123117ex1024a.htm" TargetMode="External"/><Relationship Id="rId183" Type="http://schemas.openxmlformats.org/officeDocument/2006/relationships/hyperlink" Target="http://www.sec.gov/Archives/edgar/data/1131554/000113155418000049/sncr123117ex1025a.htm" TargetMode="External"/><Relationship Id="rId184" Type="http://schemas.openxmlformats.org/officeDocument/2006/relationships/hyperlink" Target="https://www.sec.gov/Archives/edgar/data/1131554/000110465921129786/tm2130710d2_ex1-1.htm" TargetMode="External"/><Relationship Id="rId185" Type="http://schemas.openxmlformats.org/officeDocument/2006/relationships/hyperlink" Target="https://www.sec.gov/Archives/edgar/data/1131554/000113155420000088/verizonexhibit.htm" TargetMode="External"/><Relationship Id="rId186" Type="http://schemas.openxmlformats.org/officeDocument/2006/relationships/hyperlink" Target="https://www.sec.gov/Archives/edgar/data/1131554/000113155421000023/employmentagreementjmiller.htm" TargetMode="External"/><Relationship Id="rId187" Type="http://schemas.openxmlformats.org/officeDocument/2006/relationships/hyperlink" Target="https://www.sec.gov/Archives/edgar/data/1131554/000113155421000057/separationagreementdavidcl.htm" TargetMode="External"/><Relationship Id="rId188" Type="http://schemas.openxmlformats.org/officeDocument/2006/relationships/hyperlink" Target="https://www.sec.gov/Archives/edgar/data/1131554/000113155421000088/ex-102christinagabryspromo.htm" TargetMode="External"/><Relationship Id="rId189" Type="http://schemas.openxmlformats.org/officeDocument/2006/relationships/hyperlink" Target="https://www.sec.gov/Archives/edgar/data/1131554/000113155421000088/ex-101transitionandseparat.htm" TargetMode="External"/><Relationship Id="rId190" Type="http://schemas.openxmlformats.org/officeDocument/2006/relationships/hyperlink" Target="http://www.sec.gov/Archives/edgar/data/1131554/000113155418000049/sncr-123117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2022-03-15T15:15:39Z</dcterms:created>
  <dcterms:modified xsi:type="dcterms:W3CDTF">2022-03-15T15:15:39Z</dcterms:modified>
</cp:coreProperties>
</file>