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February 13,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333-204311</w:t>
      </w:r>
    </w:p>
    <w:p>
      <w:pPr>
        <w:jc w:val="right"/>
        <w:spacing w:after="0" w:line="234" w:lineRule="auto"/>
        <w:rPr>
          <w:sz w:val="20"/>
          <w:szCs w:val="20"/>
          <w:color w:val="auto"/>
        </w:rPr>
      </w:pPr>
      <w:r>
        <w:rPr>
          <w:rFonts w:ascii="Times New Roman" w:cs="Times New Roman" w:eastAsia="Times New Roman" w:hAnsi="Times New Roman"/>
          <w:sz w:val="18"/>
          <w:szCs w:val="18"/>
          <w:b w:val="1"/>
          <w:bCs w:val="1"/>
          <w:color w:val="auto"/>
        </w:rPr>
        <w:t>Registration No. 333-230539</w:t>
      </w:r>
    </w:p>
    <w:p>
      <w:pPr>
        <w:jc w:val="right"/>
        <w:spacing w:after="0" w:line="235" w:lineRule="auto"/>
        <w:rPr>
          <w:sz w:val="20"/>
          <w:szCs w:val="20"/>
          <w:color w:val="auto"/>
        </w:rPr>
      </w:pPr>
      <w:r>
        <w:rPr>
          <w:rFonts w:ascii="Times New Roman" w:cs="Times New Roman" w:eastAsia="Times New Roman" w:hAnsi="Times New Roman"/>
          <w:sz w:val="18"/>
          <w:szCs w:val="18"/>
          <w:b w:val="1"/>
          <w:bCs w:val="1"/>
          <w:color w:val="auto"/>
        </w:rPr>
        <w:t>Registration No. 333-237276</w:t>
      </w:r>
    </w:p>
    <w:p>
      <w:pPr>
        <w:jc w:val="right"/>
        <w:spacing w:after="0" w:line="235" w:lineRule="auto"/>
        <w:rPr>
          <w:sz w:val="20"/>
          <w:szCs w:val="20"/>
          <w:color w:val="auto"/>
        </w:rPr>
      </w:pPr>
      <w:r>
        <w:rPr>
          <w:rFonts w:ascii="Times New Roman" w:cs="Times New Roman" w:eastAsia="Times New Roman" w:hAnsi="Times New Roman"/>
          <w:sz w:val="18"/>
          <w:szCs w:val="18"/>
          <w:b w:val="1"/>
          <w:bCs w:val="1"/>
          <w:color w:val="auto"/>
        </w:rPr>
        <w:t>Registration No. 333-257097</w:t>
      </w:r>
    </w:p>
    <w:p>
      <w:pPr>
        <w:jc w:val="right"/>
        <w:spacing w:after="0" w:line="235" w:lineRule="auto"/>
        <w:rPr>
          <w:sz w:val="20"/>
          <w:szCs w:val="20"/>
          <w:color w:val="auto"/>
        </w:rPr>
      </w:pPr>
      <w:r>
        <w:rPr>
          <w:rFonts w:ascii="Times New Roman" w:cs="Times New Roman" w:eastAsia="Times New Roman" w:hAnsi="Times New Roman"/>
          <w:sz w:val="18"/>
          <w:szCs w:val="18"/>
          <w:b w:val="1"/>
          <w:bCs w:val="1"/>
          <w:color w:val="auto"/>
        </w:rPr>
        <w:t>Registration No. 333-265780</w:t>
      </w: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333-204311</w:t>
      </w:r>
    </w:p>
    <w:p>
      <w:pPr>
        <w:spacing w:after="0" w:line="1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333-230539</w:t>
      </w:r>
    </w:p>
    <w:p>
      <w:pPr>
        <w:ind w:left="236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333-237276</w:t>
      </w:r>
    </w:p>
    <w:p>
      <w:pPr>
        <w:ind w:left="236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333-257097</w:t>
      </w:r>
    </w:p>
    <w:p>
      <w:pPr>
        <w:ind w:left="236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333-265780</w:t>
      </w: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333-281431</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Synchronoss Technologies,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911" w:right="339" w:bottom="461" w:gutter="0" w:footer="0" w:header="0"/>
        </w:sectPr>
      </w:pPr>
    </w:p>
    <w:p>
      <w:pPr>
        <w:spacing w:after="0" w:line="6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06-1594540</w:t>
      </w:r>
    </w:p>
    <w:p>
      <w:pPr>
        <w:spacing w:after="0" w:line="57" w:lineRule="exact"/>
        <w:rPr>
          <w:sz w:val="24"/>
          <w:szCs w:val="24"/>
          <w:color w:val="auto"/>
        </w:rPr>
      </w:pPr>
    </w:p>
    <w:p>
      <w:pPr>
        <w:sectPr>
          <w:pgSz w:w="11900" w:h="16838" w:orient="portrait"/>
          <w:cols w:equalWidth="0" w:num="2">
            <w:col w:w="7420" w:space="720"/>
            <w:col w:w="3100"/>
          </w:cols>
          <w:pgMar w:left="320" w:top="911" w:right="339" w:bottom="461"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23" w:lineRule="exact"/>
        <w:rPr>
          <w:sz w:val="24"/>
          <w:szCs w:val="24"/>
          <w:color w:val="auto"/>
        </w:rPr>
      </w:pPr>
    </w:p>
    <w:p>
      <w:pPr>
        <w:sectPr>
          <w:pgSz w:w="11900" w:h="16838" w:orient="portrait"/>
          <w:cols w:equalWidth="0" w:num="2">
            <w:col w:w="6780" w:space="720"/>
            <w:col w:w="3740"/>
          </w:cols>
          <w:pgMar w:left="320" w:top="911" w:right="339" w:bottom="461"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200 Crossing Boulevard, 8th Floor</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Bridgewater, NJ 08807</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1" w:right="339" w:bottom="461"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left="340" w:right="2440"/>
        <w:spacing w:after="0" w:line="246" w:lineRule="auto"/>
        <w:rPr>
          <w:sz w:val="20"/>
          <w:szCs w:val="20"/>
          <w:color w:val="auto"/>
        </w:rPr>
      </w:pPr>
      <w:r>
        <w:rPr>
          <w:rFonts w:ascii="Times New Roman" w:cs="Times New Roman" w:eastAsia="Times New Roman" w:hAnsi="Times New Roman"/>
          <w:sz w:val="18"/>
          <w:szCs w:val="18"/>
          <w:b w:val="1"/>
          <w:bCs w:val="1"/>
          <w:color w:val="auto"/>
        </w:rPr>
        <w:t>Synchronoss Technologies, Inc. 2015 Equity Incentive Plan Synchronoss Technologies, Inc. Amended and Restated 2015 Equity Incentive Plan Synchronoss Technologies, Inc. 2017 New Hire Equity Incentive Plan</w:t>
      </w:r>
    </w:p>
    <w:p>
      <w:pPr>
        <w:jc w:val="center"/>
        <w:spacing w:after="0"/>
        <w:rPr>
          <w:sz w:val="20"/>
          <w:szCs w:val="20"/>
          <w:color w:val="auto"/>
        </w:rPr>
      </w:pPr>
      <w:r>
        <w:rPr>
          <w:rFonts w:ascii="Times New Roman" w:cs="Times New Roman" w:eastAsia="Times New Roman" w:hAnsi="Times New Roman"/>
          <w:sz w:val="14"/>
          <w:szCs w:val="14"/>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Christina Gabrys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Legal Officer and Secretary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200 Crossing Boulevard, 8th Floor</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Bridgewater, NJ 08807</w:t>
      </w:r>
    </w:p>
    <w:p>
      <w:pPr>
        <w:spacing w:after="0" w:line="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3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(866) 620-3940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agent for service)</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With a copy to:</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Michael R. Patrone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Joshua M. Zachariah</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Joshua L. Eisenson</w:t>
      </w:r>
    </w:p>
    <w:p>
      <w:pPr>
        <w:jc w:val="center"/>
        <w:spacing w:after="0"/>
        <w:rPr>
          <w:sz w:val="20"/>
          <w:szCs w:val="20"/>
          <w:color w:val="auto"/>
        </w:rPr>
      </w:pPr>
      <w:r>
        <w:rPr>
          <w:rFonts w:ascii="Times New Roman" w:cs="Times New Roman" w:eastAsia="Times New Roman" w:hAnsi="Times New Roman"/>
          <w:sz w:val="16"/>
          <w:szCs w:val="16"/>
          <w:b w:val="1"/>
          <w:bCs w:val="1"/>
          <w:color w:val="auto"/>
        </w:rPr>
        <w:t>Amanda J. Gill</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Goodwin Procter LLP</w:t>
      </w:r>
    </w:p>
    <w:p>
      <w:pPr>
        <w:jc w:val="center"/>
        <w:spacing w:after="0"/>
        <w:rPr>
          <w:sz w:val="20"/>
          <w:szCs w:val="20"/>
          <w:color w:val="auto"/>
        </w:rPr>
      </w:pPr>
      <w:r>
        <w:rPr>
          <w:rFonts w:ascii="Times New Roman" w:cs="Times New Roman" w:eastAsia="Times New Roman" w:hAnsi="Times New Roman"/>
          <w:sz w:val="16"/>
          <w:szCs w:val="16"/>
          <w:b w:val="1"/>
          <w:bCs w:val="1"/>
          <w:color w:val="auto"/>
        </w:rPr>
        <w:t>620 Eighth Avenue</w:t>
      </w:r>
    </w:p>
    <w:p>
      <w:pPr>
        <w:jc w:val="center"/>
        <w:spacing w:after="0" w:line="227" w:lineRule="auto"/>
        <w:rPr>
          <w:sz w:val="20"/>
          <w:szCs w:val="20"/>
          <w:color w:val="auto"/>
        </w:rPr>
      </w:pPr>
      <w:r>
        <w:rPr>
          <w:rFonts w:ascii="Times New Roman" w:cs="Times New Roman" w:eastAsia="Times New Roman" w:hAnsi="Times New Roman"/>
          <w:sz w:val="16"/>
          <w:szCs w:val="16"/>
          <w:b w:val="1"/>
          <w:bCs w:val="1"/>
          <w:color w:val="auto"/>
        </w:rPr>
        <w:t>New York, New York 10018</w:t>
      </w:r>
    </w:p>
    <w:p>
      <w:pPr>
        <w:spacing w:after="0" w:line="1"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(212) 813</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3" w:lineRule="exact"/>
        <w:rPr>
          <w:sz w:val="24"/>
          <w:szCs w:val="24"/>
          <w:color w:val="auto"/>
        </w:rPr>
      </w:pPr>
    </w:p>
    <w:p>
      <w:pPr>
        <w:ind w:right="20"/>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18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80" w:type="dxa"/>
            <w:vAlign w:val="bottom"/>
          </w:tcPr>
          <w:p>
            <w:pPr>
              <w:ind w:left="800"/>
              <w:spacing w:after="0"/>
              <w:rPr>
                <w:sz w:val="20"/>
                <w:szCs w:val="20"/>
                <w:color w:val="auto"/>
              </w:rPr>
            </w:pPr>
            <w:r>
              <w:rPr>
                <w:rFonts w:ascii="Wingdings" w:cs="Wingdings" w:eastAsia="Wingdings" w:hAnsi="Wingdings"/>
                <w:sz w:val="14"/>
                <w:szCs w:val="14"/>
                <w:b w:val="1"/>
                <w:bCs w:val="1"/>
                <w:color w:val="auto"/>
              </w:rPr>
              <w:t>o</w:t>
            </w:r>
          </w:p>
        </w:tc>
        <w:tc>
          <w:tcPr>
            <w:tcW w:w="4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Accelerated filer</w:t>
            </w:r>
          </w:p>
        </w:tc>
        <w:tc>
          <w:tcPr>
            <w:tcW w:w="2480" w:type="dxa"/>
            <w:vAlign w:val="bottom"/>
          </w:tcPr>
          <w:p>
            <w:pPr>
              <w:ind w:left="2320"/>
              <w:spacing w:after="0"/>
              <w:rPr>
                <w:sz w:val="20"/>
                <w:szCs w:val="20"/>
                <w:color w:val="auto"/>
              </w:rPr>
            </w:pPr>
            <w:r>
              <w:rPr>
                <w:rFonts w:ascii="Wingdings" w:cs="Wingdings" w:eastAsia="Wingdings" w:hAnsi="Wingdings"/>
                <w:sz w:val="14"/>
                <w:szCs w:val="14"/>
                <w:b w:val="1"/>
                <w:bCs w:val="1"/>
                <w:color w:val="auto"/>
                <w:w w:val="94"/>
              </w:rPr>
              <w:t>x</w:t>
            </w:r>
          </w:p>
        </w:tc>
      </w:tr>
      <w:tr>
        <w:trPr>
          <w:trHeight w:val="20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80" w:type="dxa"/>
            <w:vAlign w:val="bottom"/>
          </w:tcPr>
          <w:p>
            <w:pPr>
              <w:ind w:left="800"/>
              <w:spacing w:after="0"/>
              <w:rPr>
                <w:sz w:val="20"/>
                <w:szCs w:val="20"/>
                <w:color w:val="auto"/>
              </w:rPr>
            </w:pPr>
            <w:r>
              <w:rPr>
                <w:rFonts w:ascii="Wingdings" w:cs="Wingdings" w:eastAsia="Wingdings" w:hAnsi="Wingdings"/>
                <w:sz w:val="14"/>
                <w:szCs w:val="14"/>
                <w:b w:val="1"/>
                <w:bCs w:val="1"/>
                <w:color w:val="auto"/>
              </w:rPr>
              <w:t>o</w:t>
            </w:r>
          </w:p>
        </w:tc>
        <w:tc>
          <w:tcPr>
            <w:tcW w:w="4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480" w:type="dxa"/>
            <w:vAlign w:val="bottom"/>
          </w:tcPr>
          <w:p>
            <w:pPr>
              <w:ind w:left="2320"/>
              <w:spacing w:after="0"/>
              <w:rPr>
                <w:sz w:val="20"/>
                <w:szCs w:val="20"/>
                <w:color w:val="auto"/>
              </w:rPr>
            </w:pPr>
            <w:r>
              <w:rPr>
                <w:rFonts w:ascii="Wingdings" w:cs="Wingdings" w:eastAsia="Wingdings" w:hAnsi="Wingdings"/>
                <w:sz w:val="14"/>
                <w:szCs w:val="14"/>
                <w:b w:val="1"/>
                <w:bCs w:val="1"/>
                <w:color w:val="auto"/>
              </w:rPr>
              <w:t>o</w:t>
            </w:r>
          </w:p>
        </w:tc>
      </w:tr>
      <w:tr>
        <w:trPr>
          <w:trHeight w:val="203"/>
        </w:trPr>
        <w:tc>
          <w:tcPr>
            <w:tcW w:w="2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480" w:type="dxa"/>
            <w:vAlign w:val="bottom"/>
          </w:tcPr>
          <w:p>
            <w:pPr>
              <w:ind w:left="2320"/>
              <w:spacing w:after="0"/>
              <w:rPr>
                <w:sz w:val="20"/>
                <w:szCs w:val="20"/>
                <w:color w:val="auto"/>
              </w:rPr>
            </w:pPr>
            <w:r>
              <w:rPr>
                <w:rFonts w:ascii="Wingdings" w:cs="Wingdings" w:eastAsia="Wingdings" w:hAnsi="Wingdings"/>
                <w:sz w:val="14"/>
                <w:szCs w:val="14"/>
                <w:b w:val="1"/>
                <w:bCs w:val="1"/>
                <w:color w:val="auto"/>
              </w:rPr>
              <w:t>o</w:t>
            </w:r>
          </w:p>
        </w:tc>
      </w:tr>
    </w:tbl>
    <w:p>
      <w:pPr>
        <w:spacing w:after="0" w:line="82" w:lineRule="exact"/>
        <w:rPr>
          <w:sz w:val="24"/>
          <w:szCs w:val="24"/>
          <w:color w:val="auto"/>
        </w:rPr>
      </w:pPr>
    </w:p>
    <w:p>
      <w:pPr>
        <w:ind w:right="2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registration has elected not to use the extended transition period for complying with any new or revised financial accounting standards provided pursuant to Section 7(a)(2)(B) of the Securities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11" w:right="339" w:bottom="461"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DEREGISTRATION OF SECURITIES</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These Post-Effective Amendments (the “</w:t>
      </w:r>
      <w:r>
        <w:rPr>
          <w:rFonts w:ascii="Times New Roman" w:cs="Times New Roman" w:eastAsia="Times New Roman" w:hAnsi="Times New Roman"/>
          <w:sz w:val="20"/>
          <w:szCs w:val="20"/>
          <w:b w:val="1"/>
          <w:bCs w:val="1"/>
          <w:color w:val="auto"/>
        </w:rPr>
        <w:t>Post-Effective Amendments</w:t>
      </w:r>
      <w:r>
        <w:rPr>
          <w:rFonts w:ascii="Times New Roman" w:cs="Times New Roman" w:eastAsia="Times New Roman" w:hAnsi="Times New Roman"/>
          <w:sz w:val="20"/>
          <w:szCs w:val="20"/>
          <w:color w:val="auto"/>
        </w:rPr>
        <w:t>”) relate to the following Registration Statements (collectively, the “</w:t>
      </w:r>
      <w:r>
        <w:rPr>
          <w:rFonts w:ascii="Times New Roman" w:cs="Times New Roman" w:eastAsia="Times New Roman" w:hAnsi="Times New Roman"/>
          <w:sz w:val="20"/>
          <w:szCs w:val="20"/>
          <w:b w:val="1"/>
          <w:bCs w:val="1"/>
          <w:color w:val="auto"/>
        </w:rPr>
        <w:t>Registration Statements</w:t>
      </w:r>
      <w:r>
        <w:rPr>
          <w:rFonts w:ascii="Times New Roman" w:cs="Times New Roman" w:eastAsia="Times New Roman" w:hAnsi="Times New Roman"/>
          <w:sz w:val="20"/>
          <w:szCs w:val="20"/>
          <w:color w:val="auto"/>
        </w:rPr>
        <w:t>”) filed by Synchronoss Technologies,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ind w:left="660" w:right="220" w:hanging="328"/>
        <w:spacing w:after="0" w:line="256" w:lineRule="auto"/>
        <w:tabs>
          <w:tab w:leader="none" w:pos="648" w:val="left"/>
        </w:tabs>
        <w:numPr>
          <w:ilvl w:val="0"/>
          <w:numId w:val="1"/>
        </w:numPr>
        <w:rPr>
          <w:rFonts w:ascii="Arial" w:cs="Arial" w:eastAsia="Arial" w:hAnsi="Arial"/>
          <w:sz w:val="19"/>
          <w:szCs w:val="19"/>
          <w:color w:val="auto"/>
        </w:rPr>
      </w:pPr>
      <w:r>
        <w:rPr>
          <w:rFonts w:ascii="Times New Roman" w:cs="Times New Roman" w:eastAsia="Times New Roman" w:hAnsi="Times New Roman"/>
          <w:sz w:val="19"/>
          <w:szCs w:val="19"/>
          <w:color w:val="auto"/>
        </w:rPr>
        <w:t>Registration Statement No. 333-204311, filed with the SEC on May 19, 2015, registering 3,200,000 shares of common stock of the Company, $0.0001 par value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issuable pursuant to the Company’s 2015 Equity Incentive Plan.</w:t>
      </w:r>
    </w:p>
    <w:p>
      <w:pPr>
        <w:ind w:left="660" w:right="480" w:hanging="328"/>
        <w:spacing w:after="0" w:line="232"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No. 333-230539, filed with the SEC on March 27, 2019, registering 1,500,000 shares of Common Stock issuable pursuant to the Company’s 2017 New Hire Equity Incentive Plan.</w:t>
      </w:r>
    </w:p>
    <w:p>
      <w:pPr>
        <w:ind w:left="660" w:right="480" w:hanging="328"/>
        <w:spacing w:after="0" w:line="225"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No. 333-237276, filed with the SEC on March 19, 2020, registering 5,000,000 shares of Common Stock issuable pursuant to the Company’s Amended and Restated 2015 Equity Incentive Plan (the “</w:t>
      </w:r>
      <w:r>
        <w:rPr>
          <w:rFonts w:ascii="Times New Roman" w:cs="Times New Roman" w:eastAsia="Times New Roman" w:hAnsi="Times New Roman"/>
          <w:sz w:val="20"/>
          <w:szCs w:val="20"/>
          <w:b w:val="1"/>
          <w:bCs w:val="1"/>
          <w:color w:val="auto"/>
        </w:rPr>
        <w:t>Incentive Plan</w:t>
      </w:r>
      <w:r>
        <w:rPr>
          <w:rFonts w:ascii="Times New Roman" w:cs="Times New Roman" w:eastAsia="Times New Roman" w:hAnsi="Times New Roman"/>
          <w:sz w:val="20"/>
          <w:szCs w:val="20"/>
          <w:color w:val="auto"/>
        </w:rPr>
        <w:t>”).</w:t>
      </w:r>
    </w:p>
    <w:p>
      <w:pPr>
        <w:ind w:left="660" w:right="640" w:hanging="328"/>
        <w:spacing w:after="0" w:line="232"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No. 333-257097, filed with the SEC on June 14, 2021, registering 3,000,000 shares of Common Stock issuable pursuant to the Incentive Plan.</w:t>
      </w:r>
    </w:p>
    <w:p>
      <w:pPr>
        <w:ind w:left="660" w:right="540" w:hanging="328"/>
        <w:spacing w:after="0" w:line="232"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No. 333-265780, filed with the SEC on June 22, 2022, registering 12,900,000 shares of Common Stock issuable pursuant to the Incentive Plan.</w:t>
      </w:r>
    </w:p>
    <w:p>
      <w:pPr>
        <w:ind w:left="660" w:right="540" w:hanging="328"/>
        <w:spacing w:after="0" w:line="246"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No. 333-281431, filed with the SEC on August 9, 2024, registering 1,053,000 shares of Common Stock issuable pursuant to the Incentive Plan.</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February 13, 2026, pursuant to the Agreement and Plan of Merger, dated as of December 3, 2025 (the “</w:t>
      </w:r>
      <w:r>
        <w:rPr>
          <w:rFonts w:ascii="Times New Roman" w:cs="Times New Roman" w:eastAsia="Times New Roman" w:hAnsi="Times New Roman"/>
          <w:sz w:val="20"/>
          <w:szCs w:val="20"/>
          <w:b w:val="1"/>
          <w:bCs w:val="1"/>
          <w:color w:val="auto"/>
        </w:rPr>
        <w:t>Merger Agreement</w:t>
      </w:r>
      <w:r>
        <w:rPr>
          <w:rFonts w:ascii="Times New Roman" w:cs="Times New Roman" w:eastAsia="Times New Roman" w:hAnsi="Times New Roman"/>
          <w:sz w:val="20"/>
          <w:szCs w:val="20"/>
          <w:color w:val="auto"/>
        </w:rPr>
        <w:t>”), by and among the Company, Lumine Group US Holdco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and Skyfall Merger Sub Inc., a Delaware corporation and a wholly owned subsidiary of Parent (“</w:t>
      </w:r>
      <w:r>
        <w:rPr>
          <w:rFonts w:ascii="Times New Roman" w:cs="Times New Roman" w:eastAsia="Times New Roman" w:hAnsi="Times New Roman"/>
          <w:sz w:val="20"/>
          <w:szCs w:val="20"/>
          <w:b w:val="1"/>
          <w:bCs w:val="1"/>
          <w:color w:val="auto"/>
        </w:rPr>
        <w:t>Merger Sub</w:t>
      </w:r>
      <w:r>
        <w:rPr>
          <w:rFonts w:ascii="Times New Roman" w:cs="Times New Roman" w:eastAsia="Times New Roman" w:hAnsi="Times New Roman"/>
          <w:sz w:val="20"/>
          <w:szCs w:val="20"/>
          <w:color w:val="auto"/>
        </w:rPr>
        <w:t>”), Merger Sub merged with and into the Company (the “</w:t>
      </w: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 with the Company surviving the Merger as a wholly owned subsidiary of Parent.</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 a result of the transactions contemplated by the Merger Agreement, the Company has terminated all of the offerings and sales of the Company’s securities pursuant to the Registration Statements. In accordance with the undertakings made by the Company in each of the Registration Statements to remove from registration, by means of a post-effective amendment, any of the securities of the Company registered under such Registration Statements which remain unsold at the termination of the offering, the Company hereby removes from registration, by means of these Post-Effective Amendments, all of the securities of the Company registered under the Registration Statements that remain unsold as of the date of these Post-Effective Amendments, if any. The Registration Statements are hereby amended, as appropriate, to reflect the deregistration of such securities, and the Company hereby terminates the effectiveness of each of the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6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Bridgewater, State of New Jersey, on February 13, 2026.</w:t>
      </w:r>
    </w:p>
    <w:p>
      <w:pPr>
        <w:spacing w:after="0" w:line="21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SYNCHRONOSS TECHNOLOGIES, INC.</w:t>
      </w:r>
    </w:p>
    <w:p>
      <w:pPr>
        <w:spacing w:after="0" w:line="28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/s/ Christina Gabrys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22860</wp:posOffset>
            </wp:positionV>
            <wp:extent cx="3797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Christina Gabrys</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Chief Legal Officer and Secretary</w:t>
      </w:r>
    </w:p>
    <w:p>
      <w:pPr>
        <w:spacing w:after="0" w:line="3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No other person is required to sign these Post-Effective Amendments to the Registration Statements in reliance upon Rule 478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2026-02-13T15:13:43Z</dcterms:created>
  <dcterms:modified xsi:type="dcterms:W3CDTF">2026-02-13T15:13:43Z</dcterms:modified>
</cp:coreProperties>
</file>