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151765</wp:posOffset>
            </wp:positionV>
            <wp:extent cx="677481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4815" cy="25400"/>
                    </a:xfrm>
                    <a:prstGeom prst="rect">
                      <a:avLst/>
                    </a:prstGeom>
                    <a:noFill/>
                  </pic:spPr>
                </pic:pic>
              </a:graphicData>
            </a:graphic>
          </wp:anchor>
        </w:drawing>
      </w:r>
    </w:p>
    <w:p>
      <w:pPr>
        <w:spacing w:after="0" w:line="291"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4" w:lineRule="exact"/>
        <w:rPr>
          <w:sz w:val="20"/>
          <w:szCs w:val="20"/>
          <w:color w:val="auto"/>
        </w:rPr>
      </w:pPr>
    </w:p>
    <w:p>
      <w:pPr>
        <w:jc w:val="center"/>
        <w:ind w:right="-37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54610</wp:posOffset>
            </wp:positionV>
            <wp:extent cx="10172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95"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Form 10-K</w:t>
      </w:r>
    </w:p>
    <w:p>
      <w:pPr>
        <w:spacing w:after="0" w:line="50" w:lineRule="exact"/>
        <w:rPr>
          <w:sz w:val="20"/>
          <w:szCs w:val="20"/>
          <w:color w:val="auto"/>
        </w:rPr>
      </w:pPr>
    </w:p>
    <w:p>
      <w:pPr>
        <w:ind w:left="1940" w:hanging="965"/>
        <w:spacing w:after="0"/>
        <w:tabs>
          <w:tab w:leader="none" w:pos="19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182" w:lineRule="exact"/>
        <w:rPr>
          <w:sz w:val="20"/>
          <w:szCs w:val="20"/>
          <w:color w:val="auto"/>
        </w:rPr>
      </w:pPr>
    </w:p>
    <w:p>
      <w:pPr>
        <w:ind w:left="1940" w:hanging="935"/>
        <w:spacing w:after="0"/>
        <w:tabs>
          <w:tab w:leader="none" w:pos="194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27" w:lineRule="exact"/>
        <w:rPr>
          <w:sz w:val="20"/>
          <w:szCs w:val="20"/>
          <w:color w:val="auto"/>
        </w:rPr>
      </w:pPr>
    </w:p>
    <w:p>
      <w:pPr>
        <w:ind w:left="1940"/>
        <w:spacing w:after="0"/>
        <w:rPr>
          <w:sz w:val="20"/>
          <w:szCs w:val="20"/>
          <w:color w:val="auto"/>
        </w:rPr>
      </w:pPr>
      <w:r>
        <w:rPr>
          <w:rFonts w:ascii="Arial" w:cs="Arial" w:eastAsia="Arial" w:hAnsi="Arial"/>
          <w:sz w:val="13"/>
          <w:szCs w:val="13"/>
          <w:b w:val="1"/>
          <w:bCs w:val="1"/>
          <w:color w:val="auto"/>
        </w:rPr>
        <w:t>For the transition period from to</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Commission file number 000-52049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76200</wp:posOffset>
            </wp:positionV>
            <wp:extent cx="10172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78" w:lineRule="exact"/>
        <w:rPr>
          <w:sz w:val="20"/>
          <w:szCs w:val="20"/>
          <w:color w:val="auto"/>
        </w:rPr>
      </w:pPr>
    </w:p>
    <w:p>
      <w:pPr>
        <w:jc w:val="center"/>
        <w:ind w:right="-379"/>
        <w:spacing w:after="0"/>
        <w:rPr>
          <w:sz w:val="20"/>
          <w:szCs w:val="20"/>
          <w:color w:val="auto"/>
        </w:rPr>
      </w:pPr>
      <w:r>
        <w:rPr>
          <w:rFonts w:ascii="Arial" w:cs="Arial" w:eastAsia="Arial" w:hAnsi="Arial"/>
          <w:sz w:val="32"/>
          <w:szCs w:val="32"/>
          <w:b w:val="1"/>
          <w:bCs w:val="1"/>
          <w:color w:val="auto"/>
        </w:rPr>
        <w:t>SYNCHRONOSS TECHNOLOGIES, INC.</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(Exact name of registrant as specified in its charter)</w:t>
      </w:r>
    </w:p>
    <w:p>
      <w:pPr>
        <w:sectPr>
          <w:pgSz w:w="11900" w:h="16838" w:orient="portrait"/>
          <w:cols w:equalWidth="0" w:num="1">
            <w:col w:w="10980"/>
          </w:cols>
          <w:pgMar w:left="220" w:top="127" w:right="699" w:bottom="1440" w:gutter="0" w:footer="0" w:header="0"/>
        </w:sectPr>
      </w:pPr>
    </w:p>
    <w:p>
      <w:pPr>
        <w:spacing w:after="0" w:line="76" w:lineRule="exact"/>
        <w:rPr>
          <w:sz w:val="20"/>
          <w:szCs w:val="20"/>
          <w:color w:val="auto"/>
        </w:rPr>
      </w:pPr>
    </w:p>
    <w:p>
      <w:pPr>
        <w:ind w:left="2760"/>
        <w:spacing w:after="0"/>
        <w:rPr>
          <w:sz w:val="20"/>
          <w:szCs w:val="20"/>
          <w:color w:val="auto"/>
        </w:rPr>
      </w:pPr>
      <w:r>
        <w:rPr>
          <w:rFonts w:ascii="Arial" w:cs="Arial" w:eastAsia="Arial" w:hAnsi="Arial"/>
          <w:sz w:val="11"/>
          <w:szCs w:val="11"/>
          <w:b w:val="1"/>
          <w:bCs w:val="1"/>
          <w:color w:val="auto"/>
        </w:rPr>
        <w:t>Delaware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06-1594540</w:t>
      </w:r>
    </w:p>
    <w:p>
      <w:pPr>
        <w:spacing w:after="0" w:line="43" w:lineRule="exact"/>
        <w:rPr>
          <w:sz w:val="20"/>
          <w:szCs w:val="20"/>
          <w:color w:val="auto"/>
        </w:rPr>
      </w:pPr>
    </w:p>
    <w:p>
      <w:pPr>
        <w:sectPr>
          <w:pgSz w:w="11900" w:h="16838" w:orient="portrait"/>
          <w:cols w:equalWidth="0" w:num="2">
            <w:col w:w="7420" w:space="720"/>
            <w:col w:w="2840"/>
          </w:cols>
          <w:pgMar w:left="220" w:top="127" w:right="699" w:bottom="1440" w:gutter="0" w:footer="0" w:header="0"/>
          <w:type w:val="continuous"/>
        </w:sectPr>
      </w:pPr>
    </w:p>
    <w:p>
      <w:pPr>
        <w:ind w:left="2520"/>
        <w:spacing w:after="0"/>
        <w:rPr>
          <w:sz w:val="20"/>
          <w:szCs w:val="20"/>
          <w:color w:val="auto"/>
        </w:rPr>
      </w:pPr>
      <w:r>
        <w:rPr>
          <w:rFonts w:ascii="Arial" w:cs="Arial" w:eastAsia="Arial" w:hAnsi="Arial"/>
          <w:sz w:val="9"/>
          <w:szCs w:val="9"/>
          <w:i w:val="1"/>
          <w:iCs w:val="1"/>
          <w:color w:val="auto"/>
        </w:rPr>
        <w:t>(State of incorporation)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 Identification No.)</w:t>
      </w:r>
    </w:p>
    <w:p>
      <w:pPr>
        <w:spacing w:after="0" w:line="200" w:lineRule="exact"/>
        <w:rPr>
          <w:sz w:val="20"/>
          <w:szCs w:val="20"/>
          <w:color w:val="auto"/>
        </w:rPr>
      </w:pPr>
    </w:p>
    <w:p>
      <w:pPr>
        <w:sectPr>
          <w:pgSz w:w="11900" w:h="16838" w:orient="portrait"/>
          <w:cols w:equalWidth="0" w:num="2">
            <w:col w:w="7020" w:space="720"/>
            <w:col w:w="3240"/>
          </w:cols>
          <w:pgMar w:left="220" w:top="127" w:right="699" w:bottom="1440" w:gutter="0" w:footer="0" w:header="0"/>
          <w:type w:val="continuous"/>
        </w:sectPr>
      </w:pPr>
    </w:p>
    <w:p>
      <w:pPr>
        <w:spacing w:after="0" w:line="41" w:lineRule="exact"/>
        <w:rPr>
          <w:sz w:val="20"/>
          <w:szCs w:val="20"/>
          <w:color w:val="auto"/>
        </w:rPr>
      </w:pPr>
    </w:p>
    <w:p>
      <w:pPr>
        <w:jc w:val="center"/>
        <w:ind w:right="-379"/>
        <w:spacing w:after="0"/>
        <w:rPr>
          <w:sz w:val="20"/>
          <w:szCs w:val="20"/>
          <w:color w:val="auto"/>
        </w:rPr>
      </w:pPr>
      <w:r>
        <w:rPr>
          <w:rFonts w:ascii="Arial" w:cs="Arial" w:eastAsia="Arial" w:hAnsi="Arial"/>
          <w:sz w:val="11"/>
          <w:szCs w:val="11"/>
          <w:b w:val="1"/>
          <w:bCs w:val="1"/>
          <w:color w:val="auto"/>
        </w:rPr>
        <w:t>750 Route 202 South, Suite 600, Bridgewater, New Jersey 08807</w:t>
      </w:r>
    </w:p>
    <w:p>
      <w:pPr>
        <w:spacing w:after="0" w:line="37"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(Address of principal executive offices, including ZIP code)</w:t>
      </w:r>
    </w:p>
    <w:p>
      <w:pPr>
        <w:spacing w:after="0" w:line="66"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(866) 620-3940</w:t>
      </w:r>
    </w:p>
    <w:p>
      <w:pPr>
        <w:spacing w:after="0" w:line="14" w:lineRule="exact"/>
        <w:rPr>
          <w:sz w:val="20"/>
          <w:szCs w:val="20"/>
          <w:color w:val="auto"/>
        </w:rPr>
      </w:pPr>
    </w:p>
    <w:p>
      <w:pPr>
        <w:jc w:val="center"/>
        <w:ind w:right="-379"/>
        <w:spacing w:after="0"/>
        <w:rPr>
          <w:sz w:val="20"/>
          <w:szCs w:val="20"/>
          <w:color w:val="auto"/>
        </w:rPr>
      </w:pPr>
      <w:r>
        <w:rPr>
          <w:rFonts w:ascii="Arial" w:cs="Arial" w:eastAsia="Arial" w:hAnsi="Arial"/>
          <w:sz w:val="11"/>
          <w:szCs w:val="11"/>
          <w:i w:val="1"/>
          <w:iCs w:val="1"/>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56515</wp:posOffset>
            </wp:positionV>
            <wp:extent cx="10172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2"/>
          <w:szCs w:val="12"/>
          <w:b w:val="1"/>
          <w:bCs w:val="1"/>
          <w:color w:val="auto"/>
        </w:rPr>
        <w:t>Securities registered pursuant to Section 12(b) of the Act:</w:t>
      </w:r>
    </w:p>
    <w:p>
      <w:pPr>
        <w:sectPr>
          <w:pgSz w:w="11900" w:h="16838" w:orient="portrait"/>
          <w:cols w:equalWidth="0" w:num="1">
            <w:col w:w="10980"/>
          </w:cols>
          <w:pgMar w:left="220" w:top="127" w:right="699" w:bottom="1440" w:gutter="0" w:footer="0" w:header="0"/>
          <w:type w:val="continuous"/>
        </w:sectPr>
      </w:pPr>
    </w:p>
    <w:p>
      <w:pPr>
        <w:spacing w:after="0" w:line="119"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Title of each class</w:t>
      </w:r>
    </w:p>
    <w:p>
      <w:pPr>
        <w:spacing w:after="0" w:line="20"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Common Stock, par value $.0001 par value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jc w:val="center"/>
        <w:ind w:right="1300"/>
        <w:spacing w:after="0"/>
        <w:rPr>
          <w:sz w:val="20"/>
          <w:szCs w:val="20"/>
          <w:color w:val="auto"/>
        </w:rPr>
      </w:pPr>
      <w:r>
        <w:rPr>
          <w:rFonts w:ascii="Arial" w:cs="Arial" w:eastAsia="Arial" w:hAnsi="Arial"/>
          <w:sz w:val="11"/>
          <w:szCs w:val="11"/>
          <w:b w:val="1"/>
          <w:bCs w:val="1"/>
          <w:color w:val="auto"/>
        </w:rPr>
        <w:t>Name of each exchange on which registered</w:t>
      </w:r>
    </w:p>
    <w:p>
      <w:pPr>
        <w:spacing w:after="0" w:line="43" w:lineRule="exact"/>
        <w:rPr>
          <w:sz w:val="20"/>
          <w:szCs w:val="20"/>
          <w:color w:val="auto"/>
        </w:rPr>
      </w:pPr>
    </w:p>
    <w:p>
      <w:pPr>
        <w:jc w:val="center"/>
        <w:ind w:right="1300"/>
        <w:spacing w:after="0"/>
        <w:rPr>
          <w:sz w:val="20"/>
          <w:szCs w:val="20"/>
          <w:color w:val="auto"/>
        </w:rPr>
      </w:pPr>
      <w:r>
        <w:rPr>
          <w:rFonts w:ascii="Arial" w:cs="Arial" w:eastAsia="Arial" w:hAnsi="Arial"/>
          <w:sz w:val="13"/>
          <w:szCs w:val="13"/>
          <w:b w:val="1"/>
          <w:bCs w:val="1"/>
          <w:color w:val="auto"/>
        </w:rPr>
        <w:t>The NASDAQ Stock Market, LLC</w:t>
      </w:r>
    </w:p>
    <w:p>
      <w:pPr>
        <w:spacing w:after="0" w:line="86" w:lineRule="exact"/>
        <w:rPr>
          <w:sz w:val="20"/>
          <w:szCs w:val="20"/>
          <w:color w:val="auto"/>
        </w:rPr>
      </w:pPr>
    </w:p>
    <w:p>
      <w:pPr>
        <w:sectPr>
          <w:pgSz w:w="11900" w:h="16838" w:orient="portrait"/>
          <w:cols w:equalWidth="0" w:num="2">
            <w:col w:w="6500" w:space="720"/>
            <w:col w:w="3760"/>
          </w:cols>
          <w:pgMar w:left="220" w:top="127" w:right="699" w:bottom="1440" w:gutter="0" w:footer="0" w:header="0"/>
          <w:type w:val="continuous"/>
        </w:sectPr>
      </w:pPr>
    </w:p>
    <w:p>
      <w:pPr>
        <w:jc w:val="center"/>
        <w:ind w:right="-379"/>
        <w:spacing w:after="0"/>
        <w:rPr>
          <w:sz w:val="20"/>
          <w:szCs w:val="20"/>
          <w:color w:val="auto"/>
        </w:rPr>
      </w:pPr>
      <w:r>
        <w:rPr>
          <w:rFonts w:ascii="Arial" w:cs="Arial" w:eastAsia="Arial" w:hAnsi="Arial"/>
          <w:sz w:val="13"/>
          <w:szCs w:val="13"/>
          <w:b w:val="1"/>
          <w:bCs w:val="1"/>
          <w:color w:val="auto"/>
        </w:rPr>
        <w:t>Securities registered pursuant to Section 12(g) of the Act:</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3"/>
          <w:szCs w:val="13"/>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100965</wp:posOffset>
            </wp:positionV>
            <wp:extent cx="101727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7270" cy="6350"/>
                    </a:xfrm>
                    <a:prstGeom prst="rect">
                      <a:avLst/>
                    </a:prstGeom>
                    <a:noFill/>
                  </pic:spPr>
                </pic:pic>
              </a:graphicData>
            </a:graphic>
          </wp:anchor>
        </w:drawing>
      </w:r>
    </w:p>
    <w:p>
      <w:pPr>
        <w:spacing w:after="0" w:line="214" w:lineRule="exact"/>
        <w:rPr>
          <w:sz w:val="20"/>
          <w:szCs w:val="20"/>
          <w:color w:val="auto"/>
        </w:rPr>
      </w:pPr>
    </w:p>
    <w:p>
      <w:pPr>
        <w:ind w:left="660"/>
        <w:spacing w:after="0" w:line="138" w:lineRule="exact"/>
        <w:tabs>
          <w:tab w:leader="none" w:pos="8120" w:val="left"/>
        </w:tabs>
        <w:rPr>
          <w:sz w:val="20"/>
          <w:szCs w:val="20"/>
          <w:color w:val="auto"/>
        </w:rPr>
      </w:pPr>
      <w:r>
        <w:rPr>
          <w:rFonts w:ascii="Arial" w:cs="Arial" w:eastAsia="Arial" w:hAnsi="Arial"/>
          <w:sz w:val="12"/>
          <w:szCs w:val="12"/>
          <w:color w:val="auto"/>
        </w:rPr>
        <w:t>Indicate by check mark whether the registrant is a well-known seasoned issuer, as defined in Rule 405 of the Securities Act of 1933. Yes o</w:t>
        <w:tab/>
        <w:t xml:space="preserve">No </w:t>
      </w:r>
      <w:r>
        <w:rPr>
          <w:rFonts w:ascii="MS PGothic" w:cs="MS PGothic" w:eastAsia="MS PGothic" w:hAnsi="MS PGothic"/>
          <w:sz w:val="12"/>
          <w:szCs w:val="12"/>
          <w:color w:val="auto"/>
        </w:rPr>
        <w:t>☑</w:t>
      </w:r>
    </w:p>
    <w:p>
      <w:pPr>
        <w:spacing w:after="0" w:line="109" w:lineRule="exact"/>
        <w:rPr>
          <w:sz w:val="20"/>
          <w:szCs w:val="20"/>
          <w:color w:val="auto"/>
        </w:rPr>
      </w:pPr>
    </w:p>
    <w:p>
      <w:pPr>
        <w:ind w:left="660"/>
        <w:spacing w:after="0" w:line="138" w:lineRule="exact"/>
        <w:tabs>
          <w:tab w:leader="none" w:pos="101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Securities Exchange Act of 1934 (the “Exchange Act”). Yes o</w:t>
        <w:tab/>
        <w:t xml:space="preserve">No </w:t>
      </w:r>
      <w:r>
        <w:rPr>
          <w:rFonts w:ascii="MS PGothic" w:cs="MS PGothic" w:eastAsia="MS PGothic" w:hAnsi="MS PGothic"/>
          <w:sz w:val="12"/>
          <w:szCs w:val="12"/>
          <w:color w:val="auto"/>
        </w:rPr>
        <w:t>☑</w:t>
      </w:r>
    </w:p>
    <w:p>
      <w:pPr>
        <w:spacing w:after="0" w:line="134" w:lineRule="exact"/>
        <w:rPr>
          <w:sz w:val="20"/>
          <w:szCs w:val="20"/>
          <w:color w:val="auto"/>
        </w:rPr>
      </w:pPr>
    </w:p>
    <w:p>
      <w:pPr>
        <w:ind w:left="340" w:right="180" w:firstLine="320"/>
        <w:spacing w:after="0" w:line="170"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80" w:firstLine="320"/>
        <w:spacing w:after="0" w:line="170"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67" w:lineRule="exact"/>
        <w:rPr>
          <w:sz w:val="20"/>
          <w:szCs w:val="20"/>
          <w:color w:val="auto"/>
        </w:rPr>
      </w:pPr>
    </w:p>
    <w:p>
      <w:pPr>
        <w:ind w:left="340" w:right="420" w:firstLine="320"/>
        <w:spacing w:after="0" w:line="170"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67" w:lineRule="exact"/>
        <w:rPr>
          <w:sz w:val="20"/>
          <w:szCs w:val="20"/>
          <w:color w:val="auto"/>
        </w:rPr>
      </w:pPr>
    </w:p>
    <w:p>
      <w:pPr>
        <w:ind w:left="340" w:firstLine="320"/>
        <w:spacing w:after="0" w:line="27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980"/>
          </w:cols>
          <w:pgMar w:left="220" w:top="127" w:right="699" w:bottom="1440" w:gutter="0" w:footer="0" w:header="0"/>
          <w:type w:val="continuous"/>
        </w:sectPr>
      </w:pPr>
    </w:p>
    <w:p>
      <w:pPr>
        <w:spacing w:after="0" w:line="68" w:lineRule="exact"/>
        <w:rPr>
          <w:sz w:val="20"/>
          <w:szCs w:val="20"/>
          <w:color w:val="auto"/>
        </w:rPr>
      </w:pPr>
    </w:p>
    <w:p>
      <w:pPr>
        <w:ind w:left="340"/>
        <w:spacing w:after="0"/>
        <w:rPr>
          <w:sz w:val="20"/>
          <w:szCs w:val="20"/>
          <w:color w:val="auto"/>
        </w:rPr>
      </w:pPr>
      <w:r>
        <w:rPr>
          <w:rFonts w:ascii="Arial" w:cs="Arial" w:eastAsia="Arial" w:hAnsi="Arial"/>
          <w:sz w:val="11"/>
          <w:szCs w:val="11"/>
          <w:color w:val="auto"/>
        </w:rPr>
        <w:t>Large accelerated filer o</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38" w:lineRule="exact"/>
        <w:rPr>
          <w:sz w:val="20"/>
          <w:szCs w:val="20"/>
          <w:color w:val="auto"/>
        </w:rPr>
      </w:pPr>
      <w:r>
        <w:rPr>
          <w:rFonts w:ascii="Arial" w:cs="Arial" w:eastAsia="Arial" w:hAnsi="Arial"/>
          <w:sz w:val="12"/>
          <w:szCs w:val="12"/>
          <w:color w:val="auto"/>
        </w:rPr>
        <w:t xml:space="preserve">Accelerated filer </w:t>
      </w:r>
      <w:r>
        <w:rPr>
          <w:rFonts w:ascii="MS PGothic" w:cs="MS PGothic" w:eastAsia="MS PGothic" w:hAnsi="MS PGothic"/>
          <w:sz w:val="12"/>
          <w:szCs w:val="12"/>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jc w:val="center"/>
        <w:ind w:right="540"/>
        <w:spacing w:after="0"/>
        <w:rPr>
          <w:sz w:val="20"/>
          <w:szCs w:val="20"/>
          <w:color w:val="auto"/>
        </w:rPr>
      </w:pPr>
      <w:r>
        <w:rPr>
          <w:rFonts w:ascii="Arial" w:cs="Arial" w:eastAsia="Arial" w:hAnsi="Arial"/>
          <w:sz w:val="13"/>
          <w:szCs w:val="13"/>
          <w:color w:val="auto"/>
        </w:rPr>
        <w:t>Non-accelerated filer o</w:t>
      </w:r>
    </w:p>
    <w:p>
      <w:pPr>
        <w:spacing w:after="0" w:line="16" w:lineRule="exact"/>
        <w:rPr>
          <w:sz w:val="20"/>
          <w:szCs w:val="20"/>
          <w:color w:val="auto"/>
        </w:rPr>
      </w:pPr>
    </w:p>
    <w:p>
      <w:pPr>
        <w:jc w:val="center"/>
        <w:ind w:right="540"/>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2"/>
          <w:szCs w:val="12"/>
          <w:color w:val="auto"/>
        </w:rPr>
        <w:t>Smaller reporting company o</w:t>
      </w:r>
    </w:p>
    <w:p>
      <w:pPr>
        <w:spacing w:after="0" w:line="242" w:lineRule="exact"/>
        <w:rPr>
          <w:sz w:val="20"/>
          <w:szCs w:val="20"/>
          <w:color w:val="auto"/>
        </w:rPr>
      </w:pPr>
    </w:p>
    <w:p>
      <w:pPr>
        <w:sectPr>
          <w:pgSz w:w="11900" w:h="16838" w:orient="portrait"/>
          <w:cols w:equalWidth="0" w:num="4">
            <w:col w:w="2480" w:space="720"/>
            <w:col w:w="1400" w:space="720"/>
            <w:col w:w="2980" w:space="720"/>
            <w:col w:w="1960"/>
          </w:cols>
          <w:pgMar w:left="220" w:top="127" w:right="699" w:bottom="1440" w:gutter="0" w:footer="0" w:header="0"/>
          <w:type w:val="continuous"/>
        </w:sectPr>
      </w:pPr>
    </w:p>
    <w:p>
      <w:pPr>
        <w:spacing w:after="0" w:line="2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33" w:lineRule="exact"/>
        <w:rPr>
          <w:sz w:val="20"/>
          <w:szCs w:val="20"/>
          <w:color w:val="auto"/>
        </w:rPr>
      </w:pPr>
    </w:p>
    <w:p>
      <w:pPr>
        <w:sectPr>
          <w:pgSz w:w="11900" w:h="16838" w:orient="portrait"/>
          <w:cols w:equalWidth="0" w:num="2">
            <w:col w:w="7000" w:space="160"/>
            <w:col w:w="3820"/>
          </w:cols>
          <w:pgMar w:left="220" w:top="127" w:right="699" w:bottom="1440" w:gutter="0" w:footer="0" w:header="0"/>
          <w:type w:val="continuous"/>
        </w:sectPr>
      </w:pPr>
    </w:p>
    <w:p>
      <w:pPr>
        <w:ind w:left="340" w:right="60" w:firstLine="320"/>
        <w:spacing w:after="0" w:line="279" w:lineRule="auto"/>
        <w:rPr>
          <w:sz w:val="20"/>
          <w:szCs w:val="20"/>
          <w:color w:val="auto"/>
        </w:rPr>
      </w:pPr>
      <w:r>
        <w:rPr>
          <w:rFonts w:ascii="Arial" w:cs="Arial" w:eastAsia="Arial" w:hAnsi="Arial"/>
          <w:sz w:val="13"/>
          <w:szCs w:val="13"/>
          <w:color w:val="auto"/>
        </w:rPr>
        <w:t>The aggregate market value of the voting and non-voting common stock held by non-affiliates of the Registrant as of June 30, 2009, based upon the closing price of the common stock as reported by The NASDAQ Stock Market on such date was approximately $233 million.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13"/>
          <w:szCs w:val="13"/>
          <w:color w:val="auto"/>
        </w:rPr>
        <w:t>As of February 16, 2010, a total of 31,115,622 shares of the Registrant’s common stock were outstanding.</w:t>
      </w:r>
    </w:p>
    <w:p>
      <w:pPr>
        <w:spacing w:after="0" w:line="94" w:lineRule="exact"/>
        <w:rPr>
          <w:sz w:val="20"/>
          <w:szCs w:val="20"/>
          <w:color w:val="auto"/>
        </w:rPr>
      </w:pPr>
    </w:p>
    <w:p>
      <w:pPr>
        <w:ind w:left="41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ind w:left="340" w:right="180" w:firstLine="320"/>
        <w:spacing w:after="0" w:line="266" w:lineRule="auto"/>
        <w:rPr>
          <w:sz w:val="20"/>
          <w:szCs w:val="20"/>
          <w:color w:val="auto"/>
        </w:rPr>
      </w:pPr>
      <w:r>
        <w:rPr>
          <w:rFonts w:ascii="Arial" w:cs="Arial" w:eastAsia="Arial" w:hAnsi="Arial"/>
          <w:sz w:val="13"/>
          <w:szCs w:val="13"/>
          <w:color w:val="auto"/>
        </w:rPr>
        <w:t>Information required by Part III (Items 10, 11, 12, 13 and 14) is incorporated by reference to portions of the registrant’s definitive Proxy Statement for its 2010 Annual Meeting of Stockholders (the “Proxy Statement”), which is expected to be filed not later than 120 days after the registrant’s fiscal year ended December 31, 2009. Except as expressly incorporated by reference, the Proxy Statement shall not be deemed to be a part of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66675</wp:posOffset>
            </wp:positionV>
            <wp:extent cx="677481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4815" cy="190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182880</wp:posOffset>
            </wp:positionV>
            <wp:extent cx="728980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980"/>
          </w:cols>
          <w:pgMar w:left="220" w:top="127" w:right="6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80" w:type="dxa"/>
            <w:vAlign w:val="bottom"/>
            <w:gridSpan w:val="14"/>
          </w:tcPr>
          <w:p>
            <w:pPr>
              <w:jc w:val="center"/>
              <w:ind w:right="3200"/>
              <w:spacing w:after="0"/>
              <w:rPr>
                <w:sz w:val="20"/>
                <w:szCs w:val="20"/>
                <w:color w:val="auto"/>
              </w:rPr>
            </w:pPr>
            <w:r>
              <w:rPr>
                <w:rFonts w:ascii="Arial" w:cs="Arial" w:eastAsia="Arial" w:hAnsi="Arial"/>
                <w:sz w:val="13"/>
                <w:szCs w:val="13"/>
                <w:b w:val="1"/>
                <w:bCs w:val="1"/>
                <w:color w:val="auto"/>
              </w:rPr>
              <w:t>SYNCHRONOSS TECHNOLOGIES, INC.</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12"/>
          </w:tcPr>
          <w:p>
            <w:pPr>
              <w:jc w:val="center"/>
              <w:ind w:right="3920"/>
              <w:spacing w:after="0"/>
              <w:rPr>
                <w:sz w:val="20"/>
                <w:szCs w:val="20"/>
                <w:color w:val="auto"/>
              </w:rPr>
            </w:pPr>
            <w:r>
              <w:rPr>
                <w:rFonts w:ascii="Arial" w:cs="Arial" w:eastAsia="Arial" w:hAnsi="Arial"/>
                <w:sz w:val="13"/>
                <w:szCs w:val="13"/>
                <w:b w:val="1"/>
                <w:bCs w:val="1"/>
                <w:color w:val="auto"/>
                <w:w w:val="96"/>
              </w:rPr>
              <w:t>Form 10-K</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80" w:type="dxa"/>
            <w:vAlign w:val="bottom"/>
            <w:gridSpan w:val="12"/>
          </w:tcPr>
          <w:p>
            <w:pPr>
              <w:jc w:val="center"/>
              <w:ind w:right="3920"/>
              <w:spacing w:after="0"/>
              <w:rPr>
                <w:sz w:val="20"/>
                <w:szCs w:val="20"/>
                <w:color w:val="auto"/>
              </w:rPr>
            </w:pPr>
            <w:r>
              <w:rPr>
                <w:rFonts w:ascii="Arial" w:cs="Arial" w:eastAsia="Arial" w:hAnsi="Arial"/>
                <w:sz w:val="13"/>
                <w:szCs w:val="13"/>
                <w:b w:val="1"/>
                <w:bCs w:val="1"/>
                <w:color w:val="auto"/>
                <w:w w:val="97"/>
              </w:rPr>
              <w:t>DECEMBER 31, 2009</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80" w:type="dxa"/>
            <w:vAlign w:val="bottom"/>
            <w:gridSpan w:val="14"/>
          </w:tcPr>
          <w:p>
            <w:pPr>
              <w:jc w:val="center"/>
              <w:ind w:right="3200"/>
              <w:spacing w:after="0"/>
              <w:rPr>
                <w:sz w:val="20"/>
                <w:szCs w:val="20"/>
                <w:color w:val="auto"/>
              </w:rPr>
            </w:pPr>
            <w:r>
              <w:rPr>
                <w:rFonts w:ascii="Arial" w:cs="Arial" w:eastAsia="Arial" w:hAnsi="Arial"/>
                <w:sz w:val="13"/>
                <w:szCs w:val="13"/>
                <w:b w:val="1"/>
                <w:bCs w:val="1"/>
                <w:color w:val="auto"/>
                <w:w w:val="99"/>
              </w:rPr>
              <w:t>TABLE OF CONTENTS</w:t>
            </w: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Item</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w w:val="84"/>
              </w:rPr>
              <w:t>Page No.</w:t>
            </w:r>
          </w:p>
        </w:tc>
        <w:tc>
          <w:tcPr>
            <w:tcW w:w="0" w:type="dxa"/>
            <w:vAlign w:val="bottom"/>
          </w:tcPr>
          <w:p>
            <w:pPr>
              <w:spacing w:after="0"/>
              <w:rPr>
                <w:sz w:val="1"/>
                <w:szCs w:val="1"/>
                <w:color w:val="auto"/>
              </w:rPr>
            </w:pPr>
          </w:p>
        </w:tc>
      </w:tr>
      <w:tr>
        <w:trPr>
          <w:trHeight w:val="158"/>
        </w:trPr>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gridSpan w:val="9"/>
          </w:tcPr>
          <w:p>
            <w:pPr>
              <w:jc w:val="center"/>
              <w:ind w:right="4340"/>
              <w:spacing w:after="0"/>
              <w:rPr>
                <w:rFonts w:ascii="Arial" w:cs="Arial" w:eastAsia="Arial" w:hAnsi="Arial"/>
                <w:sz w:val="13"/>
                <w:szCs w:val="13"/>
                <w:b w:val="1"/>
                <w:bCs w:val="1"/>
                <w:color w:val="0000EE"/>
                <w:w w:val="98"/>
              </w:rPr>
            </w:pPr>
            <w:hyperlink w:anchor="page4">
              <w:r>
                <w:rPr>
                  <w:rFonts w:ascii="Arial" w:cs="Arial" w:eastAsia="Arial" w:hAnsi="Arial"/>
                  <w:sz w:val="13"/>
                  <w:szCs w:val="13"/>
                  <w:b w:val="1"/>
                  <w:bCs w:val="1"/>
                  <w:color w:val="0000EE"/>
                  <w:w w:val="98"/>
                </w:rPr>
                <w:t>PART I</w:t>
              </w:r>
            </w:hyperlink>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4">
              <w:r>
                <w:rPr>
                  <w:rFonts w:ascii="Arial" w:cs="Arial" w:eastAsia="Arial" w:hAnsi="Arial"/>
                  <w:sz w:val="10"/>
                  <w:szCs w:val="10"/>
                  <w:color w:val="0000EE"/>
                  <w:w w:val="71"/>
                </w:rPr>
                <w:t>1.</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20" w:type="dxa"/>
            <w:vAlign w:val="bottom"/>
            <w:gridSpan w:val="20"/>
          </w:tcPr>
          <w:p>
            <w:pPr>
              <w:spacing w:after="0" w:line="138" w:lineRule="exact"/>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420" w:type="dxa"/>
            <w:vAlign w:val="bottom"/>
            <w:tcBorders>
              <w:top w:val="single" w:sz="8" w:color="0000EE"/>
            </w:tcBorders>
          </w:tcPr>
          <w:p>
            <w:pPr>
              <w:spacing w:after="0"/>
              <w:rPr>
                <w:sz w:val="12"/>
                <w:szCs w:val="12"/>
                <w:color w:val="auto"/>
              </w:rPr>
            </w:pPr>
          </w:p>
        </w:tc>
        <w:tc>
          <w:tcPr>
            <w:tcW w:w="4340" w:type="dxa"/>
            <w:vAlign w:val="bottom"/>
            <w:gridSpan w:val="8"/>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160" w:type="dxa"/>
            <w:vAlign w:val="bottom"/>
            <w:gridSpan w:val="4"/>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1A.</w:t>
              </w:r>
            </w:hyperlink>
          </w:p>
        </w:tc>
        <w:tc>
          <w:tcPr>
            <w:tcW w:w="8380" w:type="dxa"/>
            <w:vAlign w:val="bottom"/>
            <w:gridSpan w:val="29"/>
          </w:tcPr>
          <w:p>
            <w:pPr>
              <w:spacing w:after="0" w:line="138" w:lineRule="exact"/>
              <w:rPr>
                <w:rFonts w:ascii="Arial" w:cs="Arial" w:eastAsia="Arial" w:hAnsi="Arial"/>
                <w:sz w:val="13"/>
                <w:szCs w:val="13"/>
                <w:color w:val="0000EE"/>
              </w:rPr>
            </w:pPr>
            <w:hyperlink w:anchor="page17">
              <w:r>
                <w:rPr>
                  <w:rFonts w:ascii="Arial" w:cs="Arial" w:eastAsia="Arial" w:hAnsi="Arial"/>
                  <w:sz w:val="13"/>
                  <w:szCs w:val="13"/>
                  <w:color w:val="0000EE"/>
                </w:rPr>
                <w:t>Risk Factors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1"/>
              </w:rPr>
            </w:pPr>
            <w:hyperlink w:anchor="page25">
              <w:r>
                <w:rPr>
                  <w:rFonts w:ascii="Arial" w:cs="Arial" w:eastAsia="Arial" w:hAnsi="Arial"/>
                  <w:sz w:val="13"/>
                  <w:szCs w:val="13"/>
                  <w:color w:val="0000EE"/>
                  <w:w w:val="71"/>
                </w:rPr>
                <w:t>1B.</w:t>
              </w:r>
            </w:hyperlink>
          </w:p>
        </w:tc>
        <w:tc>
          <w:tcPr>
            <w:tcW w:w="980" w:type="dxa"/>
            <w:vAlign w:val="bottom"/>
            <w:gridSpan w:val="2"/>
          </w:tcPr>
          <w:p>
            <w:pPr>
              <w:spacing w:after="0"/>
              <w:rPr>
                <w:sz w:val="12"/>
                <w:szCs w:val="12"/>
                <w:color w:val="auto"/>
              </w:rPr>
            </w:pPr>
          </w:p>
        </w:tc>
        <w:tc>
          <w:tcPr>
            <w:tcW w:w="1500" w:type="dxa"/>
            <w:vAlign w:val="bottom"/>
            <w:tcBorders>
              <w:bottom w:val="single" w:sz="8" w:color="0000EE"/>
            </w:tcBorders>
            <w:gridSpan w:val="11"/>
          </w:tcPr>
          <w:p>
            <w:pPr>
              <w:spacing w:after="0" w:line="138" w:lineRule="exact"/>
              <w:rPr>
                <w:rFonts w:ascii="Arial" w:cs="Arial" w:eastAsia="Arial" w:hAnsi="Arial"/>
                <w:sz w:val="13"/>
                <w:szCs w:val="13"/>
                <w:color w:val="0000EE"/>
                <w:w w:val="91"/>
              </w:rPr>
            </w:pPr>
            <w:hyperlink w:anchor="page25">
              <w:r>
                <w:rPr>
                  <w:rFonts w:ascii="Arial" w:cs="Arial" w:eastAsia="Arial" w:hAnsi="Arial"/>
                  <w:sz w:val="13"/>
                  <w:szCs w:val="13"/>
                  <w:color w:val="0000EE"/>
                  <w:w w:val="91"/>
                </w:rPr>
                <w:t>Unresolved Staff Comments</w:t>
              </w:r>
            </w:hyperlink>
          </w:p>
        </w:tc>
        <w:tc>
          <w:tcPr>
            <w:tcW w:w="6880" w:type="dxa"/>
            <w:vAlign w:val="bottom"/>
            <w:gridSpan w:val="18"/>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25">
              <w:r>
                <w:rPr>
                  <w:rFonts w:ascii="Arial" w:cs="Arial" w:eastAsia="Arial" w:hAnsi="Arial"/>
                  <w:sz w:val="10"/>
                  <w:szCs w:val="10"/>
                  <w:color w:val="0000EE"/>
                  <w:w w:val="71"/>
                </w:rPr>
                <w:t>2.</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Properties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3.</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Borders>
              <w:bottom w:val="single" w:sz="8" w:color="0000EE"/>
            </w:tcBorders>
            <w:gridSpan w:val="7"/>
          </w:tcPr>
          <w:p>
            <w:pPr>
              <w:spacing w:after="0" w:line="138" w:lineRule="exact"/>
              <w:rPr>
                <w:rFonts w:ascii="Arial" w:cs="Arial" w:eastAsia="Arial" w:hAnsi="Arial"/>
                <w:sz w:val="13"/>
                <w:szCs w:val="13"/>
                <w:color w:val="0000EE"/>
                <w:w w:val="89"/>
              </w:rPr>
            </w:pPr>
            <w:hyperlink w:anchor="page26">
              <w:r>
                <w:rPr>
                  <w:rFonts w:ascii="Arial" w:cs="Arial" w:eastAsia="Arial" w:hAnsi="Arial"/>
                  <w:sz w:val="13"/>
                  <w:szCs w:val="13"/>
                  <w:color w:val="0000EE"/>
                  <w:w w:val="89"/>
                </w:rPr>
                <w:t>Legal Proceedings</w:t>
              </w:r>
            </w:hyperlink>
          </w:p>
        </w:tc>
        <w:tc>
          <w:tcPr>
            <w:tcW w:w="7400" w:type="dxa"/>
            <w:vAlign w:val="bottom"/>
            <w:gridSpan w:val="2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26">
              <w:r>
                <w:rPr>
                  <w:rFonts w:ascii="Arial" w:cs="Arial" w:eastAsia="Arial" w:hAnsi="Arial"/>
                  <w:sz w:val="10"/>
                  <w:szCs w:val="10"/>
                  <w:color w:val="0000EE"/>
                  <w:w w:val="71"/>
                </w:rPr>
                <w:t>4.</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[Reserved]</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Borders>
              <w:bottom w:val="single" w:sz="8" w:color="0000EE"/>
            </w:tcBorders>
            <w:gridSpan w:val="3"/>
          </w:tcPr>
          <w:p>
            <w:pPr>
              <w:jc w:val="center"/>
              <w:spacing w:after="0"/>
              <w:rPr>
                <w:rFonts w:ascii="Arial" w:cs="Arial" w:eastAsia="Arial" w:hAnsi="Arial"/>
                <w:sz w:val="13"/>
                <w:szCs w:val="13"/>
                <w:b w:val="1"/>
                <w:bCs w:val="1"/>
                <w:color w:val="0000EE"/>
              </w:rPr>
            </w:pPr>
            <w:hyperlink w:anchor="page27">
              <w:r>
                <w:rPr>
                  <w:rFonts w:ascii="Arial" w:cs="Arial" w:eastAsia="Arial" w:hAnsi="Arial"/>
                  <w:sz w:val="13"/>
                  <w:szCs w:val="13"/>
                  <w:b w:val="1"/>
                  <w:bCs w:val="1"/>
                  <w:color w:val="0000EE"/>
                </w:rPr>
                <w:t>PART II</w:t>
              </w:r>
            </w:hyperlink>
          </w:p>
        </w:tc>
        <w:tc>
          <w:tcPr>
            <w:tcW w:w="4300" w:type="dxa"/>
            <w:vAlign w:val="bottom"/>
            <w:gridSpan w:val="7"/>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27">
              <w:r>
                <w:rPr>
                  <w:rFonts w:ascii="Arial" w:cs="Arial" w:eastAsia="Arial" w:hAnsi="Arial"/>
                  <w:sz w:val="10"/>
                  <w:szCs w:val="10"/>
                  <w:color w:val="0000EE"/>
                  <w:w w:val="71"/>
                </w:rPr>
                <w:t>5.</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27">
              <w:r>
                <w:rPr>
                  <w:rFonts w:ascii="Arial" w:cs="Arial" w:eastAsia="Arial" w:hAnsi="Arial"/>
                  <w:sz w:val="13"/>
                  <w:szCs w:val="13"/>
                  <w:color w:val="0000EE"/>
                </w:rPr>
                <w:t>Market for Registrant’s Common Equity, Related Stockholder Matters and Issuer Purchases of Equity Securities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38"/>
        </w:trPr>
        <w:tc>
          <w:tcPr>
            <w:tcW w:w="100" w:type="dxa"/>
            <w:vAlign w:val="bottom"/>
            <w:tcBorders>
              <w:top w:val="single" w:sz="8" w:color="0000EE"/>
            </w:tcBorders>
          </w:tcPr>
          <w:p>
            <w:pPr>
              <w:spacing w:after="0"/>
              <w:rPr>
                <w:rFonts w:ascii="Arial" w:cs="Arial" w:eastAsia="Arial" w:hAnsi="Arial"/>
                <w:sz w:val="10"/>
                <w:szCs w:val="10"/>
                <w:color w:val="0000EE"/>
                <w:w w:val="71"/>
              </w:rPr>
            </w:pPr>
            <w:hyperlink w:anchor="page30">
              <w:r>
                <w:rPr>
                  <w:rFonts w:ascii="Arial" w:cs="Arial" w:eastAsia="Arial" w:hAnsi="Arial"/>
                  <w:sz w:val="10"/>
                  <w:szCs w:val="10"/>
                  <w:color w:val="0000EE"/>
                  <w:w w:val="71"/>
                </w:rPr>
                <w:t>6.</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Borders>
              <w:top w:val="single" w:sz="8" w:color="0000EE"/>
            </w:tcBorders>
            <w:gridSpan w:val="28"/>
          </w:tcPr>
          <w:p>
            <w:pPr>
              <w:spacing w:after="0" w:line="138" w:lineRule="exact"/>
              <w:rPr>
                <w:rFonts w:ascii="Arial" w:cs="Arial" w:eastAsia="Arial" w:hAnsi="Arial"/>
                <w:sz w:val="13"/>
                <w:szCs w:val="13"/>
                <w:color w:val="0000EE"/>
              </w:rPr>
            </w:pPr>
            <w:hyperlink w:anchor="page30">
              <w:r>
                <w:rPr>
                  <w:rFonts w:ascii="Arial" w:cs="Arial" w:eastAsia="Arial" w:hAnsi="Arial"/>
                  <w:sz w:val="13"/>
                  <w:szCs w:val="13"/>
                  <w:color w:val="0000EE"/>
                </w:rPr>
                <w:t>Selected Financial Data</w:t>
              </w:r>
            </w:hyperlink>
          </w:p>
        </w:tc>
        <w:tc>
          <w:tcPr>
            <w:tcW w:w="2480" w:type="dxa"/>
            <w:vAlign w:val="bottom"/>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0" w:type="dxa"/>
            <w:vAlign w:val="bottom"/>
          </w:tcPr>
          <w:p>
            <w:pPr>
              <w:spacing w:after="0"/>
              <w:rPr>
                <w:rFonts w:ascii="Arial" w:cs="Arial" w:eastAsia="Arial" w:hAnsi="Arial"/>
                <w:sz w:val="10"/>
                <w:szCs w:val="10"/>
                <w:color w:val="0000EE"/>
                <w:w w:val="71"/>
              </w:rPr>
            </w:pPr>
            <w:hyperlink w:anchor="page31">
              <w:r>
                <w:rPr>
                  <w:rFonts w:ascii="Arial" w:cs="Arial" w:eastAsia="Arial" w:hAnsi="Arial"/>
                  <w:sz w:val="10"/>
                  <w:szCs w:val="10"/>
                  <w:color w:val="0000EE"/>
                  <w:w w:val="71"/>
                </w:rPr>
                <w:t>7.</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Management’s Discussion and Analysis of Financial Condition and Results of Operations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160" w:type="dxa"/>
            <w:vAlign w:val="bottom"/>
            <w:gridSpan w:val="4"/>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7A.</w:t>
              </w:r>
            </w:hyperlink>
          </w:p>
        </w:tc>
        <w:tc>
          <w:tcPr>
            <w:tcW w:w="8380" w:type="dxa"/>
            <w:vAlign w:val="bottom"/>
            <w:gridSpan w:val="29"/>
          </w:tcPr>
          <w:p>
            <w:pPr>
              <w:spacing w:after="0" w:line="138" w:lineRule="exact"/>
              <w:rPr>
                <w:rFonts w:ascii="Arial" w:cs="Arial" w:eastAsia="Arial" w:hAnsi="Arial"/>
                <w:sz w:val="13"/>
                <w:szCs w:val="13"/>
                <w:color w:val="0000EE"/>
              </w:rPr>
            </w:pPr>
            <w:hyperlink w:anchor="page42">
              <w:r>
                <w:rPr>
                  <w:rFonts w:ascii="Arial" w:cs="Arial" w:eastAsia="Arial" w:hAnsi="Arial"/>
                  <w:sz w:val="13"/>
                  <w:szCs w:val="13"/>
                  <w:color w:val="0000EE"/>
                </w:rPr>
                <w:t>Quantitative and Qualitative Disclosures About Market Risk</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8"/>
        </w:trPr>
        <w:tc>
          <w:tcPr>
            <w:tcW w:w="100" w:type="dxa"/>
            <w:vAlign w:val="bottom"/>
            <w:tcBorders>
              <w:top w:val="single" w:sz="8" w:color="0000EE"/>
              <w:bottom w:val="single" w:sz="8" w:color="0000EE"/>
            </w:tcBorders>
          </w:tcPr>
          <w:p>
            <w:pPr>
              <w:spacing w:after="0"/>
              <w:rPr>
                <w:rFonts w:ascii="Arial" w:cs="Arial" w:eastAsia="Arial" w:hAnsi="Arial"/>
                <w:sz w:val="10"/>
                <w:szCs w:val="10"/>
                <w:color w:val="0000EE"/>
                <w:w w:val="71"/>
              </w:rPr>
            </w:pPr>
            <w:hyperlink w:anchor="page42">
              <w:r>
                <w:rPr>
                  <w:rFonts w:ascii="Arial" w:cs="Arial" w:eastAsia="Arial" w:hAnsi="Arial"/>
                  <w:sz w:val="10"/>
                  <w:szCs w:val="10"/>
                  <w:color w:val="0000EE"/>
                  <w:w w:val="71"/>
                </w:rPr>
                <w:t>8.</w:t>
              </w:r>
            </w:hyperlink>
          </w:p>
        </w:tc>
        <w:tc>
          <w:tcPr>
            <w:tcW w:w="80" w:type="dxa"/>
            <w:vAlign w:val="bottom"/>
            <w:tcBorders>
              <w:top w:val="single" w:sz="8" w:color="0000EE"/>
            </w:tcBorders>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40" w:type="dxa"/>
            <w:vAlign w:val="bottom"/>
            <w:tcBorders>
              <w:top w:val="single" w:sz="8" w:color="0000EE"/>
              <w:bottom w:val="single" w:sz="8" w:color="0000EE"/>
            </w:tcBorders>
            <w:gridSpan w:val="14"/>
          </w:tcPr>
          <w:p>
            <w:pPr>
              <w:spacing w:after="0" w:line="138" w:lineRule="exact"/>
              <w:rPr>
                <w:rFonts w:ascii="Arial" w:cs="Arial" w:eastAsia="Arial" w:hAnsi="Arial"/>
                <w:sz w:val="13"/>
                <w:szCs w:val="13"/>
                <w:color w:val="0000EE"/>
                <w:w w:val="90"/>
              </w:rPr>
            </w:pPr>
            <w:hyperlink w:anchor="page42">
              <w:r>
                <w:rPr>
                  <w:rFonts w:ascii="Arial" w:cs="Arial" w:eastAsia="Arial" w:hAnsi="Arial"/>
                  <w:sz w:val="13"/>
                  <w:szCs w:val="13"/>
                  <w:color w:val="0000EE"/>
                  <w:w w:val="90"/>
                </w:rPr>
                <w:t>Financial Statements and Supplementary Data</w:t>
              </w:r>
            </w:hyperlink>
          </w:p>
        </w:tc>
        <w:tc>
          <w:tcPr>
            <w:tcW w:w="760" w:type="dxa"/>
            <w:vAlign w:val="bottom"/>
            <w:tcBorders>
              <w:top w:val="single" w:sz="8" w:color="0000EE"/>
            </w:tcBorders>
            <w:gridSpan w:val="3"/>
          </w:tcPr>
          <w:p>
            <w:pPr>
              <w:spacing w:after="0"/>
              <w:rPr>
                <w:sz w:val="12"/>
                <w:szCs w:val="12"/>
                <w:color w:val="auto"/>
              </w:rPr>
            </w:pPr>
          </w:p>
        </w:tc>
        <w:tc>
          <w:tcPr>
            <w:tcW w:w="5180" w:type="dxa"/>
            <w:vAlign w:val="bottom"/>
            <w:gridSpan w:val="1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8"/>
        </w:trPr>
        <w:tc>
          <w:tcPr>
            <w:tcW w:w="100" w:type="dxa"/>
            <w:vAlign w:val="bottom"/>
            <w:tcBorders>
              <w:bottom w:val="single" w:sz="8" w:color="0000EE"/>
            </w:tcBorders>
          </w:tcPr>
          <w:p>
            <w:pPr>
              <w:spacing w:after="0"/>
              <w:rPr>
                <w:rFonts w:ascii="Arial" w:cs="Arial" w:eastAsia="Arial" w:hAnsi="Arial"/>
                <w:sz w:val="10"/>
                <w:szCs w:val="10"/>
                <w:color w:val="0000EE"/>
                <w:w w:val="71"/>
              </w:rPr>
            </w:pPr>
            <w:hyperlink w:anchor="page66">
              <w:r>
                <w:rPr>
                  <w:rFonts w:ascii="Arial" w:cs="Arial" w:eastAsia="Arial" w:hAnsi="Arial"/>
                  <w:sz w:val="10"/>
                  <w:szCs w:val="10"/>
                  <w:color w:val="0000EE"/>
                  <w:w w:val="71"/>
                </w:rPr>
                <w:t>9.</w:t>
              </w:r>
            </w:hyperlink>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Borders>
              <w:bottom w:val="single" w:sz="8" w:color="0000EE"/>
            </w:tcBorders>
            <w:gridSpan w:val="26"/>
          </w:tcPr>
          <w:p>
            <w:pPr>
              <w:spacing w:after="0" w:line="138" w:lineRule="exact"/>
              <w:rPr>
                <w:rFonts w:ascii="Arial" w:cs="Arial" w:eastAsia="Arial" w:hAnsi="Arial"/>
                <w:sz w:val="13"/>
                <w:szCs w:val="13"/>
                <w:color w:val="0000EE"/>
                <w:w w:val="91"/>
              </w:rPr>
            </w:pPr>
            <w:hyperlink w:anchor="page66">
              <w:r>
                <w:rPr>
                  <w:rFonts w:ascii="Arial" w:cs="Arial" w:eastAsia="Arial" w:hAnsi="Arial"/>
                  <w:sz w:val="13"/>
                  <w:szCs w:val="13"/>
                  <w:color w:val="0000EE"/>
                  <w:w w:val="91"/>
                </w:rPr>
                <w:t>Changes in and Disagreements with Accountants on Accounting and Financial Disclosure</w:t>
              </w:r>
            </w:hyperlink>
          </w:p>
        </w:tc>
        <w:tc>
          <w:tcPr>
            <w:tcW w:w="3640" w:type="dxa"/>
            <w:vAlign w:val="bottom"/>
            <w:gridSpan w:val="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8"/>
        </w:trPr>
        <w:tc>
          <w:tcPr>
            <w:tcW w:w="1160" w:type="dxa"/>
            <w:vAlign w:val="bottom"/>
            <w:gridSpan w:val="4"/>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9A.</w:t>
              </w:r>
            </w:hyperlink>
          </w:p>
        </w:tc>
        <w:tc>
          <w:tcPr>
            <w:tcW w:w="8380" w:type="dxa"/>
            <w:vAlign w:val="bottom"/>
            <w:gridSpan w:val="29"/>
          </w:tcPr>
          <w:p>
            <w:pPr>
              <w:spacing w:after="0" w:line="138" w:lineRule="exact"/>
              <w:rPr>
                <w:rFonts w:ascii="Arial" w:cs="Arial" w:eastAsia="Arial" w:hAnsi="Arial"/>
                <w:sz w:val="13"/>
                <w:szCs w:val="13"/>
                <w:color w:val="0000EE"/>
              </w:rPr>
            </w:pPr>
            <w:hyperlink w:anchor="page66">
              <w:r>
                <w:rPr>
                  <w:rFonts w:ascii="Arial" w:cs="Arial" w:eastAsia="Arial" w:hAnsi="Arial"/>
                  <w:sz w:val="13"/>
                  <w:szCs w:val="13"/>
                  <w:color w:val="0000EE"/>
                </w:rPr>
                <w:t>Controls and Procedures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38"/>
        </w:trPr>
        <w:tc>
          <w:tcPr>
            <w:tcW w:w="180" w:type="dxa"/>
            <w:vAlign w:val="bottom"/>
            <w:tcBorders>
              <w:top w:val="single" w:sz="8" w:color="0000EE"/>
            </w:tcBorders>
            <w:gridSpan w:val="2"/>
          </w:tcPr>
          <w:p>
            <w:pPr>
              <w:spacing w:after="0" w:line="138" w:lineRule="exact"/>
              <w:rPr>
                <w:rFonts w:ascii="Arial" w:cs="Arial" w:eastAsia="Arial" w:hAnsi="Arial"/>
                <w:sz w:val="13"/>
                <w:szCs w:val="13"/>
                <w:color w:val="0000EE"/>
                <w:w w:val="71"/>
              </w:rPr>
            </w:pPr>
            <w:hyperlink w:anchor="page69">
              <w:r>
                <w:rPr>
                  <w:rFonts w:ascii="Arial" w:cs="Arial" w:eastAsia="Arial" w:hAnsi="Arial"/>
                  <w:sz w:val="13"/>
                  <w:szCs w:val="13"/>
                  <w:color w:val="0000EE"/>
                  <w:w w:val="71"/>
                </w:rPr>
                <w:t>9B.</w:t>
              </w:r>
            </w:hyperlink>
          </w:p>
        </w:tc>
        <w:tc>
          <w:tcPr>
            <w:tcW w:w="980" w:type="dxa"/>
            <w:vAlign w:val="bottom"/>
            <w:gridSpan w:val="2"/>
          </w:tcPr>
          <w:p>
            <w:pPr>
              <w:spacing w:after="0"/>
              <w:rPr>
                <w:sz w:val="12"/>
                <w:szCs w:val="12"/>
                <w:color w:val="auto"/>
              </w:rPr>
            </w:pPr>
          </w:p>
        </w:tc>
        <w:tc>
          <w:tcPr>
            <w:tcW w:w="1300" w:type="dxa"/>
            <w:vAlign w:val="bottom"/>
            <w:tcBorders>
              <w:top w:val="single" w:sz="8" w:color="0000EE"/>
            </w:tcBorders>
            <w:gridSpan w:val="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Other Information</w:t>
              </w:r>
            </w:hyperlink>
          </w:p>
        </w:tc>
        <w:tc>
          <w:tcPr>
            <w:tcW w:w="7080" w:type="dxa"/>
            <w:vAlign w:val="bottom"/>
            <w:gridSpan w:val="20"/>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40" w:type="dxa"/>
            <w:vAlign w:val="bottom"/>
            <w:tcBorders>
              <w:bottom w:val="single" w:sz="8" w:color="0000EE"/>
            </w:tcBorders>
            <w:gridSpan w:val="6"/>
          </w:tcPr>
          <w:p>
            <w:pPr>
              <w:jc w:val="center"/>
              <w:ind w:right="20"/>
              <w:spacing w:after="0"/>
              <w:rPr>
                <w:rFonts w:ascii="Arial" w:cs="Arial" w:eastAsia="Arial" w:hAnsi="Arial"/>
                <w:sz w:val="13"/>
                <w:szCs w:val="13"/>
                <w:b w:val="1"/>
                <w:bCs w:val="1"/>
                <w:color w:val="0000EE"/>
              </w:rPr>
            </w:pPr>
            <w:hyperlink w:anchor="page69">
              <w:r>
                <w:rPr>
                  <w:rFonts w:ascii="Arial" w:cs="Arial" w:eastAsia="Arial" w:hAnsi="Arial"/>
                  <w:sz w:val="13"/>
                  <w:szCs w:val="13"/>
                  <w:b w:val="1"/>
                  <w:bCs w:val="1"/>
                  <w:color w:val="0000EE"/>
                </w:rPr>
                <w:t>PART III</w:t>
              </w:r>
            </w:hyperlink>
          </w:p>
        </w:tc>
        <w:tc>
          <w:tcPr>
            <w:tcW w:w="4260" w:type="dxa"/>
            <w:vAlign w:val="bottom"/>
            <w:gridSpan w:val="5"/>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80" w:type="dxa"/>
            <w:vAlign w:val="bottom"/>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10.</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Directors and Executive Officers and Corporate Governance</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8"/>
        </w:trPr>
        <w:tc>
          <w:tcPr>
            <w:tcW w:w="180" w:type="dxa"/>
            <w:vAlign w:val="bottom"/>
            <w:tcBorders>
              <w:top w:val="single" w:sz="8" w:color="0000EE"/>
              <w:bottom w:val="single" w:sz="8" w:color="0000EE"/>
            </w:tcBorders>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11.</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tcBorders>
              <w:top w:val="single" w:sz="8" w:color="0000EE"/>
              <w:bottom w:val="single" w:sz="8" w:color="0000EE"/>
            </w:tcBorders>
            <w:gridSpan w:val="10"/>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Executive Compensation</w:t>
              </w:r>
            </w:hyperlink>
          </w:p>
        </w:tc>
        <w:tc>
          <w:tcPr>
            <w:tcW w:w="1860" w:type="dxa"/>
            <w:vAlign w:val="bottom"/>
            <w:tcBorders>
              <w:top w:val="single" w:sz="8" w:color="0000EE"/>
            </w:tcBorders>
            <w:gridSpan w:val="6"/>
          </w:tcPr>
          <w:p>
            <w:pPr>
              <w:spacing w:after="0"/>
              <w:rPr>
                <w:sz w:val="12"/>
                <w:szCs w:val="12"/>
                <w:color w:val="auto"/>
              </w:rPr>
            </w:pPr>
          </w:p>
        </w:tc>
        <w:tc>
          <w:tcPr>
            <w:tcW w:w="5200" w:type="dxa"/>
            <w:vAlign w:val="bottom"/>
            <w:gridSpan w:val="13"/>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8"/>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12.</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40" w:type="dxa"/>
            <w:vAlign w:val="bottom"/>
            <w:tcBorders>
              <w:bottom w:val="single" w:sz="8" w:color="0000EE"/>
            </w:tcBorders>
            <w:gridSpan w:val="27"/>
          </w:tcPr>
          <w:p>
            <w:pPr>
              <w:spacing w:after="0" w:line="138" w:lineRule="exact"/>
              <w:rPr>
                <w:rFonts w:ascii="Arial" w:cs="Arial" w:eastAsia="Arial" w:hAnsi="Arial"/>
                <w:sz w:val="13"/>
                <w:szCs w:val="13"/>
                <w:color w:val="0000EE"/>
                <w:w w:val="91"/>
              </w:rPr>
            </w:pPr>
            <w:hyperlink w:anchor="page69">
              <w:r>
                <w:rPr>
                  <w:rFonts w:ascii="Arial" w:cs="Arial" w:eastAsia="Arial" w:hAnsi="Arial"/>
                  <w:sz w:val="13"/>
                  <w:szCs w:val="13"/>
                  <w:color w:val="0000EE"/>
                  <w:w w:val="91"/>
                </w:rPr>
                <w:t>Security Ownership of Certain Beneficial Owners and Management and Related Stockholder Matters</w:t>
              </w:r>
            </w:hyperlink>
          </w:p>
        </w:tc>
        <w:tc>
          <w:tcPr>
            <w:tcW w:w="3040" w:type="dxa"/>
            <w:vAlign w:val="bottom"/>
            <w:gridSpan w:val="2"/>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8"/>
        </w:trPr>
        <w:tc>
          <w:tcPr>
            <w:tcW w:w="180" w:type="dxa"/>
            <w:vAlign w:val="bottom"/>
            <w:tcBorders>
              <w:bottom w:val="single" w:sz="8" w:color="0000EE"/>
            </w:tcBorders>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13.</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500" w:type="dxa"/>
            <w:vAlign w:val="bottom"/>
            <w:tcBorders>
              <w:bottom w:val="single" w:sz="8" w:color="0000EE"/>
            </w:tcBorders>
            <w:gridSpan w:val="15"/>
          </w:tcPr>
          <w:p>
            <w:pPr>
              <w:spacing w:after="0" w:line="138"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Certain Relationships and Related Transactions</w:t>
              </w:r>
            </w:hyperlink>
          </w:p>
        </w:tc>
        <w:tc>
          <w:tcPr>
            <w:tcW w:w="5880" w:type="dxa"/>
            <w:vAlign w:val="bottom"/>
            <w:gridSpan w:val="14"/>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38"/>
        </w:trPr>
        <w:tc>
          <w:tcPr>
            <w:tcW w:w="180" w:type="dxa"/>
            <w:vAlign w:val="bottom"/>
            <w:gridSpan w:val="2"/>
          </w:tcPr>
          <w:p>
            <w:pPr>
              <w:spacing w:after="0" w:line="138" w:lineRule="exact"/>
              <w:rPr>
                <w:rFonts w:ascii="Arial" w:cs="Arial" w:eastAsia="Arial" w:hAnsi="Arial"/>
                <w:sz w:val="13"/>
                <w:szCs w:val="13"/>
                <w:color w:val="0000EE"/>
                <w:w w:val="77"/>
              </w:rPr>
            </w:pPr>
            <w:hyperlink w:anchor="page69">
              <w:r>
                <w:rPr>
                  <w:rFonts w:ascii="Arial" w:cs="Arial" w:eastAsia="Arial" w:hAnsi="Arial"/>
                  <w:sz w:val="13"/>
                  <w:szCs w:val="13"/>
                  <w:color w:val="0000EE"/>
                  <w:w w:val="77"/>
                </w:rPr>
                <w:t>14.</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69">
              <w:r>
                <w:rPr>
                  <w:rFonts w:ascii="Arial" w:cs="Arial" w:eastAsia="Arial" w:hAnsi="Arial"/>
                  <w:sz w:val="13"/>
                  <w:szCs w:val="13"/>
                  <w:color w:val="0000EE"/>
                </w:rPr>
                <w:t>Principal Accountant Fees and Services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257"/>
        </w:trPr>
        <w:tc>
          <w:tcPr>
            <w:tcW w:w="10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58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800" w:type="dxa"/>
            <w:vAlign w:val="bottom"/>
            <w:gridSpan w:val="11"/>
          </w:tcPr>
          <w:p>
            <w:pPr>
              <w:jc w:val="center"/>
              <w:ind w:right="4280"/>
              <w:spacing w:after="0"/>
              <w:rPr>
                <w:rFonts w:ascii="Arial" w:cs="Arial" w:eastAsia="Arial" w:hAnsi="Arial"/>
                <w:sz w:val="13"/>
                <w:szCs w:val="13"/>
                <w:b w:val="1"/>
                <w:bCs w:val="1"/>
                <w:color w:val="0000EE"/>
              </w:rPr>
            </w:pPr>
            <w:hyperlink w:anchor="page70">
              <w:r>
                <w:rPr>
                  <w:rFonts w:ascii="Arial" w:cs="Arial" w:eastAsia="Arial" w:hAnsi="Arial"/>
                  <w:sz w:val="13"/>
                  <w:szCs w:val="13"/>
                  <w:b w:val="1"/>
                  <w:bCs w:val="1"/>
                  <w:color w:val="0000EE"/>
                </w:rPr>
                <w:t>PART IV</w:t>
              </w:r>
            </w:hyperlink>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8"/>
        </w:trPr>
        <w:tc>
          <w:tcPr>
            <w:tcW w:w="180" w:type="dxa"/>
            <w:vAlign w:val="bottom"/>
            <w:gridSpan w:val="2"/>
          </w:tcPr>
          <w:p>
            <w:pPr>
              <w:spacing w:after="0" w:line="138" w:lineRule="exact"/>
              <w:rPr>
                <w:rFonts w:ascii="Arial" w:cs="Arial" w:eastAsia="Arial" w:hAnsi="Arial"/>
                <w:sz w:val="13"/>
                <w:szCs w:val="13"/>
                <w:color w:val="0000EE"/>
                <w:w w:val="77"/>
              </w:rPr>
            </w:pPr>
            <w:hyperlink w:anchor="page70">
              <w:r>
                <w:rPr>
                  <w:rFonts w:ascii="Arial" w:cs="Arial" w:eastAsia="Arial" w:hAnsi="Arial"/>
                  <w:sz w:val="13"/>
                  <w:szCs w:val="13"/>
                  <w:color w:val="0000EE"/>
                  <w:w w:val="77"/>
                </w:rPr>
                <w:t>15.</w:t>
              </w:r>
            </w:hyperlink>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0" w:type="dxa"/>
            <w:vAlign w:val="bottom"/>
            <w:gridSpan w:val="19"/>
          </w:tcPr>
          <w:p>
            <w:pPr>
              <w:spacing w:after="0" w:line="138" w:lineRule="exact"/>
              <w:rPr>
                <w:rFonts w:ascii="Arial" w:cs="Arial" w:eastAsia="Arial" w:hAnsi="Arial"/>
                <w:sz w:val="13"/>
                <w:szCs w:val="13"/>
                <w:color w:val="0000EE"/>
              </w:rPr>
            </w:pPr>
            <w:hyperlink w:anchor="page70">
              <w:r>
                <w:rPr>
                  <w:rFonts w:ascii="Arial" w:cs="Arial" w:eastAsia="Arial" w:hAnsi="Arial"/>
                  <w:sz w:val="13"/>
                  <w:szCs w:val="13"/>
                  <w:color w:val="0000EE"/>
                </w:rPr>
                <w:t>Exhibits and Financial Statement Schedules</w:t>
              </w:r>
            </w:hyperlink>
          </w:p>
        </w:tc>
        <w:tc>
          <w:tcPr>
            <w:tcW w:w="500" w:type="dxa"/>
            <w:vAlign w:val="bottom"/>
            <w:tcBorders>
              <w:top w:val="single" w:sz="8" w:color="0000EE"/>
            </w:tcBorders>
            <w:gridSpan w:val="4"/>
          </w:tcPr>
          <w:p>
            <w:pPr>
              <w:spacing w:after="0"/>
              <w:rPr>
                <w:sz w:val="12"/>
                <w:szCs w:val="12"/>
                <w:color w:val="auto"/>
              </w:rPr>
            </w:pPr>
          </w:p>
        </w:tc>
        <w:tc>
          <w:tcPr>
            <w:tcW w:w="4280" w:type="dxa"/>
            <w:vAlign w:val="bottom"/>
            <w:gridSpan w:val="6"/>
          </w:tcPr>
          <w:p>
            <w:pPr>
              <w:spacing w:after="0"/>
              <w:rPr>
                <w:sz w:val="12"/>
                <w:szCs w:val="12"/>
                <w:color w:val="auto"/>
              </w:rPr>
            </w:pPr>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20"/>
        </w:trPr>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740" w:type="dxa"/>
            <w:vAlign w:val="bottom"/>
            <w:gridSpan w:val="10"/>
            <w:shd w:val="clear" w:color="auto" w:fill="0000EE"/>
          </w:tcPr>
          <w:p>
            <w:pPr>
              <w:spacing w:after="0" w:line="20" w:lineRule="exact"/>
              <w:rPr>
                <w:sz w:val="1"/>
                <w:szCs w:val="1"/>
                <w:color w:val="auto"/>
              </w:rPr>
            </w:pPr>
          </w:p>
        </w:tc>
        <w:tc>
          <w:tcPr>
            <w:tcW w:w="6080" w:type="dxa"/>
            <w:vAlign w:val="bottom"/>
            <w:gridSpan w:val="1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10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3"/>
                <w:szCs w:val="13"/>
                <w:color w:val="0000EE"/>
                <w:w w:val="82"/>
              </w:rPr>
              <w:t>Exhibit 23.1</w:t>
            </w:r>
          </w:p>
        </w:tc>
        <w:tc>
          <w:tcPr>
            <w:tcW w:w="480" w:type="dxa"/>
            <w:vAlign w:val="bottom"/>
            <w:vMerge w:val="restart"/>
          </w:tcPr>
          <w:p>
            <w:pPr>
              <w:spacing w:after="0"/>
              <w:rPr>
                <w:sz w:val="12"/>
                <w:szCs w:val="12"/>
                <w:color w:val="auto"/>
              </w:rPr>
            </w:pPr>
          </w:p>
        </w:tc>
        <w:tc>
          <w:tcPr>
            <w:tcW w:w="8380" w:type="dxa"/>
            <w:vAlign w:val="bottom"/>
            <w:gridSpan w:val="29"/>
          </w:tcPr>
          <w:p>
            <w:pPr>
              <w:spacing w:after="0" w:line="138" w:lineRule="exact"/>
              <w:rPr>
                <w:rFonts w:ascii="Arial" w:cs="Arial" w:eastAsia="Arial" w:hAnsi="Arial"/>
                <w:sz w:val="13"/>
                <w:szCs w:val="13"/>
                <w:color w:val="0000EE"/>
              </w:rPr>
            </w:pPr>
            <w:hyperlink w:anchor="page72">
              <w:r>
                <w:rPr>
                  <w:rFonts w:ascii="Arial" w:cs="Arial" w:eastAsia="Arial" w:hAnsi="Arial"/>
                  <w:sz w:val="13"/>
                  <w:szCs w:val="13"/>
                  <w:color w:val="0000EE"/>
                </w:rPr>
                <w:t>Signatures</w:t>
              </w:r>
            </w:hyperlink>
          </w:p>
        </w:tc>
        <w:tc>
          <w:tcPr>
            <w:tcW w:w="440" w:type="dxa"/>
            <w:vAlign w:val="bottom"/>
          </w:tcPr>
          <w:p>
            <w:pPr>
              <w:jc w:val="right"/>
              <w:ind w:right="95"/>
              <w:spacing w:after="0" w:line="138"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580" w:type="dxa"/>
            <w:vAlign w:val="bottom"/>
            <w:tcBorders>
              <w:bottom w:val="single" w:sz="8" w:color="0000EE"/>
            </w:tcBorders>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6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00" w:type="dxa"/>
            <w:vAlign w:val="bottom"/>
          </w:tcPr>
          <w:p>
            <w:pPr>
              <w:spacing w:after="0"/>
              <w:rPr>
                <w:sz w:val="12"/>
                <w:szCs w:val="12"/>
                <w:color w:val="auto"/>
              </w:rPr>
            </w:pPr>
          </w:p>
        </w:tc>
        <w:tc>
          <w:tcPr>
            <w:tcW w:w="580" w:type="dxa"/>
            <w:vAlign w:val="bottom"/>
            <w:tcBorders>
              <w:bottom w:val="single" w:sz="8" w:color="0000EE"/>
            </w:tcBorders>
            <w:gridSpan w:val="2"/>
          </w:tcPr>
          <w:p>
            <w:pPr>
              <w:spacing w:after="0" w:line="138" w:lineRule="exact"/>
              <w:rPr>
                <w:sz w:val="20"/>
                <w:szCs w:val="20"/>
                <w:color w:val="auto"/>
              </w:rPr>
            </w:pPr>
            <w:r>
              <w:rPr>
                <w:rFonts w:ascii="Arial" w:cs="Arial" w:eastAsia="Arial" w:hAnsi="Arial"/>
                <w:sz w:val="13"/>
                <w:szCs w:val="13"/>
                <w:color w:val="0000EE"/>
                <w:w w:val="82"/>
              </w:rPr>
              <w:t>Exhibit 31.1</w:t>
            </w: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wp:posOffset>
            </wp:positionH>
            <wp:positionV relativeFrom="paragraph">
              <wp:posOffset>-2956560</wp:posOffset>
            </wp:positionV>
            <wp:extent cx="63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u w:val="single" w:color="auto"/>
          <w:color w:val="0000EE"/>
        </w:rPr>
        <w:t>Exhibit 31.1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Exhibit 32.2</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108585</wp:posOffset>
            </wp:positionV>
            <wp:extent cx="728980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9980"/>
          </w:cols>
          <w:pgMar w:left="900" w:top="750" w:right="1019" w:bottom="1440" w:gutter="0" w:footer="0" w:header="0"/>
        </w:sectPr>
      </w:pPr>
    </w:p>
    <w:bookmarkStart w:id="3" w:name="page4"/>
    <w:bookmarkEnd w:id="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PART 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The words “Synchronoss”, “we”, “our”, “ours”, “us” and the “Company” refer to Synchronoss Technologies, Inc. All statements in this discussion that are not historical are forward-looking statements within the meaning of Section 27A of the Securities Act of 1933, as amended, and Section 21E of the Securities Exchange Act of 1934, as amended, including statements regarding Synchronoss’ “expectations”, “beliefs”, “hopes”, “intentions”, “strategies” or the like. Such statements are based on management’s current expectations and are subject to a number of factors and uncertainties that could cause actual results to differ materially from those described in the forward-looking statements. Synchronoss cautions investors that there can be no assurance that actual results or business conditions will not differ materially from those projected or suggested in such forward-looking statements as a result of various factors, including, but not limited to, the risk factors discussed in this Annual Report on Form 10-K. Synchronoss expressly disclaims any obligation or undertaking to release publicly any updates or revisions to any forward-looking statements contained herein to reflect any change in Synchronoss’ expectations with regard thereto or any change in events, conditions, or circumstances on which any such statements are based.</w:t>
      </w:r>
    </w:p>
    <w:p>
      <w:pPr>
        <w:spacing w:after="0" w:line="14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General</w:t>
      </w:r>
    </w:p>
    <w:p>
      <w:pPr>
        <w:spacing w:after="0" w:line="102"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are a leading provider of on-demand transaction management platforms that enable communications service providers (CSPs), cable operators/multi-services operators (MSOs), original equipment manufacturers (OEMs) with embedded connectivity (e.g. smartphones, laptops, netbooks and mobile Internet devices, among others), e-Tailers/retailers and other customers to accelerate and monetize their go-to-market strategies for connected-devices. This includes automating subscriber activation, order management and service provisioning from any channel (e.g., e-commerce, telesales, customer stores, indirect and other retail outlets, etc.) to any communication service (e.g., wireless (2G, 3G, 4G), high speed access, local access, IPTV, cable, satellite TV, etc.) across any connected device type.</w:t>
      </w:r>
    </w:p>
    <w:p>
      <w:pPr>
        <w:spacing w:after="0" w:line="6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11"/>
          <w:szCs w:val="11"/>
          <w:color w:val="auto"/>
        </w:rPr>
        <w:t>+</w:t>
      </w:r>
      <w:r>
        <w:rPr>
          <w:rFonts w:ascii="Arial" w:cs="Arial" w:eastAsia="Arial" w:hAnsi="Arial"/>
          <w:sz w:val="7"/>
          <w:szCs w:val="7"/>
          <w:color w:val="auto"/>
        </w:rPr>
        <w:t>TM</w:t>
      </w:r>
      <w:r>
        <w:rPr>
          <w:rFonts w:ascii="Arial" w:cs="Arial" w:eastAsia="Arial" w:hAnsi="Arial"/>
          <w:sz w:val="13"/>
          <w:szCs w:val="13"/>
          <w:color w:val="auto"/>
        </w:rPr>
        <w:t xml:space="preserve"> and InterconnectNow</w:t>
      </w:r>
      <w:r>
        <w:rPr>
          <w:rFonts w:ascii="Arial" w:cs="Arial" w:eastAsia="Arial" w:hAnsi="Arial"/>
          <w:sz w:val="7"/>
          <w:szCs w:val="7"/>
          <w:color w:val="auto"/>
        </w:rPr>
        <w:t>TM</w:t>
      </w:r>
      <w:r>
        <w:rPr>
          <w:rFonts w:ascii="Arial" w:cs="Arial" w:eastAsia="Arial" w:hAnsi="Arial"/>
          <w:sz w:val="13"/>
          <w:szCs w:val="13"/>
          <w:color w:val="auto"/>
        </w:rPr>
        <w:t xml:space="preserve"> platforms provide end-to-end seamless integration between customer-facing channels/applications, communication services, or devices and “back-office” infrastructure-related systems and processes. Our customers rely on our cloud-based solutions and technology to automate the process of activating their customers while delivering additional communication services, including new service offerings and ongoing customer care. Our platforms are designed to be flexible and scalable to enable multiple converged communication services to be managed across multiple distribution channels, including e-commerce, telesales, customer stores, indirect, and other retail outlets, etc., allowing us to meet the rapidly changing and converging services and connected devices offered by our customers. We enable our customers to acquire, retain and service subscribers quickly, reliably and cost-effectively by simplifying the processes associated with managing the customer experience for ordering and activating connected devices and services through the use of our platforms.</w:t>
      </w:r>
    </w:p>
    <w:p>
      <w:pPr>
        <w:spacing w:after="0" w:line="74" w:lineRule="exact"/>
        <w:rPr>
          <w:sz w:val="20"/>
          <w:szCs w:val="20"/>
          <w:color w:val="auto"/>
        </w:rPr>
      </w:pPr>
    </w:p>
    <w:p>
      <w:pPr>
        <w:ind w:left="680" w:right="480" w:firstLine="399"/>
        <w:spacing w:after="0" w:line="266" w:lineRule="auto"/>
        <w:rPr>
          <w:sz w:val="20"/>
          <w:szCs w:val="20"/>
          <w:color w:val="auto"/>
        </w:rPr>
      </w:pPr>
      <w:r>
        <w:rPr>
          <w:rFonts w:ascii="Arial" w:cs="Arial" w:eastAsia="Arial" w:hAnsi="Arial"/>
          <w:sz w:val="13"/>
          <w:szCs w:val="13"/>
          <w:color w:val="auto"/>
        </w:rPr>
        <w:t>Our industry-leading customers include tier 1 service providers such as AT&amp;T Inc., Verizon Wireless and Vodafone, tier 1 cable operators/MSOs like Cablevision, Charter Communications, Comcast, and Time Warner Cable and large OEMs such as Apple, Dell and Nokia. These customers utilize our platforms, technology and services to service both consumer and business customers, including over 300 of the Fortune 500 companies.</w:t>
      </w:r>
    </w:p>
    <w:p>
      <w:pPr>
        <w:spacing w:after="0" w:line="67" w:lineRule="exact"/>
        <w:rPr>
          <w:sz w:val="20"/>
          <w:szCs w:val="20"/>
          <w:color w:val="auto"/>
        </w:rPr>
      </w:pPr>
    </w:p>
    <w:p>
      <w:pPr>
        <w:jc w:val="both"/>
        <w:ind w:left="680" w:right="100" w:firstLine="399"/>
        <w:spacing w:after="0" w:line="287" w:lineRule="auto"/>
        <w:rPr>
          <w:sz w:val="20"/>
          <w:szCs w:val="20"/>
          <w:color w:val="auto"/>
        </w:rPr>
      </w:pPr>
      <w:r>
        <w:rPr>
          <w:rFonts w:ascii="Arial" w:cs="Arial" w:eastAsia="Arial" w:hAnsi="Arial"/>
          <w:sz w:val="12"/>
          <w:szCs w:val="12"/>
          <w:color w:val="auto"/>
        </w:rPr>
        <w:t xml:space="preserve">We were incorporated in Delaware in 2000. Our Web address is </w:t>
      </w:r>
      <w:r>
        <w:rPr>
          <w:rFonts w:ascii="Arial" w:cs="Arial" w:eastAsia="Arial" w:hAnsi="Arial"/>
          <w:sz w:val="12"/>
          <w:szCs w:val="12"/>
          <w:u w:val="single" w:color="auto"/>
          <w:color w:val="auto"/>
        </w:rPr>
        <w:t>www.synchronoss.com</w:t>
      </w:r>
      <w:r>
        <w:rPr>
          <w:rFonts w:ascii="Arial" w:cs="Arial" w:eastAsia="Arial" w:hAnsi="Arial"/>
          <w:sz w:val="12"/>
          <w:szCs w:val="12"/>
          <w:color w:val="auto"/>
        </w:rPr>
        <w:t>. On this Web site, we post the following filings as soon as reasonably practicable after they are electronically filed with or furnished to the U.S. Securities and Exchange Commission (SEC): our annual reports on Form 10-K, quarterly reports on Form 10-Q, our current reports on Form 8-K, our proxy statement on Form 14A related to our annual stockholders’ meeting and any amendment to those reports or statements filed or furnished pursuant to Section 13(a) or 15(d) of the Securities Exchange Act of 1934, as amended. All such filings are available on the Investor Relations portion of our Web site free of charge. The contents of our Web site are not intended to be incorporated by reference into this Form 10-K or in any other report or document we file.</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Synchronoss’ Platforms</w:t>
      </w:r>
    </w:p>
    <w:p>
      <w:pPr>
        <w:spacing w:after="0" w:line="100" w:lineRule="exact"/>
        <w:rPr>
          <w:sz w:val="20"/>
          <w:szCs w:val="20"/>
          <w:color w:val="auto"/>
        </w:rPr>
      </w:pPr>
    </w:p>
    <w:p>
      <w:pPr>
        <w:ind w:left="680" w:right="140" w:firstLine="399"/>
        <w:spacing w:after="0" w:line="300" w:lineRule="auto"/>
        <w:rPr>
          <w:sz w:val="20"/>
          <w:szCs w:val="20"/>
          <w:color w:val="auto"/>
        </w:rPr>
      </w:pPr>
      <w:r>
        <w:rPr>
          <w:rFonts w:ascii="Arial" w:cs="Arial" w:eastAsia="Arial" w:hAnsi="Arial"/>
          <w:sz w:val="12"/>
          <w:szCs w:val="12"/>
          <w:color w:val="auto"/>
        </w:rPr>
        <w:t>Our ConvergenceNow</w:t>
      </w:r>
      <w:r>
        <w:rPr>
          <w:rFonts w:ascii="Arial" w:cs="Arial" w:eastAsia="Arial" w:hAnsi="Arial"/>
          <w:sz w:val="10"/>
          <w:szCs w:val="10"/>
          <w:color w:val="auto"/>
        </w:rPr>
        <w:t>®</w:t>
      </w:r>
      <w:r>
        <w:rPr>
          <w:rFonts w:ascii="Arial" w:cs="Arial" w:eastAsia="Arial" w:hAnsi="Arial"/>
          <w:sz w:val="12"/>
          <w:szCs w:val="12"/>
          <w:color w:val="auto"/>
        </w:rPr>
        <w:t>,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7"/>
          <w:szCs w:val="7"/>
          <w:color w:val="auto"/>
        </w:rPr>
        <w:t>TM</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xml:space="preserve"> platforms provide comprehensive on-demand, end-to-end order processing, transaction management and service provisioning through multiple channels including e-commerce, telesales, indirect, and retail outlets. Our platforms are designed to be flexible and scalable, for managing transactions for a wide range of existing communication services and connected devices, while offering a best-in-class experience for our customers.</w:t>
      </w:r>
    </w:p>
    <w:p>
      <w:pPr>
        <w:spacing w:after="0" w:line="46" w:lineRule="exact"/>
        <w:rPr>
          <w:sz w:val="20"/>
          <w:szCs w:val="20"/>
          <w:color w:val="auto"/>
        </w:rPr>
      </w:pPr>
    </w:p>
    <w:p>
      <w:pPr>
        <w:ind w:left="680" w:right="100" w:firstLine="399"/>
        <w:spacing w:after="0" w:line="283" w:lineRule="auto"/>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platform orchestrates the complex and different back-end systems of communication service providers to provide a best-in-class order management system by orchestrating the workflow and consolidated customer care services ConvergenceNow</w:t>
      </w:r>
      <w:r>
        <w:rPr>
          <w:rFonts w:ascii="Arial" w:cs="Arial" w:eastAsia="Arial" w:hAnsi="Arial"/>
          <w:sz w:val="11"/>
          <w:szCs w:val="11"/>
          <w:color w:val="auto"/>
        </w:rPr>
        <w:t>®</w:t>
      </w:r>
      <w:r>
        <w:rPr>
          <w:rFonts w:ascii="Arial" w:cs="Arial" w:eastAsia="Arial" w:hAnsi="Arial"/>
          <w:sz w:val="13"/>
          <w:szCs w:val="13"/>
          <w:color w:val="auto"/>
        </w:rPr>
        <w:t xml:space="preserve"> enables CSPs to realize the full benefits of their offerings.</w:t>
      </w:r>
    </w:p>
    <w:p>
      <w:pPr>
        <w:spacing w:after="0" w:line="53" w:lineRule="exact"/>
        <w:rPr>
          <w:sz w:val="20"/>
          <w:szCs w:val="20"/>
          <w:color w:val="auto"/>
        </w:rPr>
      </w:pPr>
    </w:p>
    <w:p>
      <w:pPr>
        <w:ind w:left="680" w:right="40" w:firstLine="399"/>
        <w:spacing w:after="0" w:line="261" w:lineRule="auto"/>
        <w:rPr>
          <w:sz w:val="20"/>
          <w:szCs w:val="20"/>
          <w:color w:val="auto"/>
        </w:rPr>
      </w:pPr>
      <w:r>
        <w:rPr>
          <w:rFonts w:ascii="Arial" w:cs="Arial" w:eastAsia="Arial" w:hAnsi="Arial"/>
          <w:sz w:val="13"/>
          <w:szCs w:val="13"/>
          <w:color w:val="auto"/>
        </w:rPr>
        <w:t>Our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7"/>
          <w:szCs w:val="7"/>
          <w:color w:val="auto"/>
        </w:rPr>
        <w:t>TM</w:t>
      </w:r>
      <w:r>
        <w:rPr>
          <w:rFonts w:ascii="Arial" w:cs="Arial" w:eastAsia="Arial" w:hAnsi="Arial"/>
          <w:sz w:val="13"/>
          <w:szCs w:val="13"/>
          <w:color w:val="auto"/>
        </w:rPr>
        <w:t xml:space="preserve"> platform offers all of the features of our core ConvergenceNow</w:t>
      </w:r>
      <w:r>
        <w:rPr>
          <w:rFonts w:ascii="Arial" w:cs="Arial" w:eastAsia="Arial" w:hAnsi="Arial"/>
          <w:sz w:val="11"/>
          <w:szCs w:val="11"/>
          <w:color w:val="auto"/>
        </w:rPr>
        <w:t>®</w:t>
      </w:r>
      <w:r>
        <w:rPr>
          <w:rFonts w:ascii="Arial" w:cs="Arial" w:eastAsia="Arial" w:hAnsi="Arial"/>
          <w:sz w:val="13"/>
          <w:szCs w:val="13"/>
          <w:color w:val="auto"/>
        </w:rPr>
        <w:t xml:space="preserve"> platform and extends those features into more transaction areas required to enable subscriber management for connected devices. In addition,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11"/>
          <w:szCs w:val="11"/>
          <w:color w:val="auto"/>
        </w:rPr>
        <w:t>+</w:t>
      </w:r>
      <w:r>
        <w:rPr>
          <w:rFonts w:ascii="Arial" w:cs="Arial" w:eastAsia="Arial" w:hAnsi="Arial"/>
          <w:sz w:val="13"/>
          <w:szCs w:val="13"/>
          <w:color w:val="auto"/>
        </w:rPr>
        <w:t xml:space="preserve"> is specifically designed to support connected devices, such as smart phones, mobile Internet devices (MIDS), laptops, netbooks and wirelessly enabled consumer electronics such as cameras, e-readers, personal navigation devices, global positioning system devices, etc. Specifically, ConvergenceNow</w:t>
      </w:r>
      <w:r>
        <w:rPr>
          <w:rFonts w:ascii="Arial" w:cs="Arial" w:eastAsia="Arial" w:hAnsi="Arial"/>
          <w:sz w:val="11"/>
          <w:szCs w:val="11"/>
          <w:color w:val="auto"/>
        </w:rPr>
        <w:t>®</w:t>
      </w:r>
      <w:r>
        <w:rPr>
          <w:rFonts w:ascii="Arial" w:cs="Arial" w:eastAsia="Arial" w:hAnsi="Arial"/>
          <w:sz w:val="13"/>
          <w:szCs w:val="13"/>
          <w:color w:val="auto"/>
        </w:rPr>
        <w:t xml:space="preserve"> Plus+</w:t>
      </w:r>
      <w:r>
        <w:rPr>
          <w:rFonts w:ascii="Arial" w:cs="Arial" w:eastAsia="Arial" w:hAnsi="Arial"/>
          <w:sz w:val="7"/>
          <w:szCs w:val="7"/>
          <w:color w:val="auto"/>
        </w:rPr>
        <w:t>TM</w:t>
      </w:r>
      <w:r>
        <w:rPr>
          <w:rFonts w:ascii="Arial" w:cs="Arial" w:eastAsia="Arial" w:hAnsi="Arial"/>
          <w:sz w:val="13"/>
          <w:szCs w:val="13"/>
          <w:color w:val="auto"/>
        </w:rPr>
        <w:t xml:space="preserve"> supports, among other transaction areas, credit card billing, inventory management, and trouble ticketing, none of which are supported by our ConvergenceNow</w:t>
      </w:r>
      <w:r>
        <w:rPr>
          <w:rFonts w:ascii="Arial" w:cs="Arial" w:eastAsia="Arial" w:hAnsi="Arial"/>
          <w:sz w:val="11"/>
          <w:szCs w:val="11"/>
          <w:color w:val="auto"/>
        </w:rPr>
        <w:t>®</w:t>
      </w:r>
      <w:r>
        <w:rPr>
          <w:rFonts w:ascii="Arial" w:cs="Arial" w:eastAsia="Arial" w:hAnsi="Arial"/>
          <w:sz w:val="13"/>
          <w:szCs w:val="13"/>
          <w:color w:val="auto"/>
        </w:rPr>
        <w:t xml:space="preserve"> platform.</w:t>
      </w:r>
    </w:p>
    <w:p>
      <w:pPr>
        <w:spacing w:after="0" w:line="69"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Our InterconnectNow</w:t>
      </w:r>
      <w:r>
        <w:rPr>
          <w:rFonts w:ascii="Arial" w:cs="Arial" w:eastAsia="Arial" w:hAnsi="Arial"/>
          <w:sz w:val="7"/>
          <w:szCs w:val="7"/>
          <w:color w:val="auto"/>
        </w:rPr>
        <w:t>TM</w:t>
      </w:r>
      <w:r>
        <w:rPr>
          <w:rFonts w:ascii="Arial" w:cs="Arial" w:eastAsia="Arial" w:hAnsi="Arial"/>
          <w:sz w:val="13"/>
          <w:szCs w:val="13"/>
          <w:color w:val="auto"/>
        </w:rPr>
        <w:t xml:space="preserve"> platform supports the physical transactions involved in customer activation and service such as managing access service requests, local service requests, local number portability, and directory listings.</w:t>
      </w:r>
    </w:p>
    <w:p>
      <w:pPr>
        <w:spacing w:after="0" w:line="58"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In addition to handling large volumes of customer transactions quickly and efficiently, our platforms are designed to recognize, isolate and address transactions when there is insufficient information or other erroneous process elements. This knowledge enables us to adapt our solutions to automate a higher percentage of transactions over time, further improving the value of our solutions to our customers. Our platforms also offer a centralized reporting platform that provides intelligent, real-time analytics around the entire workflow related to any transaction. This reporting allows our customers to appropriately identify buying habits and trends, define their subscriber’s segments and pin-point areas where their business has increased or could be improved. The automation and ease of integration of our platforms were designed to enable our customers to lower the cost of new subscriber acquisitions, enhance the accuracy and reliability of customer transactions thus reducing the inbound service call volumes, and respond rapidly to competitive market conditions. Our platforms offer flexible, scalable solutions backed by service level agreements (SLAs) and exception handling.</w:t>
      </w:r>
    </w:p>
    <w:p>
      <w:pPr>
        <w:spacing w:after="0" w:line="71"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color w:val="auto"/>
        </w:rPr>
        <w:t>Our platforms manage transactions relating to a wide range of existing communications and digital content services across the different segments of our customers. For example, we enable wireless providers to conduct business-to-consumer, or B2C, business-to-business, or B2B, and indirect channel (i.e.: resellers/dealers) transactions. The capabilities of our platforms are designed to provide our customers with the opportunity to improve operational performance and efficiencies and rapidly deploy new services. They are also designed to provide customers the opportunity to improve performance and efficiencies for activating and managing subscriber management processes for new devices with communication services.</w:t>
      </w:r>
    </w:p>
    <w:p>
      <w:pPr>
        <w:spacing w:after="0" w:line="53"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platforms are designed to be:</w:t>
      </w:r>
    </w:p>
    <w:p>
      <w:pPr>
        <w:spacing w:after="0" w:line="98" w:lineRule="exact"/>
        <w:rPr>
          <w:sz w:val="20"/>
          <w:szCs w:val="20"/>
          <w:color w:val="auto"/>
        </w:rPr>
      </w:pPr>
    </w:p>
    <w:p>
      <w:pPr>
        <w:ind w:left="1080" w:right="100" w:firstLine="383"/>
        <w:spacing w:after="0" w:line="262" w:lineRule="auto"/>
        <w:rPr>
          <w:sz w:val="20"/>
          <w:szCs w:val="20"/>
          <w:color w:val="auto"/>
        </w:rPr>
      </w:pPr>
      <w:r>
        <w:rPr>
          <w:rFonts w:ascii="Arial" w:cs="Arial" w:eastAsia="Arial" w:hAnsi="Arial"/>
          <w:sz w:val="13"/>
          <w:szCs w:val="13"/>
          <w:i w:val="1"/>
          <w:iCs w:val="1"/>
          <w:color w:val="auto"/>
        </w:rPr>
        <w:t xml:space="preserve">Highly Automated: </w:t>
      </w:r>
      <w:r>
        <w:rPr>
          <w:rFonts w:ascii="Arial" w:cs="Arial" w:eastAsia="Arial" w:hAnsi="Arial"/>
          <w:sz w:val="13"/>
          <w:szCs w:val="13"/>
          <w:color w:val="auto"/>
        </w:rPr>
        <w:t>We designed our platforms to eliminate manual processes and to automate otherwise labor-intensive tasks, thus improving operating efficiencies and</w:t>
      </w:r>
      <w:r>
        <w:rPr>
          <w:rFonts w:ascii="Arial" w:cs="Arial" w:eastAsia="Arial" w:hAnsi="Arial"/>
          <w:sz w:val="13"/>
          <w:szCs w:val="13"/>
          <w:i w:val="1"/>
          <w:iCs w:val="1"/>
          <w:color w:val="auto"/>
        </w:rPr>
        <w:t xml:space="preserve"> </w:t>
      </w:r>
      <w:r>
        <w:rPr>
          <w:rFonts w:ascii="Arial" w:cs="Arial" w:eastAsia="Arial" w:hAnsi="Arial"/>
          <w:sz w:val="13"/>
          <w:szCs w:val="13"/>
          <w:color w:val="auto"/>
        </w:rPr>
        <w:t>order accuracy and reducing costs. By tracking every order and identifying those that are not provisioned properly, our platforms were designed to substantially reduce the need for manual intervention and reduce unnecessary customer service center calls. The technology of our platforms automatically guides a customer’s request for service through the entire series of required steps.</w:t>
      </w:r>
    </w:p>
    <w:p>
      <w:pPr>
        <w:spacing w:after="0" w:line="69" w:lineRule="exact"/>
        <w:rPr>
          <w:sz w:val="20"/>
          <w:szCs w:val="20"/>
          <w:color w:val="auto"/>
        </w:rPr>
      </w:pPr>
    </w:p>
    <w:p>
      <w:pPr>
        <w:ind w:left="1080" w:firstLine="383"/>
        <w:spacing w:after="0" w:line="266" w:lineRule="auto"/>
        <w:rPr>
          <w:sz w:val="20"/>
          <w:szCs w:val="20"/>
          <w:color w:val="auto"/>
        </w:rPr>
      </w:pPr>
      <w:r>
        <w:rPr>
          <w:rFonts w:ascii="Arial" w:cs="Arial" w:eastAsia="Arial" w:hAnsi="Arial"/>
          <w:sz w:val="13"/>
          <w:szCs w:val="13"/>
          <w:i w:val="1"/>
          <w:iCs w:val="1"/>
          <w:color w:val="auto"/>
        </w:rPr>
        <w:t xml:space="preserve">Predictable and Reliable: </w:t>
      </w:r>
      <w:r>
        <w:rPr>
          <w:rFonts w:ascii="Arial" w:cs="Arial" w:eastAsia="Arial" w:hAnsi="Arial"/>
          <w:sz w:val="13"/>
          <w:szCs w:val="13"/>
          <w:color w:val="auto"/>
        </w:rPr>
        <w:t>We are committed to providing high-quality, dependable services to our customers. To ensure reliability, system uptime and other service offerings,</w:t>
      </w:r>
      <w:r>
        <w:rPr>
          <w:rFonts w:ascii="Arial" w:cs="Arial" w:eastAsia="Arial" w:hAnsi="Arial"/>
          <w:sz w:val="13"/>
          <w:szCs w:val="13"/>
          <w:i w:val="1"/>
          <w:iCs w:val="1"/>
          <w:color w:val="auto"/>
        </w:rPr>
        <w:t xml:space="preserve"> </w:t>
      </w:r>
      <w:r>
        <w:rPr>
          <w:rFonts w:ascii="Arial" w:cs="Arial" w:eastAsia="Arial" w:hAnsi="Arial"/>
          <w:sz w:val="13"/>
          <w:szCs w:val="13"/>
          <w:color w:val="auto"/>
        </w:rPr>
        <w:t>our transaction management is guaranteed through SLAs. Our platforms offer a complete customer management solution, including exception handling, which we believe is one of the main factors that differentiate us from our competitors. In</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spacing w:after="0" w:line="299" w:lineRule="auto"/>
        <w:rPr>
          <w:sz w:val="20"/>
          <w:szCs w:val="20"/>
          <w:color w:val="auto"/>
        </w:rPr>
      </w:pPr>
      <w:r>
        <w:rPr>
          <w:rFonts w:ascii="Arial" w:cs="Arial" w:eastAsia="Arial" w:hAnsi="Arial"/>
          <w:sz w:val="12"/>
          <w:szCs w:val="12"/>
          <w:color w:val="auto"/>
        </w:rPr>
        <w:t>performing exception handling, our platforms recognize and isolate transaction orders that are not configured to specifications, process them in a timely manner and communicate these orders back to our customers, thereby improving efficiency and reducing backlog. If manual intervention is required, our exception handling is outsourced to centers located in India, Canada and the United States. Additionally, our database design preserves data integrity while ensuring fast, efficient, transaction-oriented data retrieval methods.</w:t>
      </w:r>
    </w:p>
    <w:p>
      <w:pPr>
        <w:spacing w:after="0" w:line="48" w:lineRule="exact"/>
        <w:rPr>
          <w:sz w:val="20"/>
          <w:szCs w:val="20"/>
          <w:color w:val="auto"/>
        </w:rPr>
      </w:pPr>
    </w:p>
    <w:p>
      <w:pPr>
        <w:ind w:left="1080" w:right="20" w:firstLine="383"/>
        <w:spacing w:after="0" w:line="287" w:lineRule="auto"/>
        <w:rPr>
          <w:sz w:val="20"/>
          <w:szCs w:val="20"/>
          <w:color w:val="auto"/>
        </w:rPr>
      </w:pPr>
      <w:r>
        <w:rPr>
          <w:rFonts w:ascii="Arial" w:cs="Arial" w:eastAsia="Arial" w:hAnsi="Arial"/>
          <w:sz w:val="12"/>
          <w:szCs w:val="12"/>
          <w:i w:val="1"/>
          <w:iCs w:val="1"/>
          <w:color w:val="auto"/>
        </w:rPr>
        <w:t xml:space="preserve">Seamless: </w:t>
      </w:r>
      <w:r>
        <w:rPr>
          <w:rFonts w:ascii="Arial" w:cs="Arial" w:eastAsia="Arial" w:hAnsi="Arial"/>
          <w:sz w:val="12"/>
          <w:szCs w:val="12"/>
          <w:color w:val="auto"/>
        </w:rPr>
        <w:t>Our platforms integrate information across our customers’ entire operation, including subscriber information, order information, product and service catalogs,</w:t>
      </w:r>
      <w:r>
        <w:rPr>
          <w:rFonts w:ascii="Arial" w:cs="Arial" w:eastAsia="Arial" w:hAnsi="Arial"/>
          <w:sz w:val="12"/>
          <w:szCs w:val="12"/>
          <w:i w:val="1"/>
          <w:iCs w:val="1"/>
          <w:color w:val="auto"/>
        </w:rPr>
        <w:t xml:space="preserve"> </w:t>
      </w:r>
      <w:r>
        <w:rPr>
          <w:rFonts w:ascii="Arial" w:cs="Arial" w:eastAsia="Arial" w:hAnsi="Arial"/>
          <w:sz w:val="12"/>
          <w:szCs w:val="12"/>
          <w:color w:val="auto"/>
        </w:rPr>
        <w:t>network inventory and workflow information. We have built our platforms using an open design with fully-documented software interfaces, commonly referred to as application programming interfaces, or APIs. Our APIs make it easier for our customers, strategic partners and other third parties to integrate our platforms with other software applications and to build cloud-based applications incorporating third-party or customer-designed capabilities. Through our open design and alliance program, we provide our customers with superior solutions that combine our technology with best-of-breed applications with the efficiency and cost-effectiveness of commercial, packaged interfaces.</w:t>
      </w:r>
    </w:p>
    <w:p>
      <w:pPr>
        <w:spacing w:after="0" w:line="55" w:lineRule="exact"/>
        <w:rPr>
          <w:sz w:val="20"/>
          <w:szCs w:val="20"/>
          <w:color w:val="auto"/>
        </w:rPr>
      </w:pPr>
    </w:p>
    <w:p>
      <w:pPr>
        <w:ind w:left="1080" w:right="40" w:firstLine="383"/>
        <w:spacing w:after="0" w:line="260" w:lineRule="auto"/>
        <w:rPr>
          <w:sz w:val="20"/>
          <w:szCs w:val="20"/>
          <w:color w:val="auto"/>
        </w:rPr>
      </w:pPr>
      <w:r>
        <w:rPr>
          <w:rFonts w:ascii="Arial" w:cs="Arial" w:eastAsia="Arial" w:hAnsi="Arial"/>
          <w:sz w:val="13"/>
          <w:szCs w:val="13"/>
          <w:i w:val="1"/>
          <w:iCs w:val="1"/>
          <w:color w:val="auto"/>
        </w:rPr>
        <w:t xml:space="preserve">Scalable: </w:t>
      </w:r>
      <w:r>
        <w:rPr>
          <w:rFonts w:ascii="Arial" w:cs="Arial" w:eastAsia="Arial" w:hAnsi="Arial"/>
          <w:sz w:val="13"/>
          <w:szCs w:val="13"/>
          <w:color w:val="auto"/>
        </w:rPr>
        <w:t>Our platforms are designed to process expanding transaction volumes reliably and cost effectively. While our transaction volume has increased rapidly since our</w:t>
      </w:r>
      <w:r>
        <w:rPr>
          <w:rFonts w:ascii="Arial" w:cs="Arial" w:eastAsia="Arial" w:hAnsi="Arial"/>
          <w:sz w:val="13"/>
          <w:szCs w:val="13"/>
          <w:i w:val="1"/>
          <w:iCs w:val="1"/>
          <w:color w:val="auto"/>
        </w:rPr>
        <w:t xml:space="preserve"> </w:t>
      </w:r>
      <w:r>
        <w:rPr>
          <w:rFonts w:ascii="Arial" w:cs="Arial" w:eastAsia="Arial" w:hAnsi="Arial"/>
          <w:sz w:val="13"/>
          <w:szCs w:val="13"/>
          <w:color w:val="auto"/>
        </w:rPr>
        <w:t>inception, we try to anticipate substantial future growth in transaction volumes, and we believe our platforms are capable of scaling their output commensurately, requiring principally routine computer hardware and software updates. To date we have managed peaks of up to 1,500 transactions per minute and in 2009 we saw the number of transactions for connected devices, such as smartphones, mobile Internet devices, netbooks, laptops and other connected consumer electronics, grow to become one of the fastest growing transaction types across all our platforms, products and services.</w:t>
      </w:r>
    </w:p>
    <w:p>
      <w:pPr>
        <w:spacing w:after="0" w:line="70" w:lineRule="exact"/>
        <w:rPr>
          <w:sz w:val="20"/>
          <w:szCs w:val="20"/>
          <w:color w:val="auto"/>
        </w:rPr>
      </w:pPr>
    </w:p>
    <w:p>
      <w:pPr>
        <w:ind w:left="1080" w:right="80" w:firstLine="383"/>
        <w:spacing w:after="0" w:line="262" w:lineRule="auto"/>
        <w:rPr>
          <w:sz w:val="20"/>
          <w:szCs w:val="20"/>
          <w:color w:val="auto"/>
        </w:rPr>
      </w:pPr>
      <w:r>
        <w:rPr>
          <w:rFonts w:ascii="Arial" w:cs="Arial" w:eastAsia="Arial" w:hAnsi="Arial"/>
          <w:sz w:val="13"/>
          <w:szCs w:val="13"/>
          <w:i w:val="1"/>
          <w:iCs w:val="1"/>
          <w:color w:val="auto"/>
        </w:rPr>
        <w:t xml:space="preserve">Value-add Reporting Tools: </w:t>
      </w:r>
      <w:r>
        <w:rPr>
          <w:rFonts w:ascii="Arial" w:cs="Arial" w:eastAsia="Arial" w:hAnsi="Arial"/>
          <w:sz w:val="13"/>
          <w:szCs w:val="13"/>
          <w:color w:val="auto"/>
        </w:rPr>
        <w:t>Our platforms’ attributes are tightly integrated into the critical workflows of our customers. The platforms have analytical reporting capabilities</w:t>
      </w:r>
      <w:r>
        <w:rPr>
          <w:rFonts w:ascii="Arial" w:cs="Arial" w:eastAsia="Arial" w:hAnsi="Arial"/>
          <w:sz w:val="13"/>
          <w:szCs w:val="13"/>
          <w:i w:val="1"/>
          <w:iCs w:val="1"/>
          <w:color w:val="auto"/>
        </w:rPr>
        <w:t xml:space="preserve"> </w:t>
      </w:r>
      <w:r>
        <w:rPr>
          <w:rFonts w:ascii="Arial" w:cs="Arial" w:eastAsia="Arial" w:hAnsi="Arial"/>
          <w:sz w:val="13"/>
          <w:szCs w:val="13"/>
          <w:color w:val="auto"/>
        </w:rPr>
        <w:t>that provide real-time information for every step of the relevant transaction processes. In addition to improving end-user customer satisfaction, these capabilities provide our customers with value-added insights into historical and current transaction trends. We also offer mobile reporting capabilities for key users to receive critical data about their transactions on connected devices.</w:t>
      </w:r>
    </w:p>
    <w:p>
      <w:pPr>
        <w:spacing w:after="0" w:line="69" w:lineRule="exact"/>
        <w:rPr>
          <w:sz w:val="20"/>
          <w:szCs w:val="20"/>
          <w:color w:val="auto"/>
        </w:rPr>
      </w:pPr>
    </w:p>
    <w:p>
      <w:pPr>
        <w:ind w:left="1080" w:right="60" w:firstLine="383"/>
        <w:spacing w:after="0" w:line="299" w:lineRule="auto"/>
        <w:rPr>
          <w:sz w:val="20"/>
          <w:szCs w:val="20"/>
          <w:color w:val="auto"/>
        </w:rPr>
      </w:pPr>
      <w:r>
        <w:rPr>
          <w:rFonts w:ascii="Arial" w:cs="Arial" w:eastAsia="Arial" w:hAnsi="Arial"/>
          <w:sz w:val="12"/>
          <w:szCs w:val="12"/>
          <w:i w:val="1"/>
          <w:iCs w:val="1"/>
          <w:color w:val="auto"/>
        </w:rPr>
        <w:t xml:space="preserve">Efficient: </w:t>
      </w:r>
      <w:r>
        <w:rPr>
          <w:rFonts w:ascii="Arial" w:cs="Arial" w:eastAsia="Arial" w:hAnsi="Arial"/>
          <w:sz w:val="12"/>
          <w:szCs w:val="12"/>
          <w:color w:val="auto"/>
        </w:rPr>
        <w:t>Our platforms’ capabilities provide what we believe to be a more cost-effective, efficient and productive approach to enabling new activations across services and</w:t>
      </w:r>
      <w:r>
        <w:rPr>
          <w:rFonts w:ascii="Arial" w:cs="Arial" w:eastAsia="Arial" w:hAnsi="Arial"/>
          <w:sz w:val="12"/>
          <w:szCs w:val="12"/>
          <w:i w:val="1"/>
          <w:iCs w:val="1"/>
          <w:color w:val="auto"/>
        </w:rPr>
        <w:t xml:space="preserve"> </w:t>
      </w:r>
      <w:r>
        <w:rPr>
          <w:rFonts w:ascii="Arial" w:cs="Arial" w:eastAsia="Arial" w:hAnsi="Arial"/>
          <w:sz w:val="12"/>
          <w:szCs w:val="12"/>
          <w:color w:val="auto"/>
        </w:rPr>
        <w:t>channels. Our solutions allow our customers to reduce overhead costs associated with building and operating their own customer transaction management infrastructure. We also provide our customers with the information and tools to more efficiently manage marketing and operational aspects of their business.</w:t>
      </w:r>
    </w:p>
    <w:p>
      <w:pPr>
        <w:spacing w:after="0" w:line="48" w:lineRule="exact"/>
        <w:rPr>
          <w:sz w:val="20"/>
          <w:szCs w:val="20"/>
          <w:color w:val="auto"/>
        </w:rPr>
      </w:pPr>
    </w:p>
    <w:p>
      <w:pPr>
        <w:ind w:left="1080" w:right="180" w:firstLine="383"/>
        <w:spacing w:after="0" w:line="322" w:lineRule="auto"/>
        <w:rPr>
          <w:sz w:val="20"/>
          <w:szCs w:val="20"/>
          <w:color w:val="auto"/>
        </w:rPr>
      </w:pPr>
      <w:r>
        <w:rPr>
          <w:rFonts w:ascii="Arial" w:cs="Arial" w:eastAsia="Arial" w:hAnsi="Arial"/>
          <w:sz w:val="12"/>
          <w:szCs w:val="12"/>
          <w:i w:val="1"/>
          <w:iCs w:val="1"/>
          <w:color w:val="auto"/>
        </w:rPr>
        <w:t xml:space="preserve">Quick Concept to Market Delivery: </w:t>
      </w:r>
      <w:r>
        <w:rPr>
          <w:rFonts w:ascii="Arial" w:cs="Arial" w:eastAsia="Arial" w:hAnsi="Arial"/>
          <w:sz w:val="12"/>
          <w:szCs w:val="12"/>
          <w:color w:val="auto"/>
        </w:rPr>
        <w:t>The automation and ease of integration of our on-demand platform allow our customers to accelerate the deployment of their services</w:t>
      </w:r>
      <w:r>
        <w:rPr>
          <w:rFonts w:ascii="Arial" w:cs="Arial" w:eastAsia="Arial" w:hAnsi="Arial"/>
          <w:sz w:val="12"/>
          <w:szCs w:val="12"/>
          <w:i w:val="1"/>
          <w:iCs w:val="1"/>
          <w:color w:val="auto"/>
        </w:rPr>
        <w:t xml:space="preserve"> </w:t>
      </w:r>
      <w:r>
        <w:rPr>
          <w:rFonts w:ascii="Arial" w:cs="Arial" w:eastAsia="Arial" w:hAnsi="Arial"/>
          <w:sz w:val="12"/>
          <w:szCs w:val="12"/>
          <w:color w:val="auto"/>
        </w:rPr>
        <w:t>and new service offerings by shortening the time between a subscriber’s order and the provisioning of service or activation and enabling of a connected device(s).</w:t>
      </w:r>
    </w:p>
    <w:p>
      <w:pPr>
        <w:spacing w:after="0" w:line="35"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Designed to integrate with back-office systems, our platforms allow work to flow electronically across our customer’s organization while providing ready access to performance and resource usage information in providing activation and subscriber management.</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platforms are comprised of four distinct modules, each providing solutions to the most common and critical needs of our customers.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PerformancePartner</w:t>
      </w:r>
      <w:r>
        <w:rPr>
          <w:rFonts w:ascii="Arial" w:cs="Arial" w:eastAsia="Arial" w:hAnsi="Arial"/>
          <w:sz w:val="11"/>
          <w:szCs w:val="11"/>
          <w:b w:val="1"/>
          <w:bCs w:val="1"/>
          <w:color w:val="auto"/>
        </w:rPr>
        <w:t>®</w:t>
      </w:r>
      <w:r>
        <w:rPr>
          <w:rFonts w:ascii="Arial" w:cs="Arial" w:eastAsia="Arial" w:hAnsi="Arial"/>
          <w:sz w:val="13"/>
          <w:szCs w:val="13"/>
          <w:b w:val="1"/>
          <w:bCs w:val="1"/>
          <w:color w:val="auto"/>
        </w:rPr>
        <w:t xml:space="preserve"> Portal</w:t>
      </w:r>
    </w:p>
    <w:p>
      <w:pPr>
        <w:spacing w:after="0" w:line="100" w:lineRule="exact"/>
        <w:rPr>
          <w:sz w:val="20"/>
          <w:szCs w:val="20"/>
          <w:color w:val="auto"/>
        </w:rPr>
      </w:pPr>
    </w:p>
    <w:p>
      <w:pPr>
        <w:ind w:left="680" w:right="140" w:firstLine="399"/>
        <w:spacing w:after="0" w:line="283" w:lineRule="auto"/>
        <w:rPr>
          <w:sz w:val="20"/>
          <w:szCs w:val="20"/>
          <w:color w:val="auto"/>
        </w:rPr>
      </w:pPr>
      <w:r>
        <w:rPr>
          <w:rFonts w:ascii="Arial" w:cs="Arial" w:eastAsia="Arial" w:hAnsi="Arial"/>
          <w:sz w:val="13"/>
          <w:szCs w:val="13"/>
          <w:color w:val="auto"/>
        </w:rPr>
        <w:t>Our PerformancePartner</w:t>
      </w:r>
      <w:r>
        <w:rPr>
          <w:rFonts w:ascii="Arial" w:cs="Arial" w:eastAsia="Arial" w:hAnsi="Arial"/>
          <w:sz w:val="11"/>
          <w:szCs w:val="11"/>
          <w:color w:val="auto"/>
        </w:rPr>
        <w:t>®</w:t>
      </w:r>
      <w:r>
        <w:rPr>
          <w:rFonts w:ascii="Arial" w:cs="Arial" w:eastAsia="Arial" w:hAnsi="Arial"/>
          <w:sz w:val="13"/>
          <w:szCs w:val="13"/>
          <w:color w:val="auto"/>
        </w:rPr>
        <w:t xml:space="preserve"> portal is a graphical user interface that allows entry of transaction data into the gateway. Through the PerformancePartner</w:t>
      </w:r>
      <w:r>
        <w:rPr>
          <w:rFonts w:ascii="Arial" w:cs="Arial" w:eastAsia="Arial" w:hAnsi="Arial"/>
          <w:sz w:val="11"/>
          <w:szCs w:val="11"/>
          <w:color w:val="auto"/>
        </w:rPr>
        <w:t>®</w:t>
      </w:r>
      <w:r>
        <w:rPr>
          <w:rFonts w:ascii="Arial" w:cs="Arial" w:eastAsia="Arial" w:hAnsi="Arial"/>
          <w:sz w:val="13"/>
          <w:szCs w:val="13"/>
          <w:color w:val="auto"/>
        </w:rPr>
        <w:t xml:space="preserve"> portal, customers can set up accounts, renew contracts and update and submit new transactions for transaction management processing.</w:t>
      </w:r>
    </w:p>
    <w:p>
      <w:pPr>
        <w:spacing w:after="0" w:line="26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Gateway Manager</w:t>
      </w:r>
    </w:p>
    <w:p>
      <w:pPr>
        <w:spacing w:after="0" w:line="102"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color w:val="auto"/>
        </w:rPr>
        <w:t>Our Gateway Manager provides the capability to fulfill multiple types of transactions. These gateways are the engines that support our customers’ front-end portals, handling hundreds of thousands of transactions on a monthly basis. Our gateways deliver a flexible architecture, supporting seamless entry and rapid time to market. In addition, these gateways contain business rules to interact with the customers’ back-office and third-party trading partners.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WorkFlow Manager</w:t>
      </w:r>
    </w:p>
    <w:p>
      <w:pPr>
        <w:spacing w:after="0" w:line="102"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Our WorkFlow Manager provides a seamless interaction with all third-party relationships and enables customers to have a single transaction view, including all relevant data from third-party systems. The WorkFlow Manager is designed to ensure that each customer transaction is fulfilled accurately and offers:</w:t>
      </w:r>
    </w:p>
    <w:p>
      <w:pPr>
        <w:spacing w:after="0" w:line="58" w:lineRule="exact"/>
        <w:rPr>
          <w:sz w:val="20"/>
          <w:szCs w:val="20"/>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Flexible configuration to meet individual customer requirements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Centralized queue management for maximum productivity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Real-time visibility for transaction revenues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Exception handling management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Order view availability during each stage of the transactional process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3"/>
        </w:numPr>
        <w:rPr>
          <w:rFonts w:ascii="Arial" w:cs="Arial" w:eastAsia="Arial" w:hAnsi="Arial"/>
          <w:sz w:val="13"/>
          <w:szCs w:val="13"/>
          <w:color w:val="auto"/>
        </w:rPr>
      </w:pPr>
      <w:r>
        <w:rPr>
          <w:rFonts w:ascii="Arial" w:cs="Arial" w:eastAsia="Arial" w:hAnsi="Arial"/>
          <w:sz w:val="13"/>
          <w:szCs w:val="13"/>
          <w:color w:val="auto"/>
        </w:rPr>
        <w:t>Uniform look and integrated experience.</w:t>
      </w:r>
    </w:p>
    <w:p>
      <w:pPr>
        <w:spacing w:after="0" w:line="98"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By streamlining all procurement processes from pre-order through service activation and billing, our WorkFlow Manager reduces many costs and time impediments that often delay the process of delivering products and services to end-users.</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Visibility Manager</w:t>
      </w:r>
    </w:p>
    <w:p>
      <w:pPr>
        <w:spacing w:after="0" w:line="102"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Our Visibility Manager provides historical trending and mobile reporting to our customers, supports best business practices and processes and allows customers to daily metrics to determine whether process objectives are met or exceeded. The Visibility Manager offers:</w:t>
      </w:r>
    </w:p>
    <w:p>
      <w:pPr>
        <w:spacing w:after="0" w:line="58" w:lineRule="exact"/>
        <w:rPr>
          <w:sz w:val="20"/>
          <w:szCs w:val="20"/>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A centralized reporting platform that provides intelligent analytics around the entire workflow</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Transaction management information</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Historical trending</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4"/>
        </w:numPr>
        <w:rPr>
          <w:rFonts w:ascii="Arial" w:cs="Arial" w:eastAsia="Arial" w:hAnsi="Arial"/>
          <w:sz w:val="13"/>
          <w:szCs w:val="13"/>
          <w:color w:val="auto"/>
        </w:rPr>
      </w:pPr>
      <w:r>
        <w:rPr>
          <w:rFonts w:ascii="Arial" w:cs="Arial" w:eastAsia="Arial" w:hAnsi="Arial"/>
          <w:sz w:val="13"/>
          <w:szCs w:val="13"/>
          <w:color w:val="auto"/>
        </w:rPr>
        <w:t>Mobile reporting for key users to receive critical transaction data on mobile devices.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Demand Drivers for Our Business</w:t>
      </w:r>
    </w:p>
    <w:p>
      <w:pPr>
        <w:spacing w:after="0" w:line="10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services are capable of managing a wide variety of transactions across multiple customer delivery channels and services, enabling us to benefit from increased growth, complexity and technological change in the communications industry. As the communications technology industry evolves, new access networks, connected devices and applications with multiple services and modes are emerging. This proliferation of services and advancement of technologies, combined with their bundling are accelerating subscriber growth and increasing the number of transactions between our customers and their subscribers. In addition to this dynamic, our core electronic transaction management business is further being driven by the following factors:</w:t>
      </w:r>
    </w:p>
    <w:p>
      <w:pPr>
        <w:spacing w:after="0" w:line="66" w:lineRule="exact"/>
        <w:rPr>
          <w:sz w:val="20"/>
          <w:szCs w:val="20"/>
          <w:color w:val="auto"/>
        </w:rPr>
      </w:pPr>
    </w:p>
    <w:p>
      <w:pPr>
        <w:ind w:left="1300" w:right="180" w:hanging="207"/>
        <w:spacing w:after="0" w:line="285" w:lineRule="auto"/>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 xml:space="preserve">A proliferation of connected devices led by </w:t>
      </w:r>
      <w:r>
        <w:rPr>
          <w:rFonts w:ascii="Arial" w:cs="Arial" w:eastAsia="Arial" w:hAnsi="Arial"/>
          <w:sz w:val="13"/>
          <w:szCs w:val="13"/>
          <w:b w:val="1"/>
          <w:bCs w:val="1"/>
          <w:i w:val="1"/>
          <w:iCs w:val="1"/>
          <w:color w:val="auto"/>
        </w:rPr>
        <w:t>a)</w:t>
      </w:r>
      <w:r>
        <w:rPr>
          <w:rFonts w:ascii="Arial" w:cs="Arial" w:eastAsia="Arial" w:hAnsi="Arial"/>
          <w:sz w:val="13"/>
          <w:szCs w:val="13"/>
          <w:color w:val="auto"/>
        </w:rPr>
        <w:t xml:space="preserve"> new &amp; richer operating systems that challenge the status quo, </w:t>
      </w:r>
      <w:r>
        <w:rPr>
          <w:rFonts w:ascii="Arial" w:cs="Arial" w:eastAsia="Arial" w:hAnsi="Arial"/>
          <w:sz w:val="13"/>
          <w:szCs w:val="13"/>
          <w:b w:val="1"/>
          <w:bCs w:val="1"/>
          <w:i w:val="1"/>
          <w:iCs w:val="1"/>
          <w:color w:val="auto"/>
        </w:rPr>
        <w:t>b)</w:t>
      </w:r>
      <w:r>
        <w:rPr>
          <w:rFonts w:ascii="Arial" w:cs="Arial" w:eastAsia="Arial" w:hAnsi="Arial"/>
          <w:sz w:val="13"/>
          <w:szCs w:val="13"/>
          <w:color w:val="auto"/>
        </w:rPr>
        <w:t xml:space="preserve"> increasing mobile phone adoption and </w:t>
      </w:r>
      <w:r>
        <w:rPr>
          <w:rFonts w:ascii="Arial" w:cs="Arial" w:eastAsia="Arial" w:hAnsi="Arial"/>
          <w:sz w:val="13"/>
          <w:szCs w:val="13"/>
          <w:b w:val="1"/>
          <w:bCs w:val="1"/>
          <w:color w:val="auto"/>
        </w:rPr>
        <w:t>c)</w:t>
      </w:r>
      <w:r>
        <w:rPr>
          <w:rFonts w:ascii="Arial" w:cs="Arial" w:eastAsia="Arial" w:hAnsi="Arial"/>
          <w:sz w:val="13"/>
          <w:szCs w:val="13"/>
          <w:color w:val="auto"/>
        </w:rPr>
        <w:t xml:space="preserve"> broadband networks experiencing critical mass</w:t>
      </w:r>
    </w:p>
    <w:p>
      <w:pPr>
        <w:spacing w:after="0" w:line="44"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Wireless ecosystem undergoing a paradigm shift in its buying patterns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Continued growth of the online channel for the communications space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Consolidation of e-Tailers/retailers focused in the communications space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5"/>
        </w:numPr>
        <w:rPr>
          <w:rFonts w:ascii="Arial" w:cs="Arial" w:eastAsia="Arial" w:hAnsi="Arial"/>
          <w:sz w:val="13"/>
          <w:szCs w:val="13"/>
          <w:color w:val="auto"/>
        </w:rPr>
      </w:pPr>
      <w:r>
        <w:rPr>
          <w:rFonts w:ascii="Arial" w:cs="Arial" w:eastAsia="Arial" w:hAnsi="Arial"/>
          <w:sz w:val="13"/>
          <w:szCs w:val="13"/>
          <w:color w:val="auto"/>
        </w:rPr>
        <w:t>Expansion of communication service bundles</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40" w:lineRule="exact"/>
        <w:rPr>
          <w:sz w:val="20"/>
          <w:szCs w:val="20"/>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Pressure on operators to improve efficiency while delivering a superior subscriber experience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color w:val="auto"/>
        </w:rPr>
        <w:t>Growth of the on-demand delivery model</w:t>
      </w:r>
    </w:p>
    <w:p>
      <w:pPr>
        <w:spacing w:after="0" w:line="87" w:lineRule="exact"/>
        <w:rPr>
          <w:rFonts w:ascii="Arial" w:cs="Arial" w:eastAsia="Arial" w:hAnsi="Arial"/>
          <w:sz w:val="13"/>
          <w:szCs w:val="13"/>
          <w:color w:val="auto"/>
        </w:rPr>
      </w:pPr>
    </w:p>
    <w:p>
      <w:pPr>
        <w:ind w:left="1300" w:right="300" w:hanging="207"/>
        <w:spacing w:after="0" w:line="279" w:lineRule="auto"/>
        <w:tabs>
          <w:tab w:leader="none" w:pos="130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A Proliferation of Connected Devices led by a) New &amp; Richer Operating Systems, b) Increasing Mobile Phone Adoption and c) Wireless Broadband Networks Experiencing Critical Mass</w:t>
      </w:r>
    </w:p>
    <w:p>
      <w:pPr>
        <w:spacing w:after="0" w:line="5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We are starting to see embedded connectivity technology within a vast array of common electronic devices. In fact many analysts argue that we may soon find it difficult to find consumer electronics that don’t feature a built in internet connection. For example ABI Research forecasts, indicate that in 2014 there will be 2.5 billion connected data-centric devices in use worldwide, and of those, almost 1.5 billion will not be handsets.</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see three drivers behind this development:</w:t>
      </w:r>
    </w:p>
    <w:p>
      <w:pPr>
        <w:spacing w:after="0" w:line="98" w:lineRule="exact"/>
        <w:rPr>
          <w:sz w:val="20"/>
          <w:szCs w:val="20"/>
          <w:color w:val="auto"/>
        </w:rPr>
      </w:pPr>
    </w:p>
    <w:p>
      <w:pPr>
        <w:ind w:left="1080" w:firstLine="383"/>
        <w:spacing w:after="0" w:line="299" w:lineRule="auto"/>
        <w:rPr>
          <w:sz w:val="20"/>
          <w:szCs w:val="20"/>
          <w:color w:val="auto"/>
        </w:rPr>
      </w:pPr>
      <w:r>
        <w:rPr>
          <w:rFonts w:ascii="Arial" w:cs="Arial" w:eastAsia="Arial" w:hAnsi="Arial"/>
          <w:sz w:val="12"/>
          <w:szCs w:val="12"/>
          <w:i w:val="1"/>
          <w:iCs w:val="1"/>
          <w:u w:val="single" w:color="auto"/>
          <w:color w:val="auto"/>
        </w:rPr>
        <w:t>New and Richer Operating Systems:</w:t>
      </w:r>
      <w:r>
        <w:rPr>
          <w:rFonts w:ascii="Arial" w:cs="Arial" w:eastAsia="Arial" w:hAnsi="Arial"/>
          <w:sz w:val="12"/>
          <w:szCs w:val="12"/>
          <w:i w:val="1"/>
          <w:iCs w:val="1"/>
          <w:color w:val="auto"/>
        </w:rPr>
        <w:t xml:space="preserve"> </w:t>
      </w:r>
      <w:r>
        <w:rPr>
          <w:rFonts w:ascii="Arial" w:cs="Arial" w:eastAsia="Arial" w:hAnsi="Arial"/>
          <w:sz w:val="12"/>
          <w:szCs w:val="12"/>
          <w:color w:val="auto"/>
        </w:rPr>
        <w:t>In many ways, new device operating systems like the OSX for the iPhone/iTouch portfolio, the Android produced by Google and the</w:t>
      </w:r>
      <w:r>
        <w:rPr>
          <w:rFonts w:ascii="Arial" w:cs="Arial" w:eastAsia="Arial" w:hAnsi="Arial"/>
          <w:sz w:val="12"/>
          <w:szCs w:val="12"/>
          <w:i w:val="1"/>
          <w:iCs w:val="1"/>
          <w:color w:val="auto"/>
        </w:rPr>
        <w:t xml:space="preserve"> </w:t>
      </w:r>
      <w:r>
        <w:rPr>
          <w:rFonts w:ascii="Arial" w:cs="Arial" w:eastAsia="Arial" w:hAnsi="Arial"/>
          <w:sz w:val="12"/>
          <w:szCs w:val="12"/>
          <w:color w:val="auto"/>
        </w:rPr>
        <w:t>Blackberry OS for the RIM portfolio have accelerated the adoption and usage of smartphones. In the same way that Windows 3.0 accelerated the PC adoption and Mozilla did for the internet, many industry analysts have made direct correlations between the introduction of these new operating systems and the explosion of the smartphone category.</w:t>
      </w:r>
    </w:p>
    <w:p>
      <w:pPr>
        <w:spacing w:after="0" w:line="48" w:lineRule="exact"/>
        <w:rPr>
          <w:sz w:val="20"/>
          <w:szCs w:val="20"/>
          <w:color w:val="auto"/>
        </w:rPr>
      </w:pPr>
    </w:p>
    <w:p>
      <w:pPr>
        <w:ind w:left="1080" w:right="140" w:firstLine="383"/>
        <w:spacing w:after="0" w:line="262" w:lineRule="auto"/>
        <w:rPr>
          <w:sz w:val="20"/>
          <w:szCs w:val="20"/>
          <w:color w:val="auto"/>
        </w:rPr>
      </w:pPr>
      <w:r>
        <w:rPr>
          <w:rFonts w:ascii="Arial" w:cs="Arial" w:eastAsia="Arial" w:hAnsi="Arial"/>
          <w:sz w:val="13"/>
          <w:szCs w:val="13"/>
          <w:i w:val="1"/>
          <w:iCs w:val="1"/>
          <w:u w:val="single" w:color="auto"/>
          <w:color w:val="auto"/>
        </w:rPr>
        <w:t>Increasing Mobile Adoption in Developed Countries:</w:t>
      </w:r>
      <w:r>
        <w:rPr>
          <w:rFonts w:ascii="Arial" w:cs="Arial" w:eastAsia="Arial" w:hAnsi="Arial"/>
          <w:sz w:val="13"/>
          <w:szCs w:val="13"/>
          <w:i w:val="1"/>
          <w:iCs w:val="1"/>
          <w:color w:val="auto"/>
        </w:rPr>
        <w:t xml:space="preserve"> </w:t>
      </w:r>
      <w:r>
        <w:rPr>
          <w:rFonts w:ascii="Arial" w:cs="Arial" w:eastAsia="Arial" w:hAnsi="Arial"/>
          <w:sz w:val="13"/>
          <w:szCs w:val="13"/>
          <w:color w:val="auto"/>
        </w:rPr>
        <w:t>The ITU Telecom Database recently reported 105 cellular subscriptions per 100 inhabitants of developed countries</w:t>
      </w:r>
      <w:r>
        <w:rPr>
          <w:rFonts w:ascii="Arial" w:cs="Arial" w:eastAsia="Arial" w:hAnsi="Arial"/>
          <w:sz w:val="13"/>
          <w:szCs w:val="13"/>
          <w:i w:val="1"/>
          <w:iCs w:val="1"/>
          <w:color w:val="auto"/>
        </w:rPr>
        <w:t xml:space="preserve"> </w:t>
      </w:r>
      <w:r>
        <w:rPr>
          <w:rFonts w:ascii="Arial" w:cs="Arial" w:eastAsia="Arial" w:hAnsi="Arial"/>
          <w:sz w:val="13"/>
          <w:szCs w:val="13"/>
          <w:color w:val="auto"/>
        </w:rPr>
        <w:t>implying more than one subscription per person in countries with higher GDP per capita. As operators address this mobile adoption and the subsequent slowing in top line growth, they become very receptive to new types of devices that leverage the existing infrastructure (i.e.: connected netbooks, e-readers, etc.) and encourage their customers to have more than one wireless device.</w:t>
      </w:r>
    </w:p>
    <w:p>
      <w:pPr>
        <w:spacing w:after="0" w:line="69" w:lineRule="exact"/>
        <w:rPr>
          <w:sz w:val="20"/>
          <w:szCs w:val="20"/>
          <w:color w:val="auto"/>
        </w:rPr>
      </w:pPr>
    </w:p>
    <w:p>
      <w:pPr>
        <w:ind w:left="1080" w:right="80" w:firstLine="383"/>
        <w:spacing w:after="0" w:line="266" w:lineRule="auto"/>
        <w:rPr>
          <w:sz w:val="20"/>
          <w:szCs w:val="20"/>
          <w:color w:val="auto"/>
        </w:rPr>
      </w:pPr>
      <w:r>
        <w:rPr>
          <w:rFonts w:ascii="Arial" w:cs="Arial" w:eastAsia="Arial" w:hAnsi="Arial"/>
          <w:sz w:val="13"/>
          <w:szCs w:val="13"/>
          <w:i w:val="1"/>
          <w:iCs w:val="1"/>
          <w:u w:val="single" w:color="auto"/>
          <w:color w:val="auto"/>
        </w:rPr>
        <w:t>Wireless Broadband Networks Experiencing Critical Mass:</w:t>
      </w:r>
      <w:r>
        <w:rPr>
          <w:rFonts w:ascii="Arial" w:cs="Arial" w:eastAsia="Arial" w:hAnsi="Arial"/>
          <w:sz w:val="13"/>
          <w:szCs w:val="13"/>
          <w:i w:val="1"/>
          <w:iCs w:val="1"/>
          <w:color w:val="auto"/>
        </w:rPr>
        <w:t xml:space="preserve"> </w:t>
      </w:r>
      <w:r>
        <w:rPr>
          <w:rFonts w:ascii="Arial" w:cs="Arial" w:eastAsia="Arial" w:hAnsi="Arial"/>
          <w:sz w:val="13"/>
          <w:szCs w:val="13"/>
          <w:color w:val="auto"/>
        </w:rPr>
        <w:t>The establishment of multiple broadband mobile networks (e.g., Universal Mobile Telecommunications System,</w:t>
      </w:r>
      <w:r>
        <w:rPr>
          <w:rFonts w:ascii="Arial" w:cs="Arial" w:eastAsia="Arial" w:hAnsi="Arial"/>
          <w:sz w:val="13"/>
          <w:szCs w:val="13"/>
          <w:i w:val="1"/>
          <w:iCs w:val="1"/>
          <w:color w:val="auto"/>
        </w:rPr>
        <w:t xml:space="preserve"> </w:t>
      </w:r>
      <w:r>
        <w:rPr>
          <w:rFonts w:ascii="Arial" w:cs="Arial" w:eastAsia="Arial" w:hAnsi="Arial"/>
          <w:sz w:val="13"/>
          <w:szCs w:val="13"/>
          <w:color w:val="auto"/>
        </w:rPr>
        <w:t>High-Speed Downlink Packet Access, Evolution-Data Optimized, WiMax, and LTE among others) has provided broader bandwidth to CSPs, while decreasing the access charges, thus enabling the proliferation of mobile devices and equipment with embedded connectivity.</w:t>
      </w:r>
    </w:p>
    <w:p>
      <w:pPr>
        <w:spacing w:after="0" w:line="67"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With Global 3G wireless networks now covering 21% of the global population, many analysts have inferred that this is indeed an inflection point and that adoption will experience an acceleration of growth. As the enablement of mobile and connected devices on these networks accelerates, we expect that the need for a best-in-class activation customer experience will rise.</w:t>
      </w:r>
    </w:p>
    <w:p>
      <w:pPr>
        <w:spacing w:after="0" w:line="67" w:lineRule="exact"/>
        <w:rPr>
          <w:sz w:val="20"/>
          <w:szCs w:val="20"/>
          <w:color w:val="auto"/>
        </w:rPr>
      </w:pPr>
    </w:p>
    <w:p>
      <w:pPr>
        <w:ind w:left="680" w:right="400" w:firstLine="399"/>
        <w:spacing w:after="0" w:line="279" w:lineRule="auto"/>
        <w:rPr>
          <w:sz w:val="20"/>
          <w:szCs w:val="20"/>
          <w:color w:val="auto"/>
        </w:rPr>
      </w:pPr>
      <w:r>
        <w:rPr>
          <w:rFonts w:ascii="Arial" w:cs="Arial" w:eastAsia="Arial" w:hAnsi="Arial"/>
          <w:sz w:val="13"/>
          <w:szCs w:val="13"/>
          <w:color w:val="auto"/>
        </w:rPr>
        <w:t>As more of these devices enter the market, many of them with lower average revenue per user (ARPU) than traditional wireless services, they will necessitate an efficient and seamless activation / provisioning system with a best in class customer experience to differentiate them.</w:t>
      </w:r>
    </w:p>
    <w:p>
      <w:pPr>
        <w:spacing w:after="0" w:line="58" w:lineRule="exact"/>
        <w:rPr>
          <w:sz w:val="20"/>
          <w:szCs w:val="20"/>
          <w:color w:val="auto"/>
        </w:rPr>
      </w:pPr>
    </w:p>
    <w:p>
      <w:pPr>
        <w:ind w:left="1300" w:hanging="207"/>
        <w:spacing w:after="0"/>
        <w:tabs>
          <w:tab w:leader="none" w:pos="1300" w:val="left"/>
        </w:tabs>
        <w:numPr>
          <w:ilvl w:val="0"/>
          <w:numId w:val="7"/>
        </w:numPr>
        <w:rPr>
          <w:rFonts w:ascii="Arial" w:cs="Arial" w:eastAsia="Arial" w:hAnsi="Arial"/>
          <w:sz w:val="13"/>
          <w:szCs w:val="13"/>
          <w:color w:val="auto"/>
        </w:rPr>
      </w:pPr>
      <w:r>
        <w:rPr>
          <w:rFonts w:ascii="Arial" w:cs="Arial" w:eastAsia="Arial" w:hAnsi="Arial"/>
          <w:sz w:val="13"/>
          <w:szCs w:val="13"/>
          <w:i w:val="1"/>
          <w:iCs w:val="1"/>
          <w:color w:val="auto"/>
        </w:rPr>
        <w:t>Wireless Ecosystem Undergoing a Paradigm Shift in its Buying Patterns</w:t>
      </w:r>
    </w:p>
    <w:p>
      <w:pPr>
        <w:spacing w:after="0" w:line="9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Consumers have traditionally been accustomed to purchasing their devices and service plans directly from computer service providers (CSPs). That is, if they wanted a particular wireless service, they first had to decide which operator they wanted, and then only after they made this decision, could they select a phone. We are seeing considerable forces altering this typical buy flow and in doing so generating considerable innovation and change in the ecosystem.</w:t>
      </w:r>
    </w:p>
    <w:p>
      <w:pPr>
        <w:spacing w:after="0" w:line="67"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Companies like Dell or Google with its Nexus One and Amazon with the Kindle have in some ways contributed to the change of this buy flow process. Specifically, we are seeing these OEMs invest considerable resources in developing their “direct to consumer” channel and in some cases making it the only channel available. While this recent change in the ecosystem offers some advantages to these OEMs it also presents some challenges for them while at the same time creating a new higher growth channel for communication service providers who ultimately provide the access and connectivity. In many ways analysts have argued that this is a win-win game theory situation and that ultimately the “pie,” not “individual slices,” are getting larger.</w:t>
      </w:r>
    </w:p>
    <w:p>
      <w:pPr>
        <w:spacing w:after="0" w:line="278"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right="20" w:firstLine="399"/>
        <w:spacing w:after="0" w:line="266" w:lineRule="auto"/>
        <w:rPr>
          <w:sz w:val="20"/>
          <w:szCs w:val="20"/>
          <w:color w:val="auto"/>
        </w:rPr>
      </w:pPr>
      <w:r>
        <w:rPr>
          <w:rFonts w:ascii="Arial" w:cs="Arial" w:eastAsia="Arial" w:hAnsi="Arial"/>
          <w:sz w:val="13"/>
          <w:szCs w:val="13"/>
          <w:color w:val="auto"/>
        </w:rPr>
        <w:t>Furthermore we are seeing e-Tailers/retailers take a more aggressive approach in their go-to-market programs and redefining the ways that connected devices are sold and activated. Companies like Best Buy Mobile or Radio Shack are key drivers of this change and have implemented advanced tools at the disposal of their end customers to buy and activate their phones either in-store or online.</w:t>
      </w:r>
    </w:p>
    <w:p>
      <w:pPr>
        <w:spacing w:after="0" w:line="67"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Managing the activation / provisioning of these devices and handling the connectivity with the different service providers is something that is not core to OEMs or e-Tailers/retailers. As this dynamic evolves we expect that there will be an increasing need for automated activation / provisioning services as well as other transaction areas such as, credit card billing, inventory management, and trouble ticketing.</w:t>
      </w:r>
    </w:p>
    <w:p>
      <w:pPr>
        <w:spacing w:after="0" w:line="67" w:lineRule="exact"/>
        <w:rPr>
          <w:sz w:val="20"/>
          <w:szCs w:val="20"/>
          <w:color w:val="auto"/>
        </w:rPr>
      </w:pPr>
    </w:p>
    <w:p>
      <w:pPr>
        <w:ind w:left="1300" w:hanging="207"/>
        <w:spacing w:after="0"/>
        <w:tabs>
          <w:tab w:leader="none" w:pos="1300" w:val="left"/>
        </w:tabs>
        <w:numPr>
          <w:ilvl w:val="0"/>
          <w:numId w:val="8"/>
        </w:numPr>
        <w:rPr>
          <w:rFonts w:ascii="Arial" w:cs="Arial" w:eastAsia="Arial" w:hAnsi="Arial"/>
          <w:sz w:val="13"/>
          <w:szCs w:val="13"/>
          <w:color w:val="auto"/>
        </w:rPr>
      </w:pPr>
      <w:r>
        <w:rPr>
          <w:rFonts w:ascii="Arial" w:cs="Arial" w:eastAsia="Arial" w:hAnsi="Arial"/>
          <w:sz w:val="13"/>
          <w:szCs w:val="13"/>
          <w:i w:val="1"/>
          <w:iCs w:val="1"/>
          <w:color w:val="auto"/>
        </w:rPr>
        <w:t>Continued Growth of the Online Channel for the Communications Space</w:t>
      </w:r>
    </w:p>
    <w:p>
      <w:pPr>
        <w:spacing w:after="0" w:line="9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E-commerce as a distribution channel for CSPs, MSOs, OEMs and traditional retailers continues to flourish and is projected to grow at a CAGR of 22% into 2012, according to Datamonitor. Cloud-based commerce provides our customers with the opportunity to cost-effectively gain new subscribers, provide service and interact more effectively. Specifically the cost per gross add (CPGA) for a customer obtained via e-commerce can be up to 50% less than those obtained via traditional means. With the dramatic increase in Internet usage and desire to directly connect with end users over the course of the customer lifecycle, service providers are increasingly focusing on e-commerce as a channel for acquisition and delivery of ongoing services. According to industry research firm IDC, the amount of business-to-business and business-to-consumer spending on eCommerce will rise to more than $16 trillion by 2013. As this channel continues to experience growth, we expect that there will be an increasing need to automate the activation and provisioning process of mobile devices, and provide a best-in-class customer experience over the Internet.</w:t>
      </w:r>
    </w:p>
    <w:p>
      <w:pPr>
        <w:spacing w:after="0" w:line="71" w:lineRule="exact"/>
        <w:rPr>
          <w:sz w:val="20"/>
          <w:szCs w:val="20"/>
          <w:color w:val="auto"/>
        </w:rPr>
      </w:pPr>
    </w:p>
    <w:p>
      <w:pPr>
        <w:ind w:left="1300" w:hanging="207"/>
        <w:spacing w:after="0"/>
        <w:tabs>
          <w:tab w:leader="none" w:pos="1300" w:val="left"/>
        </w:tabs>
        <w:numPr>
          <w:ilvl w:val="0"/>
          <w:numId w:val="9"/>
        </w:numPr>
        <w:rPr>
          <w:rFonts w:ascii="Arial" w:cs="Arial" w:eastAsia="Arial" w:hAnsi="Arial"/>
          <w:sz w:val="13"/>
          <w:szCs w:val="13"/>
          <w:color w:val="auto"/>
        </w:rPr>
      </w:pPr>
      <w:r>
        <w:rPr>
          <w:rFonts w:ascii="Arial" w:cs="Arial" w:eastAsia="Arial" w:hAnsi="Arial"/>
          <w:sz w:val="13"/>
          <w:szCs w:val="13"/>
          <w:i w:val="1"/>
          <w:iCs w:val="1"/>
          <w:color w:val="auto"/>
        </w:rPr>
        <w:t>Consolidation of e-Tailers/retailers focused in the Communications Space</w:t>
      </w:r>
    </w:p>
    <w:p>
      <w:pPr>
        <w:spacing w:after="0" w:line="98"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color w:val="auto"/>
        </w:rPr>
        <w:t>In parallel to the growth of e-commerce, e-Tailers (e.g., Amazon) and traditional consumer electronics retailers (e.g., Best Buy Mobile, Costco) are aggressively pursuing the sale of connected devices over the Internet. This channel represents as much as 10% growth for some leading CSPs today. Furthermore, this channel has demonstrated considerable innovation as these e-Tailers/retailers attempt to launch emerging devices (e.g.: Amazon’s Kindle).</w:t>
      </w:r>
    </w:p>
    <w:p>
      <w:pPr>
        <w:spacing w:after="0" w:line="67" w:lineRule="exact"/>
        <w:rPr>
          <w:sz w:val="20"/>
          <w:szCs w:val="20"/>
          <w:color w:val="auto"/>
        </w:rPr>
      </w:pPr>
    </w:p>
    <w:p>
      <w:pPr>
        <w:ind w:left="680" w:right="360" w:firstLine="399"/>
        <w:spacing w:after="0" w:line="279" w:lineRule="auto"/>
        <w:rPr>
          <w:sz w:val="20"/>
          <w:szCs w:val="20"/>
          <w:color w:val="auto"/>
        </w:rPr>
      </w:pPr>
      <w:r>
        <w:rPr>
          <w:rFonts w:ascii="Arial" w:cs="Arial" w:eastAsia="Arial" w:hAnsi="Arial"/>
          <w:sz w:val="13"/>
          <w:szCs w:val="13"/>
          <w:color w:val="auto"/>
        </w:rPr>
        <w:t>As these constituents of the wireless ecosystem continue to advance their strategies and grow their presence in the connected devices market place we believe they will require further support to automate the activation / provisioning of their new customers.</w:t>
      </w:r>
    </w:p>
    <w:p>
      <w:pPr>
        <w:spacing w:after="0" w:line="58" w:lineRule="exact"/>
        <w:rPr>
          <w:sz w:val="20"/>
          <w:szCs w:val="20"/>
          <w:color w:val="auto"/>
        </w:rPr>
      </w:pPr>
    </w:p>
    <w:p>
      <w:pPr>
        <w:ind w:left="1300" w:hanging="207"/>
        <w:spacing w:after="0"/>
        <w:tabs>
          <w:tab w:leader="none" w:pos="1300" w:val="left"/>
        </w:tabs>
        <w:numPr>
          <w:ilvl w:val="0"/>
          <w:numId w:val="10"/>
        </w:numPr>
        <w:rPr>
          <w:rFonts w:ascii="Arial" w:cs="Arial" w:eastAsia="Arial" w:hAnsi="Arial"/>
          <w:sz w:val="13"/>
          <w:szCs w:val="13"/>
          <w:color w:val="auto"/>
        </w:rPr>
      </w:pPr>
      <w:r>
        <w:rPr>
          <w:rFonts w:ascii="Arial" w:cs="Arial" w:eastAsia="Arial" w:hAnsi="Arial"/>
          <w:sz w:val="13"/>
          <w:szCs w:val="13"/>
          <w:i w:val="1"/>
          <w:iCs w:val="1"/>
          <w:color w:val="auto"/>
        </w:rPr>
        <w:t>Expansion of Communication Service Bundles</w:t>
      </w:r>
    </w:p>
    <w:p>
      <w:pPr>
        <w:spacing w:after="0" w:line="9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With subscribers expecting CSPs to offer all services under one contract, communications companies continue the development of bundled style offerings of their available services. In this environment, more CSPs are utilizing an array of communication delivery technologies to become all-in-one providers of communication services. For example, MSOs are increasingly creating true quad-play’s (i.e., voice, video, high speed data, wireless) with the creation, acquisition and/or development of their own wireless networks. As wireless technology proliferates further into the consumer device market, we believe we will see an emergence of service bundling that surpasses the traditional perception of a quad-play, where the wireless component will encompass an added array of wireless enabled devices. Frost &amp; Sullivan research projects revenue from service bundling will continue to grow at a compounded annual growth rate of 11% into 2013, and that by 2013, 81% of households will use some sort of service bundle. As quad-play offerings gain more traction and service bundles begin encompassing emerging devices and technologies, we believe that the level of complexity in seamlessly delivering these services will increase significantly and that CSPs will need transaction management systems that can effectively handle those delivery challenges.</w:t>
      </w:r>
    </w:p>
    <w:p>
      <w:pPr>
        <w:spacing w:after="0" w:line="74" w:lineRule="exact"/>
        <w:rPr>
          <w:sz w:val="20"/>
          <w:szCs w:val="20"/>
          <w:color w:val="auto"/>
        </w:rPr>
      </w:pPr>
    </w:p>
    <w:p>
      <w:pPr>
        <w:ind w:left="1300" w:hanging="207"/>
        <w:spacing w:after="0"/>
        <w:tabs>
          <w:tab w:leader="none" w:pos="1300" w:val="left"/>
        </w:tabs>
        <w:numPr>
          <w:ilvl w:val="0"/>
          <w:numId w:val="11"/>
        </w:numPr>
        <w:rPr>
          <w:rFonts w:ascii="Arial" w:cs="Arial" w:eastAsia="Arial" w:hAnsi="Arial"/>
          <w:sz w:val="13"/>
          <w:szCs w:val="13"/>
          <w:color w:val="auto"/>
        </w:rPr>
      </w:pPr>
      <w:r>
        <w:rPr>
          <w:rFonts w:ascii="Arial" w:cs="Arial" w:eastAsia="Arial" w:hAnsi="Arial"/>
          <w:sz w:val="13"/>
          <w:szCs w:val="13"/>
          <w:i w:val="1"/>
          <w:iCs w:val="1"/>
          <w:color w:val="auto"/>
        </w:rPr>
        <w:t>Pressure on Customers to Improve Efficiency while Delivering a Superior Subscriber Experience</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Increased competition, recessionary markets, and excess network capacity have placed significant pressure on our customers to reduce costs and increase revenues. At the same time, due to deregulation, the emergence of new network technologies and the proliferation of services, the complexity of back-office operations has increased significantly. Customers with multiple back-end systems are looking for ways to help their systems interoperate for</w:t>
      </w:r>
    </w:p>
    <w:p>
      <w:pPr>
        <w:spacing w:after="0" w:line="274"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40"/>
        <w:spacing w:after="0" w:line="291" w:lineRule="auto"/>
        <w:rPr>
          <w:sz w:val="20"/>
          <w:szCs w:val="20"/>
          <w:color w:val="auto"/>
        </w:rPr>
      </w:pPr>
      <w:r>
        <w:rPr>
          <w:rFonts w:ascii="Arial" w:cs="Arial" w:eastAsia="Arial" w:hAnsi="Arial"/>
          <w:sz w:val="12"/>
          <w:szCs w:val="12"/>
          <w:color w:val="auto"/>
        </w:rPr>
        <w:t>a better customer experience. In addition, customers are moving to automated provisioning systems to enable them to more easily purchase, upgrade or add new features, application and content. As a result, customers are looking for ways to offer new communications services more rapidly and efficiently to existing and new customers. Increased competition and demand for superior subscriber experience have placed significant pressure on our customers to improve customer-centric processes. CSPs are increasingly turning to transaction based, cost effective, scalable and automated third-party solutions that can offer guaranteed levels of service delivery.</w:t>
      </w:r>
    </w:p>
    <w:p>
      <w:pPr>
        <w:spacing w:after="0" w:line="53" w:lineRule="exact"/>
        <w:rPr>
          <w:sz w:val="20"/>
          <w:szCs w:val="20"/>
          <w:color w:val="auto"/>
        </w:rPr>
      </w:pPr>
    </w:p>
    <w:p>
      <w:pPr>
        <w:ind w:left="1300" w:hanging="207"/>
        <w:spacing w:after="0"/>
        <w:tabs>
          <w:tab w:leader="none" w:pos="1300" w:val="left"/>
        </w:tabs>
        <w:numPr>
          <w:ilvl w:val="0"/>
          <w:numId w:val="12"/>
        </w:numPr>
        <w:rPr>
          <w:rFonts w:ascii="Arial" w:cs="Arial" w:eastAsia="Arial" w:hAnsi="Arial"/>
          <w:sz w:val="13"/>
          <w:szCs w:val="13"/>
          <w:color w:val="auto"/>
        </w:rPr>
      </w:pPr>
      <w:r>
        <w:rPr>
          <w:rFonts w:ascii="Arial" w:cs="Arial" w:eastAsia="Arial" w:hAnsi="Arial"/>
          <w:sz w:val="13"/>
          <w:szCs w:val="13"/>
          <w:i w:val="1"/>
          <w:iCs w:val="1"/>
          <w:color w:val="auto"/>
        </w:rPr>
        <w:t>Growth in On-Demand Delivery Model</w:t>
      </w:r>
    </w:p>
    <w:p>
      <w:pPr>
        <w:spacing w:after="0" w:line="98" w:lineRule="exact"/>
        <w:rPr>
          <w:sz w:val="20"/>
          <w:szCs w:val="20"/>
          <w:color w:val="auto"/>
        </w:rPr>
      </w:pPr>
    </w:p>
    <w:p>
      <w:pPr>
        <w:ind w:left="680" w:right="540" w:firstLine="399"/>
        <w:spacing w:after="0" w:line="279" w:lineRule="auto"/>
        <w:rPr>
          <w:sz w:val="20"/>
          <w:szCs w:val="20"/>
          <w:color w:val="auto"/>
        </w:rPr>
      </w:pPr>
      <w:r>
        <w:rPr>
          <w:rFonts w:ascii="Arial" w:cs="Arial" w:eastAsia="Arial" w:hAnsi="Arial"/>
          <w:sz w:val="13"/>
          <w:szCs w:val="13"/>
          <w:color w:val="auto"/>
        </w:rPr>
        <w:t>Our on-demand business model enables delivery of our proprietary solutions over the Internet as a service. As such, customers do not have to make large and risky upfront investments in software, additional hardware, extensive implementation services and additional IT staff.</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Growth Strategy</w:t>
      </w:r>
    </w:p>
    <w:p>
      <w:pPr>
        <w:spacing w:after="0" w:line="102" w:lineRule="exact"/>
        <w:rPr>
          <w:sz w:val="20"/>
          <w:szCs w:val="20"/>
          <w:color w:val="auto"/>
        </w:rPr>
      </w:pPr>
    </w:p>
    <w:p>
      <w:pPr>
        <w:jc w:val="both"/>
        <w:ind w:left="680" w:right="340" w:firstLine="399"/>
        <w:spacing w:after="0" w:line="299" w:lineRule="auto"/>
        <w:rPr>
          <w:sz w:val="20"/>
          <w:szCs w:val="20"/>
          <w:color w:val="auto"/>
        </w:rPr>
      </w:pPr>
      <w:r>
        <w:rPr>
          <w:rFonts w:ascii="Arial" w:cs="Arial" w:eastAsia="Arial" w:hAnsi="Arial"/>
          <w:sz w:val="12"/>
          <w:szCs w:val="12"/>
          <w:color w:val="auto"/>
        </w:rPr>
        <w:t>Our growth strategy is to establish our platforms as the de-facto industry standard for CSPs, MSOs, OEMs, and e-Tailers/retailers while investing in extensions of our services portfolio. We will continue to focus our technology and efforts around improving functionality, helping customers drive higher ARPU and subscriber retention, embracing alternative channels and allowing more capabilities for ordering bundled applications and content offerings across these same complex and advanced networks.</w:t>
      </w:r>
    </w:p>
    <w:p>
      <w:pPr>
        <w:spacing w:after="0" w:line="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Key elements of this strategy are:</w:t>
      </w:r>
    </w:p>
    <w:p>
      <w:pPr>
        <w:spacing w:after="0" w:line="98" w:lineRule="exact"/>
        <w:rPr>
          <w:sz w:val="20"/>
          <w:szCs w:val="20"/>
          <w:color w:val="auto"/>
        </w:rPr>
      </w:pPr>
    </w:p>
    <w:p>
      <w:pPr>
        <w:ind w:left="1080" w:right="20" w:firstLine="383"/>
        <w:spacing w:after="0" w:line="262" w:lineRule="auto"/>
        <w:rPr>
          <w:sz w:val="20"/>
          <w:szCs w:val="20"/>
          <w:color w:val="auto"/>
        </w:rPr>
      </w:pPr>
      <w:r>
        <w:rPr>
          <w:rFonts w:ascii="Arial" w:cs="Arial" w:eastAsia="Arial" w:hAnsi="Arial"/>
          <w:sz w:val="13"/>
          <w:szCs w:val="13"/>
          <w:i w:val="1"/>
          <w:iCs w:val="1"/>
          <w:color w:val="auto"/>
        </w:rPr>
        <w:t xml:space="preserve">Continue our Expansion into the Original Equipment Manufacturers (OEMs). </w:t>
      </w:r>
      <w:r>
        <w:rPr>
          <w:rFonts w:ascii="Arial" w:cs="Arial" w:eastAsia="Arial" w:hAnsi="Arial"/>
          <w:sz w:val="13"/>
          <w:szCs w:val="13"/>
          <w:color w:val="auto"/>
        </w:rPr>
        <w:t>As OEMs further expand their footprint into the “direct to consumer” model, they will need to</w:t>
      </w:r>
      <w:r>
        <w:rPr>
          <w:rFonts w:ascii="Arial" w:cs="Arial" w:eastAsia="Arial" w:hAnsi="Arial"/>
          <w:sz w:val="13"/>
          <w:szCs w:val="13"/>
          <w:i w:val="1"/>
          <w:iCs w:val="1"/>
          <w:color w:val="auto"/>
        </w:rPr>
        <w:t xml:space="preserve"> </w:t>
      </w:r>
      <w:r>
        <w:rPr>
          <w:rFonts w:ascii="Arial" w:cs="Arial" w:eastAsia="Arial" w:hAnsi="Arial"/>
          <w:sz w:val="13"/>
          <w:szCs w:val="13"/>
          <w:color w:val="auto"/>
        </w:rPr>
        <w:t>develop robust yet nimble capabilities to support and differentiate their ordering/activation experience. As new types of connected devices are deployed, we will work with our customers, such as Dell, Apple and Nokia to enable our technology to support a “plug and play” approach to end users wishing to purchase new advanced services being offered by these customers</w:t>
      </w:r>
    </w:p>
    <w:p>
      <w:pPr>
        <w:spacing w:after="0" w:line="69" w:lineRule="exact"/>
        <w:rPr>
          <w:sz w:val="20"/>
          <w:szCs w:val="20"/>
          <w:color w:val="auto"/>
        </w:rPr>
      </w:pPr>
    </w:p>
    <w:p>
      <w:pPr>
        <w:ind w:left="1080" w:right="420" w:firstLine="383"/>
        <w:spacing w:after="0" w:line="337" w:lineRule="auto"/>
        <w:rPr>
          <w:sz w:val="20"/>
          <w:szCs w:val="20"/>
          <w:color w:val="auto"/>
        </w:rPr>
      </w:pPr>
      <w:r>
        <w:rPr>
          <w:rFonts w:ascii="Arial" w:cs="Arial" w:eastAsia="Arial" w:hAnsi="Arial"/>
          <w:sz w:val="11"/>
          <w:szCs w:val="11"/>
          <w:i w:val="1"/>
          <w:iCs w:val="1"/>
          <w:color w:val="auto"/>
        </w:rPr>
        <w:t xml:space="preserve">Leverage the Growth of e-Commerce and e-Tailers as High Growth Channels for Service Providers. </w:t>
      </w:r>
      <w:r>
        <w:rPr>
          <w:rFonts w:ascii="Arial" w:cs="Arial" w:eastAsia="Arial" w:hAnsi="Arial"/>
          <w:sz w:val="11"/>
          <w:szCs w:val="11"/>
          <w:color w:val="auto"/>
        </w:rPr>
        <w:t>Given our success in enabling the e-commerce channel for our</w:t>
      </w:r>
      <w:r>
        <w:rPr>
          <w:rFonts w:ascii="Arial" w:cs="Arial" w:eastAsia="Arial" w:hAnsi="Arial"/>
          <w:sz w:val="11"/>
          <w:szCs w:val="11"/>
          <w:i w:val="1"/>
          <w:iCs w:val="1"/>
          <w:color w:val="auto"/>
        </w:rPr>
        <w:t xml:space="preserve"> </w:t>
      </w:r>
      <w:r>
        <w:rPr>
          <w:rFonts w:ascii="Arial" w:cs="Arial" w:eastAsia="Arial" w:hAnsi="Arial"/>
          <w:sz w:val="11"/>
          <w:szCs w:val="11"/>
          <w:color w:val="auto"/>
        </w:rPr>
        <w:t>customers, our ConvergenceNow</w:t>
      </w:r>
      <w:r>
        <w:rPr>
          <w:rFonts w:ascii="Arial" w:cs="Arial" w:eastAsia="Arial" w:hAnsi="Arial"/>
          <w:sz w:val="9"/>
          <w:szCs w:val="9"/>
          <w:color w:val="auto"/>
        </w:rPr>
        <w:t>®</w:t>
      </w:r>
      <w:r>
        <w:rPr>
          <w:rFonts w:ascii="Arial" w:cs="Arial" w:eastAsia="Arial" w:hAnsi="Arial"/>
          <w:sz w:val="11"/>
          <w:szCs w:val="11"/>
          <w:color w:val="auto"/>
        </w:rPr>
        <w:t xml:space="preserve"> platforms have adopted a Web-friendly architecture that enables a scalable and beneficial customer activation experience. As we continue expanding the breadth and depth of our customers’ relationships we will be leveraging our online experience to enable the growth of companies in the e-commerce channel.</w:t>
      </w:r>
    </w:p>
    <w:p>
      <w:pPr>
        <w:spacing w:after="0" w:line="31" w:lineRule="exact"/>
        <w:rPr>
          <w:sz w:val="20"/>
          <w:szCs w:val="20"/>
          <w:color w:val="auto"/>
        </w:rPr>
      </w:pPr>
    </w:p>
    <w:p>
      <w:pPr>
        <w:ind w:left="1080" w:firstLine="383"/>
        <w:spacing w:after="0" w:line="257" w:lineRule="auto"/>
        <w:rPr>
          <w:sz w:val="20"/>
          <w:szCs w:val="20"/>
          <w:color w:val="auto"/>
        </w:rPr>
      </w:pPr>
      <w:r>
        <w:rPr>
          <w:rFonts w:ascii="Arial" w:cs="Arial" w:eastAsia="Arial" w:hAnsi="Arial"/>
          <w:sz w:val="13"/>
          <w:szCs w:val="13"/>
          <w:i w:val="1"/>
          <w:iCs w:val="1"/>
          <w:color w:val="auto"/>
        </w:rPr>
        <w:t xml:space="preserve">Broaden Customer Base and Expand Offering to Existing Customers. </w:t>
      </w:r>
      <w:r>
        <w:rPr>
          <w:rFonts w:ascii="Arial" w:cs="Arial" w:eastAsia="Arial" w:hAnsi="Arial"/>
          <w:sz w:val="13"/>
          <w:szCs w:val="13"/>
          <w:color w:val="auto"/>
        </w:rPr>
        <w:t>As our existing customers continue to expand into new distribution channels, such as the rapidly</w:t>
      </w:r>
      <w:r>
        <w:rPr>
          <w:rFonts w:ascii="Arial" w:cs="Arial" w:eastAsia="Arial" w:hAnsi="Arial"/>
          <w:sz w:val="13"/>
          <w:szCs w:val="13"/>
          <w:i w:val="1"/>
          <w:iCs w:val="1"/>
          <w:color w:val="auto"/>
        </w:rPr>
        <w:t xml:space="preserve"> </w:t>
      </w:r>
      <w:r>
        <w:rPr>
          <w:rFonts w:ascii="Arial" w:cs="Arial" w:eastAsia="Arial" w:hAnsi="Arial"/>
          <w:sz w:val="13"/>
          <w:szCs w:val="13"/>
          <w:color w:val="auto"/>
        </w:rPr>
        <w:t>growing e-commerce channel, they will likely need to support new types of transactions that are managed by our platforms. In addition, we believe our customers will require new transaction management solutions as they expand their subscriber customer base, which will provide us with opportunities to drive increasing amounts of volume over our platforms. Many customers purchase multiple services from us, and we believe we are well positioned to cross-sell additional services to customers who do not currently purchase our full services portfolio. In addition, the increasing importance and expansion of Cloud-based e-commerce has led to increased focus by our customers on their online distribution, thus providing another opportunity for us to further penetrate into existing customers. The expansion of our AT&amp;T relationship and the expansion of our relationship with Time Warner Cable, Charter Communications and other customers highlight further penetration of existing customers as well as the development of a major growth initiative in consumer digital convergence.</w:t>
      </w:r>
    </w:p>
    <w:p>
      <w:pPr>
        <w:spacing w:after="0" w:line="74" w:lineRule="exact"/>
        <w:rPr>
          <w:sz w:val="20"/>
          <w:szCs w:val="20"/>
          <w:color w:val="auto"/>
        </w:rPr>
      </w:pPr>
    </w:p>
    <w:p>
      <w:pPr>
        <w:ind w:left="1080" w:right="20" w:firstLine="383"/>
        <w:spacing w:after="0" w:line="291" w:lineRule="auto"/>
        <w:rPr>
          <w:sz w:val="20"/>
          <w:szCs w:val="20"/>
          <w:color w:val="auto"/>
        </w:rPr>
      </w:pPr>
      <w:r>
        <w:rPr>
          <w:rFonts w:ascii="Arial" w:cs="Arial" w:eastAsia="Arial" w:hAnsi="Arial"/>
          <w:sz w:val="12"/>
          <w:szCs w:val="12"/>
          <w:i w:val="1"/>
          <w:iCs w:val="1"/>
          <w:color w:val="auto"/>
        </w:rPr>
        <w:t xml:space="preserve">Expand Into New Geographic Markets. </w:t>
      </w:r>
      <w:r>
        <w:rPr>
          <w:rFonts w:ascii="Arial" w:cs="Arial" w:eastAsia="Arial" w:hAnsi="Arial"/>
          <w:sz w:val="12"/>
          <w:szCs w:val="12"/>
          <w:color w:val="auto"/>
        </w:rPr>
        <w:t>Although the majority of our revenue has traditionally been generated in North America, we are in the midst of a global expansion to</w:t>
      </w:r>
      <w:r>
        <w:rPr>
          <w:rFonts w:ascii="Arial" w:cs="Arial" w:eastAsia="Arial" w:hAnsi="Arial"/>
          <w:sz w:val="12"/>
          <w:szCs w:val="12"/>
          <w:i w:val="1"/>
          <w:iCs w:val="1"/>
          <w:color w:val="auto"/>
        </w:rPr>
        <w:t xml:space="preserve"> </w:t>
      </w:r>
      <w:r>
        <w:rPr>
          <w:rFonts w:ascii="Arial" w:cs="Arial" w:eastAsia="Arial" w:hAnsi="Arial"/>
          <w:sz w:val="12"/>
          <w:szCs w:val="12"/>
          <w:color w:val="auto"/>
        </w:rPr>
        <w:t>support our customer’s expansion. Today we have several instances of our platforms in Europe and are in the process of integrating to a variety of carriers in Europe to support our connected devices customers. We believe that the growth of connected devices will further drive opportunities to penetrate new geographic markets within the coming years. Asia/Pacific and Latin America are of particular interest, as these markets experience similar trends to those that have driven growth in North America.</w:t>
      </w: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1080" w:right="200" w:firstLine="383"/>
        <w:spacing w:after="0" w:line="262" w:lineRule="auto"/>
        <w:rPr>
          <w:sz w:val="20"/>
          <w:szCs w:val="20"/>
          <w:color w:val="auto"/>
        </w:rPr>
      </w:pPr>
      <w:r>
        <w:rPr>
          <w:rFonts w:ascii="Arial" w:cs="Arial" w:eastAsia="Arial" w:hAnsi="Arial"/>
          <w:sz w:val="13"/>
          <w:szCs w:val="13"/>
          <w:i w:val="1"/>
          <w:iCs w:val="1"/>
          <w:color w:val="auto"/>
        </w:rPr>
        <w:t xml:space="preserve">Maintain Technology Leadership. </w:t>
      </w:r>
      <w:r>
        <w:rPr>
          <w:rFonts w:ascii="Arial" w:cs="Arial" w:eastAsia="Arial" w:hAnsi="Arial"/>
          <w:sz w:val="13"/>
          <w:szCs w:val="13"/>
          <w:color w:val="auto"/>
        </w:rPr>
        <w:t>We continue to build upon our technology leadership by continuing to invest in research and development to increase the automation of</w:t>
      </w:r>
      <w:r>
        <w:rPr>
          <w:rFonts w:ascii="Arial" w:cs="Arial" w:eastAsia="Arial" w:hAnsi="Arial"/>
          <w:sz w:val="13"/>
          <w:szCs w:val="13"/>
          <w:i w:val="1"/>
          <w:iCs w:val="1"/>
          <w:color w:val="auto"/>
        </w:rPr>
        <w:t xml:space="preserve"> </w:t>
      </w:r>
      <w:r>
        <w:rPr>
          <w:rFonts w:ascii="Arial" w:cs="Arial" w:eastAsia="Arial" w:hAnsi="Arial"/>
          <w:sz w:val="13"/>
          <w:szCs w:val="13"/>
          <w:color w:val="auto"/>
        </w:rPr>
        <w:t>processes and workflows and develop complementary product modules that leverage our platforms and competitive strengths, thus driving increased interest by making it more economical for customers to use us as a third-party solutions provider. In addition, we believe our close relationships with our tier 1 customers will continue to provide us with valuable insights into the dynamics that are creating demand for next-generation solutions.</w:t>
      </w:r>
    </w:p>
    <w:p>
      <w:pPr>
        <w:spacing w:after="0" w:line="69" w:lineRule="exact"/>
        <w:rPr>
          <w:sz w:val="20"/>
          <w:szCs w:val="20"/>
          <w:color w:val="auto"/>
        </w:rPr>
      </w:pPr>
    </w:p>
    <w:p>
      <w:pPr>
        <w:ind w:left="1080" w:right="80" w:firstLine="383"/>
        <w:spacing w:after="0" w:line="266" w:lineRule="auto"/>
        <w:rPr>
          <w:sz w:val="20"/>
          <w:szCs w:val="20"/>
          <w:color w:val="auto"/>
        </w:rPr>
      </w:pPr>
      <w:r>
        <w:rPr>
          <w:rFonts w:ascii="Arial" w:cs="Arial" w:eastAsia="Arial" w:hAnsi="Arial"/>
          <w:sz w:val="13"/>
          <w:szCs w:val="13"/>
          <w:i w:val="1"/>
          <w:iCs w:val="1"/>
          <w:color w:val="auto"/>
        </w:rPr>
        <w:t xml:space="preserve">Expand through Strategic Partnerships or Acquisitions. </w:t>
      </w:r>
      <w:r>
        <w:rPr>
          <w:rFonts w:ascii="Arial" w:cs="Arial" w:eastAsia="Arial" w:hAnsi="Arial"/>
          <w:sz w:val="13"/>
          <w:szCs w:val="13"/>
          <w:color w:val="auto"/>
        </w:rPr>
        <w:t>We have fully integrated our Wisor Telecom Corporation acquisition and have assimilated the synergies and</w:t>
      </w:r>
      <w:r>
        <w:rPr>
          <w:rFonts w:ascii="Arial" w:cs="Arial" w:eastAsia="Arial" w:hAnsi="Arial"/>
          <w:sz w:val="13"/>
          <w:szCs w:val="13"/>
          <w:i w:val="1"/>
          <w:iCs w:val="1"/>
          <w:color w:val="auto"/>
        </w:rPr>
        <w:t xml:space="preserve"> </w:t>
      </w:r>
      <w:r>
        <w:rPr>
          <w:rFonts w:ascii="Arial" w:cs="Arial" w:eastAsia="Arial" w:hAnsi="Arial"/>
          <w:sz w:val="13"/>
          <w:szCs w:val="13"/>
          <w:color w:val="auto"/>
        </w:rPr>
        <w:t>efficiencies that this acquisition has afforded us. As we explore new opportunities, we continue to look for strategic partnership or acquisition candidates that will enable us to enter new markets or enhance our offerings.</w:t>
      </w:r>
    </w:p>
    <w:p>
      <w:pPr>
        <w:spacing w:after="0" w:line="67" w:lineRule="exact"/>
        <w:rPr>
          <w:sz w:val="20"/>
          <w:szCs w:val="20"/>
          <w:color w:val="auto"/>
        </w:rPr>
      </w:pPr>
    </w:p>
    <w:p>
      <w:pPr>
        <w:ind w:left="1080" w:right="40" w:firstLine="383"/>
        <w:spacing w:after="0" w:line="262" w:lineRule="auto"/>
        <w:rPr>
          <w:sz w:val="20"/>
          <w:szCs w:val="20"/>
          <w:color w:val="auto"/>
        </w:rPr>
      </w:pPr>
      <w:r>
        <w:rPr>
          <w:rFonts w:ascii="Arial" w:cs="Arial" w:eastAsia="Arial" w:hAnsi="Arial"/>
          <w:sz w:val="13"/>
          <w:szCs w:val="13"/>
          <w:i w:val="1"/>
          <w:iCs w:val="1"/>
          <w:color w:val="auto"/>
        </w:rPr>
        <w:t xml:space="preserve">Continue to Exploit VoIP Industry Opportunities. </w:t>
      </w:r>
      <w:r>
        <w:rPr>
          <w:rFonts w:ascii="Arial" w:cs="Arial" w:eastAsia="Arial" w:hAnsi="Arial"/>
          <w:sz w:val="13"/>
          <w:szCs w:val="13"/>
          <w:color w:val="auto"/>
        </w:rPr>
        <w:t>We believe continued rapid VoIP industry growth will increase the demand for our services. We have seen strong growth in</w:t>
      </w:r>
      <w:r>
        <w:rPr>
          <w:rFonts w:ascii="Arial" w:cs="Arial" w:eastAsia="Arial" w:hAnsi="Arial"/>
          <w:sz w:val="13"/>
          <w:szCs w:val="13"/>
          <w:i w:val="1"/>
          <w:iCs w:val="1"/>
          <w:color w:val="auto"/>
        </w:rPr>
        <w:t xml:space="preserve"> </w:t>
      </w:r>
      <w:r>
        <w:rPr>
          <w:rFonts w:ascii="Arial" w:cs="Arial" w:eastAsia="Arial" w:hAnsi="Arial"/>
          <w:sz w:val="13"/>
          <w:szCs w:val="13"/>
          <w:color w:val="auto"/>
        </w:rPr>
        <w:t>residential VoIP customers and we believe we will see similar growth for commercial customers. We believe that being the trusted strategic partner to VoIP industry leaders, including Vonage Holdings, Comcast, Charter, Time Warner Cable and Cablevision, positions us well to benefit from the evolving needs, requirements and opportunities of the VoIP industry.</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Customers</w:t>
      </w:r>
    </w:p>
    <w:p>
      <w:pPr>
        <w:spacing w:after="0" w:line="102" w:lineRule="exact"/>
        <w:rPr>
          <w:sz w:val="20"/>
          <w:szCs w:val="20"/>
          <w:color w:val="auto"/>
        </w:rPr>
      </w:pPr>
    </w:p>
    <w:p>
      <w:pPr>
        <w:ind w:left="680" w:right="20" w:firstLine="399"/>
        <w:spacing w:after="0" w:line="266" w:lineRule="auto"/>
        <w:rPr>
          <w:sz w:val="20"/>
          <w:szCs w:val="20"/>
          <w:color w:val="auto"/>
        </w:rPr>
      </w:pPr>
      <w:r>
        <w:rPr>
          <w:rFonts w:ascii="Arial" w:cs="Arial" w:eastAsia="Arial" w:hAnsi="Arial"/>
          <w:sz w:val="13"/>
          <w:szCs w:val="13"/>
          <w:color w:val="auto"/>
        </w:rPr>
        <w:t>Our industry-leading customers include tier 1 service providers such as AT&amp;T Inc., Verizon Wireless and Vodafone, tier 1 cable operators /MSOs like Cablevision, Comcast, Charter and Time Warner Cable and large OEMs/e-Tailers such as Apple, Dell and Nokia. These customers utilize our platforms, technology and services to service both consumer and business customers, including over 300 of the Fortune 500 companies.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maintain strong and collaborative relationships with our customers, which we believe to be one of our core competencies and critical to our success. We are generally the only provider of the services we offer to our customers. Contracts typically extend up to 48 months in length from execution and include minimum transaction or revenue commitments from our customers. All of our significant customers may terminate their contracts for convenience upon written notice and in many cases payment of contractual penalties. Contract penalties received by the Company are immaterial to the Company’s Statements of Income for the years ended December 31, 2009, 2008, and 2007. We have a long-standing relationship with AT&amp;T, dating back to January 2001 when we began providing service to AT&amp;T Wireless, which was subsequently acquired by Cingular Wireless. Through the merger of AT&amp;T with BellSouth, Cingular Wireless has now been integrated into AT&amp;T. We are the primary provider of e-commerce transaction management solutions to AT&amp;T’s e-commerce channel. Our agreement with AT&amp;T was renewed effective January 1, 2009 and runs through December of 2011. AT&amp;T may renew this agreement for two additional one year periods. For 2009, we received 65% of our revenues from AT&amp;T, compared to 67% of our revenues in 2008. No other customer accounted for more than 10% of our revenues in 2009.</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Sales</w:t>
      </w:r>
    </w:p>
    <w:p>
      <w:pPr>
        <w:spacing w:after="0" w:line="98"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We market and sell our services primarily through a direct sales force and through our strategic partners. To date, we have concentrated our sales efforts on a range of CSPs, OEMs, and e-Tailers/retailers both domestically and internationally. Typically our sales process involves an initial consultative process that allows our customers to better assess the operating and capital expenditure benefits associated with an optimal activation and provisioning architecture. Our sales teams are well trained in our ConvergenceNow</w:t>
      </w:r>
      <w:r>
        <w:rPr>
          <w:rFonts w:ascii="Arial" w:cs="Arial" w:eastAsia="Arial" w:hAnsi="Arial"/>
          <w:sz w:val="9"/>
          <w:szCs w:val="9"/>
          <w:color w:val="auto"/>
        </w:rPr>
        <w:t>®</w:t>
      </w:r>
      <w:r>
        <w:rPr>
          <w:rFonts w:ascii="Arial" w:cs="Arial" w:eastAsia="Arial" w:hAnsi="Arial"/>
          <w:sz w:val="11"/>
          <w:szCs w:val="11"/>
          <w:color w:val="auto"/>
        </w:rPr>
        <w:t xml:space="preserve"> platforms and on the market trends and conditions that our customers are facing. This enables them to easily identify and qualify opportunities that are appropriate for our platform deployments to benefit these customers. Following each sale, we assign account managers to provide ongoing support and to identify additional sales opportunities. We generate leads from contacts made through trade shows, seminars, conferences, events, market research, our Web site, customers, strategic partners and our ongoing public relations program. Due to ongoing consolidation and the increasing competition among service providers in international markets, in 2007 we expanded our sales and marketing efforts outside of North America and into the European Union.</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Marketing</w:t>
      </w:r>
    </w:p>
    <w:p>
      <w:pPr>
        <w:spacing w:after="0" w:line="98"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We focus our marketing efforts on supporting new product initiatives, creating awareness of our services and generating new sales opportunities. We base our product management strategy on an analysis of market requirements, competitive offerings and projected cost savings. Our team is active in numerous technology and industry forums and regularly gets invited to speak at trade shows such as the Consumer Electronics Show (CES), Cellular Telecommunications Industry Association (CTIA), GSM Association- Mobile World Congress, and National Cable &amp; Telecommunications Association (NCTA), in which we also demonstrate our solutions. In addition, through our product marketing and marketing communications functions, we also have an active public relations program and maintain relationships with recognized trade media and industry analysts such as International Data Corporation (IDC), Gartner, Forrester, and Frost &amp; Sullivan. We also manage and maintain our Web site, blog, social media profiles on LinkedIn and Twitter, utilize search engine optimization (SEO) and search engine marketing (SEM), publish product related content, educational white papers, and conduct seminars and user group meetings. Finally, we also actively sponsor technology-related conferences and demonstrate our solutions at trade shows targeted at providers of communications services.</w:t>
      </w:r>
    </w:p>
    <w:p>
      <w:pPr>
        <w:spacing w:after="0" w:line="13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Operations and Technology</w:t>
      </w:r>
    </w:p>
    <w:p>
      <w:pPr>
        <w:spacing w:after="0" w:line="102" w:lineRule="exact"/>
        <w:rPr>
          <w:sz w:val="20"/>
          <w:szCs w:val="20"/>
          <w:color w:val="auto"/>
        </w:rPr>
      </w:pPr>
    </w:p>
    <w:p>
      <w:pPr>
        <w:jc w:val="both"/>
        <w:ind w:left="680" w:right="340" w:firstLine="399"/>
        <w:spacing w:after="0" w:line="299" w:lineRule="auto"/>
        <w:rPr>
          <w:sz w:val="20"/>
          <w:szCs w:val="20"/>
          <w:color w:val="auto"/>
        </w:rPr>
      </w:pPr>
      <w:r>
        <w:rPr>
          <w:rFonts w:ascii="Arial" w:cs="Arial" w:eastAsia="Arial" w:hAnsi="Arial"/>
          <w:sz w:val="12"/>
          <w:szCs w:val="12"/>
          <w:color w:val="auto"/>
        </w:rPr>
        <w:t>We leverage common, proprietary information technology platforms to deliver carrier grade services to our customers across communication and digital convergence market segments. Constructed using a combination of internally developed and licensed technologies, our platforms integrate our order management, gateway, workflow and reporting into a unified system. The platforms are secure foundations on which to build and offer additional services and maximize performance, scalability and reliability.</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Exception Handling Services</w:t>
      </w:r>
    </w:p>
    <w:p>
      <w:pPr>
        <w:spacing w:after="0" w:line="98" w:lineRule="exact"/>
        <w:rPr>
          <w:sz w:val="20"/>
          <w:szCs w:val="20"/>
          <w:color w:val="auto"/>
        </w:rPr>
      </w:pPr>
    </w:p>
    <w:p>
      <w:pPr>
        <w:ind w:left="680" w:right="60" w:firstLine="399"/>
        <w:spacing w:after="0" w:line="283" w:lineRule="auto"/>
        <w:rPr>
          <w:sz w:val="20"/>
          <w:szCs w:val="20"/>
          <w:color w:val="auto"/>
        </w:rPr>
      </w:pPr>
      <w:r>
        <w:rPr>
          <w:rFonts w:ascii="Arial" w:cs="Arial" w:eastAsia="Arial" w:hAnsi="Arial"/>
          <w:sz w:val="12"/>
          <w:szCs w:val="12"/>
          <w:color w:val="auto"/>
        </w:rPr>
        <w:t>We differentiate our services from both the internal and competitive offerings by handling exceptions through both our technology and human touch solutions, a substantial portion of which is provided by third-party vendors. Our business process engineers optimize each workflow; however, there are exceptions and we handle these to ensure the highest quality customer experience at the lowest cost. Our exception handling services deal with the customer communication touch points including provisioning orders, inbound calls, automated interactive voice responses (e.g., order status, address changes), Web forums, inbound and outbound email, proactive outbound calls (e.g., out of stock, backorders, exceptions) and self-correct order tools. These services are continuously reviewed for improved workflow and automation. We use third-party vendors in providing exception handling services, each of whom provide services under automatically renewable contracts. We believe our unique exception handling services help reduce the cost of each transaction by driving more automation, over time, into a better and more cost effective way to manage our customers’ subscriber experiences.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Data Center Facilities</w:t>
      </w:r>
    </w:p>
    <w:p>
      <w:pPr>
        <w:spacing w:after="0" w:line="9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moved into a new 61,000 square foot Global Research and Development Center in Bethlehem, Pennsylvania in June 2009, a new facility in Bangalore, India in November 2009, each of which includes new data center facilities. These new facilities offer significant improvements in the areas of size, network connectivity and redundant electrical power systems and are currently expected to support our growth objectives. These secure facilities house all customer-facing, production, test and development systems that are the backbone of the services delivered to our customers. The facilities and systems are monitored 7 days a week, 24 hours a day, and are protected via multiple layers of physical and electronic security measures. In addition, a redundant power supply ensures constant, regulated power into the managed data facility and a back-up generator system provides power indefinitely to the facility in the event of a utility power failure. All systems in the managed data facility are monitored for availability and performance using industry standard tools such as HP OpenView</w:t>
      </w:r>
      <w:r>
        <w:rPr>
          <w:rFonts w:ascii="Arial" w:cs="Arial" w:eastAsia="Arial" w:hAnsi="Arial"/>
          <w:sz w:val="11"/>
          <w:szCs w:val="11"/>
          <w:color w:val="auto"/>
        </w:rPr>
        <w:t>®</w:t>
      </w:r>
      <w:r>
        <w:rPr>
          <w:rFonts w:ascii="Arial" w:cs="Arial" w:eastAsia="Arial" w:hAnsi="Arial"/>
          <w:sz w:val="13"/>
          <w:szCs w:val="13"/>
          <w:color w:val="auto"/>
        </w:rPr>
        <w:t>, Big Brother</w:t>
      </w:r>
      <w:r>
        <w:rPr>
          <w:rFonts w:ascii="Arial" w:cs="Arial" w:eastAsia="Arial" w:hAnsi="Arial"/>
          <w:sz w:val="11"/>
          <w:szCs w:val="11"/>
          <w:color w:val="auto"/>
        </w:rPr>
        <w:t>®</w:t>
      </w:r>
      <w:r>
        <w:rPr>
          <w:rFonts w:ascii="Arial" w:cs="Arial" w:eastAsia="Arial" w:hAnsi="Arial"/>
          <w:sz w:val="13"/>
          <w:szCs w:val="13"/>
          <w:color w:val="auto"/>
        </w:rPr>
        <w:t>, Oracle Enterprise Manager</w:t>
      </w:r>
      <w:r>
        <w:rPr>
          <w:rFonts w:ascii="Arial" w:cs="Arial" w:eastAsia="Arial" w:hAnsi="Arial"/>
          <w:sz w:val="11"/>
          <w:szCs w:val="11"/>
          <w:color w:val="auto"/>
        </w:rPr>
        <w:t>®</w:t>
      </w:r>
      <w:r>
        <w:rPr>
          <w:rFonts w:ascii="Arial" w:cs="Arial" w:eastAsia="Arial" w:hAnsi="Arial"/>
          <w:sz w:val="13"/>
          <w:szCs w:val="13"/>
          <w:color w:val="auto"/>
        </w:rPr>
        <w:t>, CiscoWorks</w:t>
      </w:r>
      <w:r>
        <w:rPr>
          <w:rFonts w:ascii="Arial" w:cs="Arial" w:eastAsia="Arial" w:hAnsi="Arial"/>
          <w:sz w:val="11"/>
          <w:szCs w:val="11"/>
          <w:color w:val="auto"/>
        </w:rPr>
        <w:t>®</w:t>
      </w:r>
      <w:r>
        <w:rPr>
          <w:rFonts w:ascii="Arial" w:cs="Arial" w:eastAsia="Arial" w:hAnsi="Arial"/>
          <w:sz w:val="13"/>
          <w:szCs w:val="13"/>
          <w:color w:val="auto"/>
        </w:rPr>
        <w:t xml:space="preserve"> and Empirix OneSight</w:t>
      </w:r>
      <w:r>
        <w:rPr>
          <w:rFonts w:ascii="Arial" w:cs="Arial" w:eastAsia="Arial" w:hAnsi="Arial"/>
          <w:sz w:val="11"/>
          <w:szCs w:val="11"/>
          <w:color w:val="auto"/>
        </w:rPr>
        <w:t>®</w:t>
      </w:r>
      <w:r>
        <w:rPr>
          <w:rFonts w:ascii="Arial" w:cs="Arial" w:eastAsia="Arial" w:hAnsi="Arial"/>
          <w:sz w:val="13"/>
          <w:szCs w:val="13"/>
          <w:color w:val="auto"/>
        </w:rPr>
        <w: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Network</w:t>
      </w:r>
    </w:p>
    <w:p>
      <w:pPr>
        <w:spacing w:after="0" w:line="98"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color w:val="auto"/>
        </w:rPr>
        <w:t>We use AT&amp;T, and two other tier 1 service providers, to provide a managed, fully-redundant network solution at our Bethlehem, Pennsylvania facility to deliver enterprise scale services to customers. Specifically, we have two OC-12 and one OC-3 fiber optic rings, delivering highly redundant bandwidth to the Bethlehem and Bridgewater facilities. Wide Area Network connectivity between our locations is achieved via multiple DS-3 Multiprotocol Label Switching (MLPS) circuit and Internet access to each location via multiple dedicated DS-3 circuits. A dedicated Metro Ethernet solution is utilized to provide a data center backbone connection between our Bethlehem and Bridgewater facilities that is used for disaster recovery, should the need arise.</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Disaster Recovery Facility</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operate a second data center facility at our corporate headquarters in Bridgewater, New Jersey that is used to provide a hot site for disaster recovery purposes. In the event of a major service disruption at our primary facility, production application services will be activated at the secondary facility and services will be restored in a period of time required to meet all current customer-facing service level agreements (SLAs) for availability and service delivery.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Customer Support</w:t>
      </w:r>
    </w:p>
    <w:p>
      <w:pPr>
        <w:spacing w:after="0" w:line="98"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Our Customer Service Center (CSC) acts as an initial point of contact for all customer-related issues and requests. The CSC staff is available 7 days a week via phone, email or pager to facilitate the diagnosis and resolution of application and service related issues with which they are presented. Issues that require further investigation are immediately escalated to our product and infrastructure support teams on behalf of the customer to provide the greatest speed of problem resolution and highest levels of customer service.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2" w:lineRule="exact"/>
        <w:rPr>
          <w:sz w:val="20"/>
          <w:szCs w:val="20"/>
          <w:color w:val="auto"/>
        </w:rPr>
      </w:pPr>
    </w:p>
    <w:p>
      <w:pPr>
        <w:ind w:left="680" w:right="600" w:firstLine="399"/>
        <w:spacing w:after="0" w:line="299" w:lineRule="auto"/>
        <w:rPr>
          <w:sz w:val="20"/>
          <w:szCs w:val="20"/>
          <w:color w:val="auto"/>
        </w:rPr>
      </w:pPr>
      <w:r>
        <w:rPr>
          <w:rFonts w:ascii="Arial" w:cs="Arial" w:eastAsia="Arial" w:hAnsi="Arial"/>
          <w:sz w:val="12"/>
          <w:szCs w:val="12"/>
          <w:color w:val="auto"/>
        </w:rPr>
        <w:t>Competition in our markets is intense and includes rapidly-changing technologies and customer requirements, as well as evolving industry standards and frequent product introductions. We compete primarily on the basis of the breadth of our domain expertise and our proprietary exception handling, as well as on the basis of price, time-to-market, functionality, quality and breadth of product and service offerings. We believe the most important factors making us a strong competitor include:</w:t>
      </w:r>
    </w:p>
    <w:p>
      <w:pPr>
        <w:spacing w:after="0" w:line="48" w:lineRule="exact"/>
        <w:rPr>
          <w:sz w:val="20"/>
          <w:szCs w:val="20"/>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Breadth and depth of our transaction management solutions, including our exception handling technology</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Quality and performance of our products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High-quality customer service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Ability to implement and integrate solutions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Overall value of our platforms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References of our customers</w:t>
      </w:r>
    </w:p>
    <w:p>
      <w:pPr>
        <w:spacing w:after="0" w:line="9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We are aware of other software developers and smaller entrepreneurial companies that are focusing significant resources on developing and marketing products and services that will compete with our ConvergenceNow</w:t>
      </w:r>
      <w:r>
        <w:rPr>
          <w:rFonts w:ascii="Arial" w:cs="Arial" w:eastAsia="Arial" w:hAnsi="Arial"/>
          <w:sz w:val="10"/>
          <w:szCs w:val="10"/>
          <w:color w:val="auto"/>
        </w:rPr>
        <w:t>®</w:t>
      </w:r>
      <w:r>
        <w:rPr>
          <w:rFonts w:ascii="Arial" w:cs="Arial" w:eastAsia="Arial" w:hAnsi="Arial"/>
          <w:sz w:val="12"/>
          <w:szCs w:val="12"/>
          <w:color w:val="auto"/>
        </w:rPr>
        <w:t xml:space="preserve"> and ConvergenceNow</w:t>
      </w:r>
      <w:r>
        <w:rPr>
          <w:rFonts w:ascii="Arial" w:cs="Arial" w:eastAsia="Arial" w:hAnsi="Arial"/>
          <w:sz w:val="10"/>
          <w:szCs w:val="10"/>
          <w:color w:val="auto"/>
        </w:rPr>
        <w:t>®</w:t>
      </w:r>
      <w:r>
        <w:rPr>
          <w:rFonts w:ascii="Arial" w:cs="Arial" w:eastAsia="Arial" w:hAnsi="Arial"/>
          <w:sz w:val="12"/>
          <w:szCs w:val="12"/>
          <w:color w:val="auto"/>
        </w:rPr>
        <w:t xml:space="preserve"> Plus+ platforms. We anticipate continued growth in the communications industry and the entrance of new competitors in the order processing and transaction management solutions market and expect that the market for our products and services will remain intensely competitive.</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Government Regulation</w:t>
      </w:r>
    </w:p>
    <w:p>
      <w:pPr>
        <w:spacing w:after="0" w:line="102" w:lineRule="exact"/>
        <w:rPr>
          <w:sz w:val="20"/>
          <w:szCs w:val="20"/>
          <w:color w:val="auto"/>
        </w:rPr>
      </w:pPr>
    </w:p>
    <w:p>
      <w:pPr>
        <w:jc w:val="both"/>
        <w:ind w:left="680" w:right="220" w:firstLine="399"/>
        <w:spacing w:after="0" w:line="299" w:lineRule="auto"/>
        <w:rPr>
          <w:sz w:val="20"/>
          <w:szCs w:val="20"/>
          <w:color w:val="auto"/>
        </w:rPr>
      </w:pPr>
      <w:r>
        <w:rPr>
          <w:rFonts w:ascii="Arial" w:cs="Arial" w:eastAsia="Arial" w:hAnsi="Arial"/>
          <w:sz w:val="12"/>
          <w:szCs w:val="12"/>
          <w:color w:val="auto"/>
        </w:rPr>
        <w:t>We are not currently subject to direct federal, state or local government regulation, other than regulations that apply to businesses generally. Many of our customers are subject to regulation by the Federal Communications Commission, or FCC. Changes in FCC regulations that affect our existing or potential customers could lead them to spend less on transaction management solutions, which would reduce our revenues and could have a material adverse effect on our business, financial condition or results of operations.</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2"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To establish and protect our intellectual property, we rely on a combination of copyright, trade secret and trademark laws, as well as confidentiality procedures and contractual restrictions. Synchronoss</w:t>
      </w:r>
      <w:r>
        <w:rPr>
          <w:rFonts w:ascii="Arial" w:cs="Arial" w:eastAsia="Arial" w:hAnsi="Arial"/>
          <w:sz w:val="11"/>
          <w:szCs w:val="11"/>
          <w:color w:val="auto"/>
        </w:rPr>
        <w:t>®</w:t>
      </w:r>
      <w:r>
        <w:rPr>
          <w:rFonts w:ascii="Arial" w:cs="Arial" w:eastAsia="Arial" w:hAnsi="Arial"/>
          <w:sz w:val="13"/>
          <w:szCs w:val="13"/>
          <w:color w:val="auto"/>
        </w:rPr>
        <w:t>, the Synchronoss logo, PerformancePartner</w:t>
      </w:r>
      <w:r>
        <w:rPr>
          <w:rFonts w:ascii="Arial" w:cs="Arial" w:eastAsia="Arial" w:hAnsi="Arial"/>
          <w:sz w:val="11"/>
          <w:szCs w:val="11"/>
          <w:color w:val="auto"/>
        </w:rPr>
        <w:t>®</w:t>
      </w:r>
      <w:r>
        <w:rPr>
          <w:rFonts w:ascii="Arial" w:cs="Arial" w:eastAsia="Arial" w:hAnsi="Arial"/>
          <w:sz w:val="13"/>
          <w:szCs w:val="13"/>
          <w:color w:val="auto"/>
        </w:rPr>
        <w:t>, ConvergenceNow</w:t>
      </w:r>
      <w:r>
        <w:rPr>
          <w:rFonts w:ascii="Arial" w:cs="Arial" w:eastAsia="Arial" w:hAnsi="Arial"/>
          <w:sz w:val="11"/>
          <w:szCs w:val="11"/>
          <w:color w:val="auto"/>
        </w:rPr>
        <w:t>®</w:t>
      </w:r>
      <w:r>
        <w:rPr>
          <w:rFonts w:ascii="Arial" w:cs="Arial" w:eastAsia="Arial" w:hAnsi="Arial"/>
          <w:sz w:val="13"/>
          <w:szCs w:val="13"/>
          <w:color w:val="auto"/>
        </w:rPr>
        <w:t xml:space="preserve"> and ActivationNow</w:t>
      </w:r>
      <w:r>
        <w:rPr>
          <w:rFonts w:ascii="Arial" w:cs="Arial" w:eastAsia="Arial" w:hAnsi="Arial"/>
          <w:sz w:val="11"/>
          <w:szCs w:val="11"/>
          <w:color w:val="auto"/>
        </w:rPr>
        <w:t>®</w:t>
      </w:r>
      <w:r>
        <w:rPr>
          <w:rFonts w:ascii="Arial" w:cs="Arial" w:eastAsia="Arial" w:hAnsi="Arial"/>
          <w:sz w:val="13"/>
          <w:szCs w:val="13"/>
          <w:color w:val="auto"/>
        </w:rPr>
        <w:t xml:space="preserve"> are registered trademarks of Synchronoss. In addition, we may from time to time, file patent applications to protect our intellectual property rights. In addition to legal protections, we rely on the technical and creative skills of our employees, frequent product enhancements and improved product quality to maintain a technology-leadership position. We cannot be certain that others will not develop technologies that are similar or superior to our technology. We enter into confidentiality and invention assignment agreements with our employees and confidentiality agreements with our alliance partners and customers, and we control access to and distribution of our software, documentation and other proprietary information.</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2"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We believe that our growth and success is attributable in large part to our employees and an experienced management team, many members of which have years of industry experience in building, implementing, marketing and selling transaction management solutions critical to business operations. We intend to continue training our employees as well as developing and promoting our culture and believe such efforts provide us with a sustainable competitive advantage. We offer a work environment that enables employees to make meaningful contributions, as well as incentive programs to continue to motivate and reward our employees.</w:t>
      </w:r>
    </w:p>
    <w:p>
      <w:pPr>
        <w:spacing w:after="0" w:line="6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As of December 31, 2009, we had 511 full-time employees. None of our employees are covered by any collective bargaining agreements.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680"/>
        <w:spacing w:after="0"/>
        <w:rPr>
          <w:sz w:val="20"/>
          <w:szCs w:val="20"/>
          <w:color w:val="auto"/>
        </w:rPr>
      </w:pPr>
      <w:r>
        <w:rPr>
          <w:rFonts w:ascii="Arial" w:cs="Arial" w:eastAsia="Arial" w:hAnsi="Arial"/>
          <w:sz w:val="13"/>
          <w:szCs w:val="13"/>
          <w:b w:val="1"/>
          <w:bCs w:val="1"/>
          <w:color w:val="auto"/>
        </w:rPr>
        <w:t>Executive Officers of the Registrant</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sets forth certain information regarding our Executive Officers as of January 31, 2010:</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2840" w:type="dxa"/>
            <w:vAlign w:val="bottom"/>
          </w:tcPr>
          <w:p>
            <w:pPr>
              <w:spacing w:after="0"/>
              <w:rPr>
                <w:sz w:val="20"/>
                <w:szCs w:val="20"/>
                <w:color w:val="auto"/>
              </w:rPr>
            </w:pPr>
            <w:r>
              <w:rPr>
                <w:rFonts w:ascii="Arial" w:cs="Arial" w:eastAsia="Arial" w:hAnsi="Arial"/>
                <w:sz w:val="11"/>
                <w:szCs w:val="11"/>
                <w:b w:val="1"/>
                <w:bCs w:val="1"/>
                <w:u w:val="single" w:color="auto"/>
                <w:color w:val="auto"/>
              </w:rPr>
              <w:t>N</w:t>
            </w:r>
            <w:r>
              <w:rPr>
                <w:rFonts w:ascii="Arial" w:cs="Arial" w:eastAsia="Arial" w:hAnsi="Arial"/>
                <w:sz w:val="11"/>
                <w:szCs w:val="11"/>
                <w:b w:val="1"/>
                <w:bCs w:val="1"/>
                <w:color w:val="auto"/>
              </w:rPr>
              <w:t>ame</w:t>
            </w:r>
          </w:p>
        </w:tc>
        <w:tc>
          <w:tcPr>
            <w:tcW w:w="1980" w:type="dxa"/>
            <w:vAlign w:val="bottom"/>
          </w:tcPr>
          <w:p>
            <w:pPr>
              <w:jc w:val="right"/>
              <w:ind w:right="35"/>
              <w:spacing w:after="0"/>
              <w:rPr>
                <w:sz w:val="20"/>
                <w:szCs w:val="20"/>
                <w:color w:val="auto"/>
              </w:rPr>
            </w:pPr>
            <w:r>
              <w:rPr>
                <w:rFonts w:ascii="Arial" w:cs="Arial" w:eastAsia="Arial" w:hAnsi="Arial"/>
                <w:sz w:val="11"/>
                <w:szCs w:val="11"/>
                <w:b w:val="1"/>
                <w:bCs w:val="1"/>
                <w:color w:val="auto"/>
              </w:rPr>
              <w:t>Age</w:t>
            </w:r>
          </w:p>
        </w:tc>
        <w:tc>
          <w:tcPr>
            <w:tcW w:w="4040" w:type="dxa"/>
            <w:vAlign w:val="bottom"/>
          </w:tcPr>
          <w:p>
            <w:pPr>
              <w:ind w:left="260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osition</w:t>
            </w:r>
          </w:p>
        </w:tc>
      </w:tr>
      <w:tr>
        <w:trPr>
          <w:trHeight w:val="199"/>
        </w:trPr>
        <w:tc>
          <w:tcPr>
            <w:tcW w:w="2840" w:type="dxa"/>
            <w:vAlign w:val="bottom"/>
          </w:tcPr>
          <w:p>
            <w:pPr>
              <w:spacing w:after="0"/>
              <w:rPr>
                <w:sz w:val="20"/>
                <w:szCs w:val="20"/>
                <w:color w:val="auto"/>
              </w:rPr>
            </w:pPr>
            <w:r>
              <w:rPr>
                <w:rFonts w:ascii="Arial" w:cs="Arial" w:eastAsia="Arial" w:hAnsi="Arial"/>
                <w:sz w:val="13"/>
                <w:szCs w:val="13"/>
                <w:color w:val="auto"/>
              </w:rPr>
              <w:t>Stephen G. Waldis</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42</w:t>
            </w:r>
          </w:p>
        </w:tc>
        <w:tc>
          <w:tcPr>
            <w:tcW w:w="4040" w:type="dxa"/>
            <w:vAlign w:val="bottom"/>
          </w:tcPr>
          <w:p>
            <w:pPr>
              <w:ind w:left="100"/>
              <w:spacing w:after="0"/>
              <w:rPr>
                <w:sz w:val="20"/>
                <w:szCs w:val="20"/>
                <w:color w:val="auto"/>
              </w:rPr>
            </w:pPr>
            <w:r>
              <w:rPr>
                <w:rFonts w:ascii="Arial" w:cs="Arial" w:eastAsia="Arial" w:hAnsi="Arial"/>
                <w:sz w:val="13"/>
                <w:szCs w:val="13"/>
                <w:color w:val="auto"/>
                <w:w w:val="92"/>
              </w:rPr>
              <w:t>Chairman of the Board of Directors, President and Chief Executive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Lawrence R. Irving</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53</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Chief Financial Officer and Treasurer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Robert Garcia</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and Chief Operating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Omar Téllez</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and Chief Marketing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Christopher S. Putnam</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41</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Sales</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Ronald J. Prague</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46</w:t>
            </w:r>
          </w:p>
        </w:tc>
        <w:tc>
          <w:tcPr>
            <w:tcW w:w="4040" w:type="dxa"/>
            <w:vAlign w:val="bottom"/>
          </w:tcPr>
          <w:p>
            <w:pPr>
              <w:ind w:left="100"/>
              <w:spacing w:after="0"/>
              <w:rPr>
                <w:sz w:val="20"/>
                <w:szCs w:val="20"/>
                <w:color w:val="auto"/>
              </w:rPr>
            </w:pPr>
            <w:r>
              <w:rPr>
                <w:rFonts w:ascii="Arial" w:cs="Arial" w:eastAsia="Arial" w:hAnsi="Arial"/>
                <w:sz w:val="13"/>
                <w:szCs w:val="13"/>
                <w:color w:val="auto"/>
              </w:rPr>
              <w:t>Vice President, General Counsel and Secretary</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S. Andrew Cox</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44</w:t>
            </w:r>
          </w:p>
        </w:tc>
        <w:tc>
          <w:tcPr>
            <w:tcW w:w="4040" w:type="dxa"/>
            <w:vAlign w:val="bottom"/>
          </w:tcPr>
          <w:p>
            <w:pPr>
              <w:ind w:left="100"/>
              <w:spacing w:after="0"/>
              <w:rPr>
                <w:sz w:val="20"/>
                <w:szCs w:val="20"/>
                <w:color w:val="auto"/>
              </w:rPr>
            </w:pPr>
            <w:r>
              <w:rPr>
                <w:rFonts w:ascii="Arial" w:cs="Arial" w:eastAsia="Arial" w:hAnsi="Arial"/>
                <w:sz w:val="13"/>
                <w:szCs w:val="13"/>
                <w:color w:val="auto"/>
              </w:rPr>
              <w:t>Vice President and Chief Information Officer</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George P. Navarro</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54</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Global Operations</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Mark Mendes</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47</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InterconnectNow</w:t>
            </w:r>
          </w:p>
        </w:tc>
      </w:tr>
      <w:tr>
        <w:trPr>
          <w:trHeight w:val="158"/>
        </w:trPr>
        <w:tc>
          <w:tcPr>
            <w:tcW w:w="2840" w:type="dxa"/>
            <w:vAlign w:val="bottom"/>
          </w:tcPr>
          <w:p>
            <w:pPr>
              <w:spacing w:after="0"/>
              <w:rPr>
                <w:sz w:val="20"/>
                <w:szCs w:val="20"/>
                <w:color w:val="auto"/>
              </w:rPr>
            </w:pPr>
            <w:r>
              <w:rPr>
                <w:rFonts w:ascii="Arial" w:cs="Arial" w:eastAsia="Arial" w:hAnsi="Arial"/>
                <w:sz w:val="13"/>
                <w:szCs w:val="13"/>
                <w:color w:val="auto"/>
              </w:rPr>
              <w:t>Daniel Rizer</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46</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of Business Development</w:t>
            </w:r>
          </w:p>
        </w:tc>
      </w:tr>
      <w:tr>
        <w:trPr>
          <w:trHeight w:val="165"/>
        </w:trPr>
        <w:tc>
          <w:tcPr>
            <w:tcW w:w="2840" w:type="dxa"/>
            <w:vAlign w:val="bottom"/>
          </w:tcPr>
          <w:p>
            <w:pPr>
              <w:spacing w:after="0"/>
              <w:rPr>
                <w:sz w:val="20"/>
                <w:szCs w:val="20"/>
                <w:color w:val="auto"/>
              </w:rPr>
            </w:pPr>
            <w:r>
              <w:rPr>
                <w:rFonts w:ascii="Arial" w:cs="Arial" w:eastAsia="Arial" w:hAnsi="Arial"/>
                <w:sz w:val="13"/>
                <w:szCs w:val="13"/>
                <w:color w:val="auto"/>
              </w:rPr>
              <w:t>Patrick J. Doran</w:t>
            </w:r>
          </w:p>
        </w:tc>
        <w:tc>
          <w:tcPr>
            <w:tcW w:w="1980" w:type="dxa"/>
            <w:vAlign w:val="bottom"/>
          </w:tcPr>
          <w:p>
            <w:pPr>
              <w:jc w:val="right"/>
              <w:ind w:right="135"/>
              <w:spacing w:after="0"/>
              <w:rPr>
                <w:sz w:val="20"/>
                <w:szCs w:val="20"/>
                <w:color w:val="auto"/>
              </w:rPr>
            </w:pPr>
            <w:r>
              <w:rPr>
                <w:rFonts w:ascii="Arial" w:cs="Arial" w:eastAsia="Arial" w:hAnsi="Arial"/>
                <w:sz w:val="13"/>
                <w:szCs w:val="13"/>
                <w:color w:val="auto"/>
              </w:rPr>
              <w:t>36</w:t>
            </w:r>
          </w:p>
        </w:tc>
        <w:tc>
          <w:tcPr>
            <w:tcW w:w="4040" w:type="dxa"/>
            <w:vAlign w:val="bottom"/>
          </w:tcPr>
          <w:p>
            <w:pPr>
              <w:ind w:left="100"/>
              <w:spacing w:after="0"/>
              <w:rPr>
                <w:sz w:val="20"/>
                <w:szCs w:val="20"/>
                <w:color w:val="auto"/>
              </w:rPr>
            </w:pPr>
            <w:r>
              <w:rPr>
                <w:rFonts w:ascii="Arial" w:cs="Arial" w:eastAsia="Arial" w:hAnsi="Arial"/>
                <w:sz w:val="13"/>
                <w:szCs w:val="13"/>
                <w:color w:val="auto"/>
              </w:rPr>
              <w:t>Executive Vice President and Chief Technology Officer</w:t>
            </w:r>
          </w:p>
        </w:tc>
      </w:tr>
    </w:tbl>
    <w:p>
      <w:pPr>
        <w:spacing w:after="0" w:line="8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i w:val="1"/>
          <w:iCs w:val="1"/>
          <w:color w:val="auto"/>
        </w:rPr>
        <w:t xml:space="preserve">Stephen G. Waldis </w:t>
      </w:r>
      <w:r>
        <w:rPr>
          <w:rFonts w:ascii="Arial" w:cs="Arial" w:eastAsia="Arial" w:hAnsi="Arial"/>
          <w:sz w:val="13"/>
          <w:szCs w:val="13"/>
          <w:color w:val="auto"/>
        </w:rPr>
        <w:t>has served as President and Chief Executive Officer of Synchronoss since founding the company in 2000 and has served as Chairman of the Board of Directors</w:t>
      </w:r>
      <w:r>
        <w:rPr>
          <w:rFonts w:ascii="Arial" w:cs="Arial" w:eastAsia="Arial" w:hAnsi="Arial"/>
          <w:sz w:val="13"/>
          <w:szCs w:val="13"/>
          <w:i w:val="1"/>
          <w:iCs w:val="1"/>
          <w:color w:val="auto"/>
        </w:rPr>
        <w:t xml:space="preserve"> </w:t>
      </w:r>
      <w:r>
        <w:rPr>
          <w:rFonts w:ascii="Arial" w:cs="Arial" w:eastAsia="Arial" w:hAnsi="Arial"/>
          <w:sz w:val="13"/>
          <w:szCs w:val="13"/>
          <w:color w:val="auto"/>
        </w:rPr>
        <w:t>since February of 2001. Before founding Synchronoss, from 1994 to 2000, Mr. Waldis served as Chief Operating Officer at Vertek Corporation, a privately held professional services company serving the telecommunications industry. From 1992 to 1994, Mr. Waldis served as Vice President of Sales and Marketing of Logical Design Solutions, a provider of telecom and interactive solutions. From 1989 to 1992, Mr. Waldis worked in various technical and product management roles at AT&amp;T. Mr. Waldis received a degree in corporate communications from Seton Hall University.</w:t>
      </w:r>
    </w:p>
    <w:p>
      <w:pPr>
        <w:spacing w:after="0" w:line="7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i w:val="1"/>
          <w:iCs w:val="1"/>
          <w:color w:val="auto"/>
        </w:rPr>
        <w:t xml:space="preserve">Lawrence R. Irving </w:t>
      </w:r>
      <w:r>
        <w:rPr>
          <w:rFonts w:ascii="Arial" w:cs="Arial" w:eastAsia="Arial" w:hAnsi="Arial"/>
          <w:sz w:val="13"/>
          <w:szCs w:val="13"/>
          <w:color w:val="auto"/>
        </w:rPr>
        <w:t>has served as Chief Financial Officer and Treasurer of Synchronoss since July 2001. Before joining Synchronoss, from 1998 to 2001, Mr. Irving served as Chief</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Officer and Treasurer at CommTech Corporation, a telecommunications software provider that was acquired by ADC Telecommunications. From 1995 to 1998, Mr. Irving served as Chief Financial Officer of Holmes Protection Group, a publicly traded company which was acquired by Tyco International. Mr. Irving is a certified public accountant and a member of the New York State Society of Certified Public Accountants. Mr. Irving received a degree in accounting from Pace University.</w:t>
      </w:r>
    </w:p>
    <w:p>
      <w:pPr>
        <w:spacing w:after="0" w:line="69" w:lineRule="exact"/>
        <w:rPr>
          <w:sz w:val="20"/>
          <w:szCs w:val="20"/>
          <w:color w:val="auto"/>
        </w:rPr>
      </w:pPr>
    </w:p>
    <w:p>
      <w:pPr>
        <w:ind w:left="680" w:right="40" w:firstLine="399"/>
        <w:spacing w:after="0" w:line="291" w:lineRule="auto"/>
        <w:rPr>
          <w:sz w:val="20"/>
          <w:szCs w:val="20"/>
          <w:color w:val="auto"/>
        </w:rPr>
      </w:pPr>
      <w:r>
        <w:rPr>
          <w:rFonts w:ascii="Arial" w:cs="Arial" w:eastAsia="Arial" w:hAnsi="Arial"/>
          <w:sz w:val="12"/>
          <w:szCs w:val="12"/>
          <w:i w:val="1"/>
          <w:iCs w:val="1"/>
          <w:color w:val="auto"/>
        </w:rPr>
        <w:t xml:space="preserve">Robert Garcia </w:t>
      </w:r>
      <w:r>
        <w:rPr>
          <w:rFonts w:ascii="Arial" w:cs="Arial" w:eastAsia="Arial" w:hAnsi="Arial"/>
          <w:sz w:val="12"/>
          <w:szCs w:val="12"/>
          <w:color w:val="auto"/>
        </w:rPr>
        <w:t>has served as Chief Operating Officer of Synchronoss since April 2007. Prior to that position, Mr. Garcia served in various positions at Synchronoss, including</w:t>
      </w:r>
      <w:r>
        <w:rPr>
          <w:rFonts w:ascii="Arial" w:cs="Arial" w:eastAsia="Arial" w:hAnsi="Arial"/>
          <w:sz w:val="12"/>
          <w:szCs w:val="12"/>
          <w:i w:val="1"/>
          <w:iCs w:val="1"/>
          <w:color w:val="auto"/>
        </w:rPr>
        <w:t xml:space="preserve"> </w:t>
      </w:r>
      <w:r>
        <w:rPr>
          <w:rFonts w:ascii="Arial" w:cs="Arial" w:eastAsia="Arial" w:hAnsi="Arial"/>
          <w:sz w:val="12"/>
          <w:szCs w:val="12"/>
          <w:color w:val="auto"/>
        </w:rPr>
        <w:t>Executive Vice President of Operations and Service Delivery and General Manager of Synchronoss’ western office since joining Synchronoss in August 2000. Before joining Synchronoss, Mr. Garcia was a Senior Business Consultant with Vertek Corporation from January 1999 to August 2000. Mr. Garcia has also held senior management positions with Philips Lighting Company and Johnson &amp; Johnson Company. Mr. Garcia received a degree in logistics and economics from St. John’s University in New York.</w:t>
      </w:r>
    </w:p>
    <w:p>
      <w:pPr>
        <w:spacing w:after="0" w:line="53"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i w:val="1"/>
          <w:iCs w:val="1"/>
          <w:color w:val="auto"/>
        </w:rPr>
        <w:t xml:space="preserve">Christopher S. Putnam </w:t>
      </w:r>
      <w:r>
        <w:rPr>
          <w:rFonts w:ascii="Arial" w:cs="Arial" w:eastAsia="Arial" w:hAnsi="Arial"/>
          <w:sz w:val="13"/>
          <w:szCs w:val="13"/>
          <w:color w:val="auto"/>
        </w:rPr>
        <w:t>has been with Synchronoss since January 2004 and has served as Executive Vice President of Sales of Synchronoss since April 2005. Mr. Putnam leads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new business initiatives and sales teams, and he is responsible for strategic account acquisitions such as Time Warner Cable, Comcast and Vonage. Prior to joining Synchronoss, from 1999 to 2004, Mr. Putnam served as Director of Sales for Perot Systems’ Telecommunications business unit. Mr. Putnam received a degree in communications from Texas Christian University.</w:t>
      </w:r>
    </w:p>
    <w:p>
      <w:pPr>
        <w:spacing w:after="0" w:line="69"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i w:val="1"/>
          <w:iCs w:val="1"/>
          <w:color w:val="auto"/>
        </w:rPr>
        <w:t xml:space="preserve">Omar Téllez </w:t>
      </w:r>
      <w:r>
        <w:rPr>
          <w:rFonts w:ascii="Arial" w:cs="Arial" w:eastAsia="Arial" w:hAnsi="Arial"/>
          <w:sz w:val="13"/>
          <w:szCs w:val="13"/>
          <w:color w:val="auto"/>
        </w:rPr>
        <w:t>joined in June 2006 as Executive Vice President of Marketing. Before joining Synchronoss, Mr. Téllez was the Vice President of the Product Solutions Group at</w:t>
      </w:r>
      <w:r>
        <w:rPr>
          <w:rFonts w:ascii="Arial" w:cs="Arial" w:eastAsia="Arial" w:hAnsi="Arial"/>
          <w:sz w:val="13"/>
          <w:szCs w:val="13"/>
          <w:i w:val="1"/>
          <w:iCs w:val="1"/>
          <w:color w:val="auto"/>
        </w:rPr>
        <w:t xml:space="preserve"> </w:t>
      </w:r>
      <w:r>
        <w:rPr>
          <w:rFonts w:ascii="Arial" w:cs="Arial" w:eastAsia="Arial" w:hAnsi="Arial"/>
          <w:sz w:val="13"/>
          <w:szCs w:val="13"/>
          <w:color w:val="auto"/>
        </w:rPr>
        <w:t>Openwave Systems from 2001 to 2006 and was with Booz Allen &amp; Hamilton’s Communication Media and Technology Practice from 1996 to 2001. Mr. Tellez received a master of business administration degree from the Haas School of Business at the University of</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California, Berkeley, and a degree in industrial engineering from the Universidad de los Andes in Bogota, Colombia.</w:t>
      </w:r>
    </w:p>
    <w:p>
      <w:pPr>
        <w:spacing w:after="0" w:line="98" w:lineRule="exact"/>
        <w:rPr>
          <w:sz w:val="20"/>
          <w:szCs w:val="20"/>
          <w:color w:val="auto"/>
        </w:rPr>
      </w:pPr>
    </w:p>
    <w:p>
      <w:pPr>
        <w:ind w:left="680" w:firstLine="399"/>
        <w:spacing w:after="0" w:line="291" w:lineRule="auto"/>
        <w:rPr>
          <w:sz w:val="20"/>
          <w:szCs w:val="20"/>
          <w:color w:val="auto"/>
        </w:rPr>
      </w:pPr>
      <w:r>
        <w:rPr>
          <w:rFonts w:ascii="Arial" w:cs="Arial" w:eastAsia="Arial" w:hAnsi="Arial"/>
          <w:sz w:val="12"/>
          <w:szCs w:val="12"/>
          <w:i w:val="1"/>
          <w:iCs w:val="1"/>
          <w:color w:val="auto"/>
        </w:rPr>
        <w:t xml:space="preserve">Ronald J. Prague </w:t>
      </w:r>
      <w:r>
        <w:rPr>
          <w:rFonts w:ascii="Arial" w:cs="Arial" w:eastAsia="Arial" w:hAnsi="Arial"/>
          <w:sz w:val="12"/>
          <w:szCs w:val="12"/>
          <w:color w:val="auto"/>
        </w:rPr>
        <w:t>joined Synchronoss in July 2006 as Vice President and General Counsel of Synchronoss and has served as Secretary since October 2006. Before joining</w:t>
      </w:r>
      <w:r>
        <w:rPr>
          <w:rFonts w:ascii="Arial" w:cs="Arial" w:eastAsia="Arial" w:hAnsi="Arial"/>
          <w:sz w:val="12"/>
          <w:szCs w:val="12"/>
          <w:i w:val="1"/>
          <w:iCs w:val="1"/>
          <w:color w:val="auto"/>
        </w:rPr>
        <w:t xml:space="preserve"> </w:t>
      </w:r>
      <w:r>
        <w:rPr>
          <w:rFonts w:ascii="Arial" w:cs="Arial" w:eastAsia="Arial" w:hAnsi="Arial"/>
          <w:sz w:val="12"/>
          <w:szCs w:val="12"/>
          <w:color w:val="auto"/>
        </w:rPr>
        <w:t>Synchronoss, Mr. Prague held various positions with Intel Corporation from February 1998 to June 2006, most recently as Group Counsel for Intel’s Communications Infrastructure Group. Prior to joining Intel, Mr. Prague practiced law with the law firm of Haythe &amp; Curley (now Torys LLP) from 1992 to 1998 and with Richards &amp; O’Neil (now Bingham McCutchen) from 1988 to 1992. Mr. Prague is a graduate of Northwestern University School of Law and earned a degree in business administration and marketing from Cornell University.</w:t>
      </w:r>
    </w:p>
    <w:p>
      <w:pPr>
        <w:spacing w:after="0" w:line="53"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S. Andrew Cox </w:t>
      </w:r>
      <w:r>
        <w:rPr>
          <w:rFonts w:ascii="Arial" w:cs="Arial" w:eastAsia="Arial" w:hAnsi="Arial"/>
          <w:sz w:val="13"/>
          <w:szCs w:val="13"/>
          <w:color w:val="auto"/>
        </w:rPr>
        <w:t>joined Synchronoss in December 2003 as Chief Information Officer. Prior to joining Synchronoss, from March 1997 to December 2003, Mr. Cox was the Managing</w:t>
      </w:r>
      <w:r>
        <w:rPr>
          <w:rFonts w:ascii="Arial" w:cs="Arial" w:eastAsia="Arial" w:hAnsi="Arial"/>
          <w:sz w:val="13"/>
          <w:szCs w:val="13"/>
          <w:i w:val="1"/>
          <w:iCs w:val="1"/>
          <w:color w:val="auto"/>
        </w:rPr>
        <w:t xml:space="preserve"> </w:t>
      </w:r>
      <w:r>
        <w:rPr>
          <w:rFonts w:ascii="Arial" w:cs="Arial" w:eastAsia="Arial" w:hAnsi="Arial"/>
          <w:sz w:val="13"/>
          <w:szCs w:val="13"/>
          <w:color w:val="auto"/>
        </w:rPr>
        <w:t>Director for Infrastructure Solutions with CoreTech Consulting Group, and was an analyst with Rohm and Haas Company from December 1992 to March 1997. Mr. Cox received a degree in electrical engineering from Bucknell University and a Masters of Business Administration from Loyola College.</w:t>
      </w:r>
    </w:p>
    <w:p>
      <w:pPr>
        <w:spacing w:after="0" w:line="67" w:lineRule="exact"/>
        <w:rPr>
          <w:sz w:val="20"/>
          <w:szCs w:val="20"/>
          <w:color w:val="auto"/>
        </w:rPr>
      </w:pPr>
    </w:p>
    <w:p>
      <w:pPr>
        <w:ind w:left="680" w:right="60" w:firstLine="399"/>
        <w:spacing w:after="0" w:line="266" w:lineRule="auto"/>
        <w:rPr>
          <w:sz w:val="20"/>
          <w:szCs w:val="20"/>
          <w:color w:val="auto"/>
        </w:rPr>
      </w:pPr>
      <w:r>
        <w:rPr>
          <w:rFonts w:ascii="Arial" w:cs="Arial" w:eastAsia="Arial" w:hAnsi="Arial"/>
          <w:sz w:val="13"/>
          <w:szCs w:val="13"/>
          <w:i w:val="1"/>
          <w:iCs w:val="1"/>
          <w:color w:val="auto"/>
        </w:rPr>
        <w:t xml:space="preserve">George Navarro </w:t>
      </w:r>
      <w:r>
        <w:rPr>
          <w:rFonts w:ascii="Arial" w:cs="Arial" w:eastAsia="Arial" w:hAnsi="Arial"/>
          <w:sz w:val="13"/>
          <w:szCs w:val="13"/>
          <w:color w:val="auto"/>
        </w:rPr>
        <w:t>has served as Synchronoss’ Executive Vice President of Global Operations since August 2009. Prior to that position, Mr. Navarro held various positions with</w:t>
      </w:r>
      <w:r>
        <w:rPr>
          <w:rFonts w:ascii="Arial" w:cs="Arial" w:eastAsia="Arial" w:hAnsi="Arial"/>
          <w:sz w:val="13"/>
          <w:szCs w:val="13"/>
          <w:i w:val="1"/>
          <w:iCs w:val="1"/>
          <w:color w:val="auto"/>
        </w:rPr>
        <w:t xml:space="preserve"> </w:t>
      </w:r>
      <w:r>
        <w:rPr>
          <w:rFonts w:ascii="Arial" w:cs="Arial" w:eastAsia="Arial" w:hAnsi="Arial"/>
          <w:sz w:val="13"/>
          <w:szCs w:val="13"/>
          <w:color w:val="auto"/>
        </w:rPr>
        <w:t>Synchronoss since joining the company in 2001. Prior to joining Synchronoss, Mr. Navarro was Managing Director for the Vertek Corporation, and also held senior management positions at EDS. Mr. Navarro received a bachelor of business administration in management information systems from Pace University.</w:t>
      </w:r>
    </w:p>
    <w:p>
      <w:pPr>
        <w:spacing w:after="0" w:line="67"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i w:val="1"/>
          <w:iCs w:val="1"/>
          <w:color w:val="auto"/>
        </w:rPr>
        <w:t xml:space="preserve">Mark Mendes </w:t>
      </w:r>
      <w:r>
        <w:rPr>
          <w:rFonts w:ascii="Arial" w:cs="Arial" w:eastAsia="Arial" w:hAnsi="Arial"/>
          <w:sz w:val="12"/>
          <w:szCs w:val="12"/>
          <w:color w:val="auto"/>
        </w:rPr>
        <w:t>has served as Executive Vice President of Telco Gateway since August 2009. Mr. Mendes joined Synchronoss in September 2008 in connection with Synchronoss’</w:t>
      </w:r>
      <w:r>
        <w:rPr>
          <w:rFonts w:ascii="Arial" w:cs="Arial" w:eastAsia="Arial" w:hAnsi="Arial"/>
          <w:sz w:val="12"/>
          <w:szCs w:val="12"/>
          <w:i w:val="1"/>
          <w:iCs w:val="1"/>
          <w:color w:val="auto"/>
        </w:rPr>
        <w:t xml:space="preserve"> </w:t>
      </w:r>
      <w:r>
        <w:rPr>
          <w:rFonts w:ascii="Arial" w:cs="Arial" w:eastAsia="Arial" w:hAnsi="Arial"/>
          <w:sz w:val="12"/>
          <w:szCs w:val="12"/>
          <w:color w:val="auto"/>
        </w:rPr>
        <w:t>acquisition of Wisor where Mr. Mendes had been Chief Executive Officer since 2001. Prior to joining Wisor, from 1997 to 2001, Mr. Mendes was Chief Operating Officer and Chief Technology Officer of NET2000 Communications, Inc. Mr. Mendes received an Engineering degree and MBA Finance/MIS from Syracuse University.</w:t>
      </w:r>
    </w:p>
    <w:p>
      <w:pPr>
        <w:spacing w:after="0" w:line="48"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i w:val="1"/>
          <w:iCs w:val="1"/>
          <w:color w:val="auto"/>
        </w:rPr>
        <w:t xml:space="preserve">Daniel Rizer </w:t>
      </w:r>
      <w:r>
        <w:rPr>
          <w:rFonts w:ascii="Arial" w:cs="Arial" w:eastAsia="Arial" w:hAnsi="Arial"/>
          <w:sz w:val="12"/>
          <w:szCs w:val="12"/>
          <w:color w:val="auto"/>
        </w:rPr>
        <w:t>joined Synchronoss in November 2008 as Executive Vice President of Business Development. Prior to joining Synchronoss, from 2005 to November 2008, Mr. Rizer</w:t>
      </w:r>
      <w:r>
        <w:rPr>
          <w:rFonts w:ascii="Arial" w:cs="Arial" w:eastAsia="Arial" w:hAnsi="Arial"/>
          <w:sz w:val="12"/>
          <w:szCs w:val="12"/>
          <w:i w:val="1"/>
          <w:iCs w:val="1"/>
          <w:color w:val="auto"/>
        </w:rPr>
        <w:t xml:space="preserve"> </w:t>
      </w:r>
      <w:r>
        <w:rPr>
          <w:rFonts w:ascii="Arial" w:cs="Arial" w:eastAsia="Arial" w:hAnsi="Arial"/>
          <w:sz w:val="12"/>
          <w:szCs w:val="12"/>
          <w:color w:val="auto"/>
        </w:rPr>
        <w:t>held various positions with Motrocity Inc., with the last position being Chief Operating Officer. From 2002 to 2005, Mr. Rizer held various positions at IBM Corp. Mr. Rizer received a Bachelor of Science degree in Operations Management from Auburn University and a Master of Science in Management Information Systems from Boston University.</w:t>
      </w:r>
    </w:p>
    <w:p>
      <w:pPr>
        <w:spacing w:after="0" w:line="4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i w:val="1"/>
          <w:iCs w:val="1"/>
          <w:color w:val="auto"/>
        </w:rPr>
        <w:t xml:space="preserve">Patrick J. Doran </w:t>
      </w:r>
      <w:r>
        <w:rPr>
          <w:rFonts w:ascii="Arial" w:cs="Arial" w:eastAsia="Arial" w:hAnsi="Arial"/>
          <w:sz w:val="12"/>
          <w:szCs w:val="12"/>
          <w:color w:val="auto"/>
        </w:rPr>
        <w:t>has served as Executive Vice President, Research and Development and Chief Technology Officer since April 2007. Prior to that position, Mr. Doran served in</w:t>
      </w:r>
      <w:r>
        <w:rPr>
          <w:rFonts w:ascii="Arial" w:cs="Arial" w:eastAsia="Arial" w:hAnsi="Arial"/>
          <w:sz w:val="12"/>
          <w:szCs w:val="12"/>
          <w:i w:val="1"/>
          <w:iCs w:val="1"/>
          <w:color w:val="auto"/>
        </w:rPr>
        <w:t xml:space="preserve"> </w:t>
      </w:r>
      <w:r>
        <w:rPr>
          <w:rFonts w:ascii="Arial" w:cs="Arial" w:eastAsia="Arial" w:hAnsi="Arial"/>
          <w:sz w:val="12"/>
          <w:szCs w:val="12"/>
          <w:color w:val="auto"/>
        </w:rPr>
        <w:t>various positions at Synchronoss, including Chief Architect and Senior Software Engineer, since joining Synchronoss in 2002. Before joining Synchronoss, Mr. Doran was a Senior Development Engineer at Agility Communications from 2000 to 2002 and a Member of Technical staff at AT&amp;T/Lucent from 1996 to 2000. Mr. Doran received a degree in Computer and Systems engineering from Rensselaer Polytechnic Institute and a masters degree in Industrial Engineering from Purdue University.</w:t>
      </w:r>
    </w:p>
    <w:p>
      <w:pPr>
        <w:spacing w:after="0" w:line="26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2"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An investment in our common stock involves a high degree of risk. The following are certain risk factors that could affect our business, financial results and results of operations. You should carefully consider the following risk factors in connection with evaluating the forward-looking statements contained in this Annual Report on Form 10-K because these factors could cause the actual results and conditions to differ materially from those projected in forward-looking statements. The risks that we have highlighted here are not the only ones that we face. If any of the risks actually occur, our business, financial condition or results of operation could be negatively affected. In that case, the trading price of our stock could decline, and our stockholders may lose part or all of their investment.</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Risks Related to Our Business and Industry</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Substantial Customer Concentration, with One Customer Accounting for a Substantial Portion of our 2009 Revenues.</w:t>
      </w:r>
    </w:p>
    <w:p>
      <w:pPr>
        <w:spacing w:after="0" w:line="9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We currently derive a significant portion of our revenues from one customer, AT&amp;T. Our relationship with AT&amp;T dates back to January 2001 when we began providing service to AT&amp;T Wireless, which was subsequently acquired by Cingular Wireless and is now a division of AT&amp;T. For the year ended December 31, 2009, AT&amp;T accounted for approximately 65% of our revenues, compared to 67% for the year ended December 31, 2008. Our five largest customers, AT&amp;T, Level 3 Communications, Vonage, Comcast and Cablevision, accounted for approximately 84% of our revenues for the year ended December 31, 2009, compared to 89% of our revenues for the year ended December 31, 2008. It is not possible for us to predict the future level of demand for our services that will be generated by these customers or the future demand for the products and services of these customers in the end-user marketplace. In addition, revenues from these larger customers may fluctuate from time to time based on the commencement and completion of projects, the timing of which may be affected by market conditions. Further, some of our contracts with these larger customers permit them to terminate our services at any time (subject to notice and certain other provisions). If any of these customers experience declining or delayed sales due to market, economic or competitive conditions, we could be pressured to reduce the prices we charge for our services or we could lose a major customer, which would affect our margins and would negatively affect our revenues and results of operations.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Do Not Adapt to Rapid Technological Change in the Communications Industry, We Could Lose Customers or Market Share.</w:t>
      </w:r>
    </w:p>
    <w:p>
      <w:pPr>
        <w:spacing w:after="0" w:line="98"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Our industry is characterized by rapid technological change and frequent new service offerings. Significant technological changes could make our technology and services obsolete, less marketable or less competitive. We must adapt to our rapidly changing market by continually improving the features, functionality, reliability and responsiveness of our transaction management services, and by developing new features, services and applications to meet changing customer needs. We may not be able to adapt to these challenges or respond successfully or in a cost-effective way. Our failure to do so would adversely affect our ability to compete and retain customers and/or market share. In addition, our present or future service offerings may not satisfy the evolving needs of the industry in which we operate. If we are unable to anticipate or respond adequately to such needs, due to resource, technological or other constraints, our business and results of operations could be harmed.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The Success of Our Business Depends on the Continued Growth of Consumer and Business Transactions Related to Communications Services on the Internet.</w:t>
      </w:r>
    </w:p>
    <w:p>
      <w:pPr>
        <w:spacing w:after="0" w:line="109" w:lineRule="exact"/>
        <w:rPr>
          <w:sz w:val="20"/>
          <w:szCs w:val="20"/>
          <w:color w:val="auto"/>
        </w:rPr>
      </w:pPr>
    </w:p>
    <w:p>
      <w:pPr>
        <w:jc w:val="both"/>
        <w:ind w:left="680" w:right="140" w:firstLine="399"/>
        <w:spacing w:after="0" w:line="299" w:lineRule="auto"/>
        <w:rPr>
          <w:sz w:val="20"/>
          <w:szCs w:val="20"/>
          <w:color w:val="auto"/>
        </w:rPr>
      </w:pPr>
      <w:r>
        <w:rPr>
          <w:rFonts w:ascii="Arial" w:cs="Arial" w:eastAsia="Arial" w:hAnsi="Arial"/>
          <w:sz w:val="12"/>
          <w:szCs w:val="12"/>
          <w:color w:val="auto"/>
        </w:rPr>
        <w:t>The future success of our business depends upon the continued growth of consumer and business transactions on the Internet, including attracting consumers who have historically purchased wireless services and devices through traditional retail stores. Specific factors that could deter consumers from purchasing wireless services and devices on the Internet include concerns about buying wireless devices without a face-to-face interaction with sales personnel and the ability to physically handle and examine the devices.</w:t>
      </w:r>
    </w:p>
    <w:p>
      <w:pPr>
        <w:spacing w:after="0" w:line="4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Our business growth would be impeded if the performance or perception of the Internet was harmed by security problems such as “viruses,” “worms” and other malicious programs, reliability issues arising from outages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80"/>
        <w:spacing w:after="0" w:line="291" w:lineRule="auto"/>
        <w:rPr>
          <w:sz w:val="20"/>
          <w:szCs w:val="20"/>
          <w:color w:val="auto"/>
        </w:rPr>
      </w:pPr>
      <w:r>
        <w:rPr>
          <w:rFonts w:ascii="Arial" w:cs="Arial" w:eastAsia="Arial" w:hAnsi="Arial"/>
          <w:sz w:val="12"/>
          <w:szCs w:val="12"/>
          <w:color w:val="auto"/>
        </w:rPr>
        <w:t>and damage to Internet infrastructure, delays in development or adoption of new standards and protocols to handle increased demands of Internet activity, increased costs, decreased accessibility and quality of service, or increased government regulation and taxation of Internet activity. The Internet has experienced, and is expected to continue to experience, significant user and traffic growth, which has, at times, caused user frustration with slow access and download times. If Internet activity grows faster than Internet infrastructure or if the Internet infrastructure is otherwise unable to support the demands placed on it, or if hosting capacity becomes scarce, our business growth may be adversely affected.</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Success of Our Business Depends on the Continued Growth in Demand for Connected Devices.</w:t>
      </w:r>
    </w:p>
    <w:p>
      <w:pPr>
        <w:spacing w:after="0" w:line="9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The future success of our business depends upon the continued growth in demand for connected devices. While we believe the market for connected devices will continue to grow for the foreseeable future, we cannot accurately predict the extent to which demand for connected devices will increase, if at all. If the demand for connected devices were to stabilize or decline, our business may be adversely affected.</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121"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Our business is directly affected by the length of our sales cycle. Our customers’ businesses are relatively complex and their purchase of the types of services that we offer generally involve a significant commitment of capital, with attendant delays frequently associated with large capital commitments and procurement procedures within an organization. The purchase of the types of services that we offer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an increased cost of sales, thereby reducing our profitability.</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Compromises to Our Privacy Safeguards Could Impact Our Reputation.</w:t>
      </w:r>
    </w:p>
    <w:p>
      <w:pPr>
        <w:spacing w:after="0" w:line="9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Names, addresses, telephone numbers, credit card data and other personal identification information, or PII, is collected, processed and stored in our systems. The steps we have taken to protect PII may not be sufficient to prevent the misappropriation or improper disclosure of such PII. If such misappropriation or disclosure were to occur, our business could be harmed through reputational injury, litigation and possible damages claimed by the affected end customers. Our insurance may not cover potential claims of this type or may not be adequate to cover all costs incurred in defense of potential claims or to indemnify us for all liability that may be imposed. Concerns about the security of online transactions and the privacy of personal information could deter consumers from transacting business with us on the Internet.</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Fraudulent Internet Transactions Could Negatively Impact Our Business.</w:t>
      </w:r>
    </w:p>
    <w:p>
      <w:pPr>
        <w:spacing w:after="0" w:line="9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Our business may be exposed to risks associated with Internet credit card fraud and identity theft that could cause us to incur unexpected expenditures and loss of revenues. Under current credit card practices, a merchant is liable for fraudulent credit card transactions when, as is the case with the transactions we process, that merchant does not obtain a cardholder’s signature. Although our customers currently bear the risk for a fraudulent credit card transaction, in the future we may be forced to share some of that risk and the associated costs with our customers. To the extent that technology upgrades or other expenditures are required to prevent credit card fraud and identity theft, we may be required to bear the costs associated with such expenditures. In addition, to the extent that credit card fraud and/or identity theft cause a decline in business transactions over the Internet generally, both the business of our customers and our business could be adversely affected.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Wireless Services Industry Experiences a Decline in Subscribers, Our Business May Suffer.</w:t>
      </w:r>
    </w:p>
    <w:p>
      <w:pPr>
        <w:spacing w:after="0" w:line="98" w:lineRule="exact"/>
        <w:rPr>
          <w:sz w:val="20"/>
          <w:szCs w:val="20"/>
          <w:color w:val="auto"/>
        </w:rPr>
      </w:pPr>
    </w:p>
    <w:p>
      <w:pPr>
        <w:jc w:val="both"/>
        <w:ind w:left="680" w:right="160" w:firstLine="399"/>
        <w:spacing w:after="0" w:line="266" w:lineRule="auto"/>
        <w:rPr>
          <w:sz w:val="20"/>
          <w:szCs w:val="20"/>
          <w:color w:val="auto"/>
        </w:rPr>
      </w:pPr>
      <w:r>
        <w:rPr>
          <w:rFonts w:ascii="Arial" w:cs="Arial" w:eastAsia="Arial" w:hAnsi="Arial"/>
          <w:sz w:val="13"/>
          <w:szCs w:val="13"/>
          <w:color w:val="auto"/>
        </w:rPr>
        <w:t>The wireless services industry has faced an increasing number of challenges, including a slowdown in new subscriber growth. Revenues from services performed for customers in the wireless services industry accounted for 56% of our revenues in 2009 and 65% in 2008. A continued slowdown in subscriber growth in the wireless services industry could adversely affect our business growth.</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Consolidation in the Communications Industry Can Reduce the Number of Customers and Adversely Affect Our Business.</w:t>
      </w:r>
    </w:p>
    <w:p>
      <w:pPr>
        <w:spacing w:after="0" w:line="9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The communications industry continues to experience consolidation and an increased formation of alliances among communications service providers and between communications service providers and other entities. Should one of our significant customers consolidate or enter into an alliance with an entity or decide to either use a different service provider or to manage its transactions internally, this could have a negative material impact on our business. These consolidations and alliances or decisions to manage its transactions internally may cause us to lose customers or require us to reduce prices as a result of enhanced customer leverage, which would have a material adverse effect on our business. We may not be able to offset the effects of any price reductions. We may not be able to expand our customer base to make up any revenue declines if we lose customers or if our transaction volumes decline.</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Compete Successfully With Existing or New Competitors, Our Business Could Be Harmed.</w:t>
      </w:r>
    </w:p>
    <w:p>
      <w:pPr>
        <w:spacing w:after="0" w:line="98"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If we fail to compete successfully with established or new competitors, it could have a material adverse effect on our results of operations and financial condition. The communications industry is highly competitive and fragmented, and we expect competition to increase. We compete with independent providers of information systems and services and with the in-house departments of our OEMs and communications services companies customers. Rapid technological changes, such as advancements in software integration across multiple and incompatible systems, and economies of scale may make it more economical for CSPs, MSOs or OEMs to develop their own in-house processes and systems, which may render some of our products and services less valuable or eventually obsolete. Our competitors include firms that provide comprehensive information systems and managed services solutions, systems integrators, clearinghouses and service bureaus. Many of our competitors have long operating histories, large customer bases, substantial financial, technical, sales, marketing and other resources, and strong name recognition.</w:t>
      </w:r>
    </w:p>
    <w:p>
      <w:pPr>
        <w:spacing w:after="0" w:line="71"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Current and potential competitors have established, and may establish in the future, cooperative relationships among themselves or with third parties to increase their ability to address the needs of our current or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These relationships and alliances may also result in transaction pricing pressure which could result in large reductions in the selling price of our services. Our competitors or our customers’ in-house solutions may also provide services at a lower cost, significantly increasing pricing pressure on us. We may not be able to offset the effects of this potential pricing pressure. Our failure to adapt to changing market conditions and to compete successfully with established or new competitors may have a material adverse effect on our results of operations and financial condition. In particular, a failure to offset competitive pressures brought about by competitors or in-house solutions developed by AT&amp;T could result in a substantial reduction in or the outright termination of our contract with AT&amp;T, which would have a significant negative material impact on our business.</w:t>
      </w:r>
    </w:p>
    <w:p>
      <w:pPr>
        <w:spacing w:after="0" w:line="138" w:lineRule="exact"/>
        <w:rPr>
          <w:sz w:val="20"/>
          <w:szCs w:val="20"/>
          <w:color w:val="auto"/>
        </w:rPr>
      </w:pPr>
    </w:p>
    <w:p>
      <w:pPr>
        <w:ind w:left="880" w:right="80"/>
        <w:spacing w:after="0" w:line="279" w:lineRule="auto"/>
        <w:rPr>
          <w:sz w:val="20"/>
          <w:szCs w:val="20"/>
          <w:color w:val="auto"/>
        </w:rPr>
      </w:pPr>
      <w:r>
        <w:rPr>
          <w:rFonts w:ascii="Arial" w:cs="Arial" w:eastAsia="Arial" w:hAnsi="Arial"/>
          <w:sz w:val="13"/>
          <w:szCs w:val="13"/>
          <w:b w:val="1"/>
          <w:bCs w:val="1"/>
          <w:i w:val="1"/>
          <w:iCs w:val="1"/>
          <w:color w:val="auto"/>
        </w:rPr>
        <w:t>Failures or Interruptions of Our Systems and Services Could Materially Harm Our Revenues, Impair Our Ability to Conduct Our Operations and Damage Relationships with Our Customers.</w:t>
      </w:r>
    </w:p>
    <w:p>
      <w:pPr>
        <w:spacing w:after="0" w:line="58"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color w:val="auto"/>
        </w:rPr>
        <w:t>Our success depends on our ability to provide reliable services to our customers and process a high volume of transactions in a timely and effective manner. Although we have a disaster recovery facility in our Bridgewater, New Jersey corporate headquarters, our network operations are currently located in a single facility in Bethlehem, Pennsylvania that is susceptible to damage or interruption from human error, fire, flood, power loss,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60"/>
        <w:spacing w:after="0" w:line="279" w:lineRule="auto"/>
        <w:rPr>
          <w:sz w:val="20"/>
          <w:szCs w:val="20"/>
          <w:color w:val="auto"/>
        </w:rPr>
      </w:pPr>
      <w:r>
        <w:rPr>
          <w:rFonts w:ascii="Arial" w:cs="Arial" w:eastAsia="Arial" w:hAnsi="Arial"/>
          <w:sz w:val="13"/>
          <w:szCs w:val="13"/>
          <w:color w:val="auto"/>
        </w:rPr>
        <w:t>telecommunications failure, terrorist attacks and similar events. We could also experience failures or interruptions of our systems and services, or other problems in connection with our operations, as a result of, among other things:</w:t>
      </w:r>
    </w:p>
    <w:p>
      <w:pPr>
        <w:spacing w:after="0" w:line="58" w:lineRule="exact"/>
        <w:rPr>
          <w:sz w:val="20"/>
          <w:szCs w:val="20"/>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damage to or failure of our computer software or hardware or our connections and outsourced service arrangements with third parties;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errors in the processing of data by our system;</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computer viruses or software defects;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physical or electronic break-ins, sabotage, intentional acts of vandalism and similar events;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fire, cyber attack, terrorist attack or other catastrophic event;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increased capacity demands or changes in systems requirements of our customers; or</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errors by our employees or third-party service providers.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In addition, our business interruption insurance may be insufficient to compensate us for losses that may occur. Any interruptions in our systems or services could damage our reputation and substantially harm our business and results of operations.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We Fail to Meet Our Service Level Obligations Under Our Service Level Agreements, We Would Be Subject to Penalties and Could Lose Customers.</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We have service level agreements with many of our customers under which we guarantee specified levels of service availability. These arrangements involve the risk that we may not have adequately estimated the level of service we will in fact be able to provide. If we fail to meet our service level obligations under these agreements, we would be subject to penalties, which could result in higher than expected costs, decreased revenues and decreased operating margins. We could also lose customers.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are Exposed to Risks Associated with the Recent Financial Crisis and Weakening Global Economy.</w:t>
      </w:r>
    </w:p>
    <w:p>
      <w:pPr>
        <w:spacing w:after="0" w:line="98"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The recent severe tightening of the credit markets, disruptions in the financial markets and challenging economic conditions have adversely affected the United States and world economies, and in particular, have resulted in reduced consumer spending and reduced spending by businesses. Economic uncertainty exacerbates negative trends in consumer spending and may negatively impact the businesses of certain of our customers, which may cause a reduction in their use of our platforms and therefore a reduction in our revenues. These conditions and uncertainty about future economic conditions make it challenging for us to forecast our operating results, make business decisions, and identify the risks that may affect our business, financial condition and results of operations. It also may result in a more competitive environment, resulting in possible pricing pressure. In addition, we maintain an investment portfolio that is subject to general credit, liquidity, market and interest rate risks that may be exacerbated by deteriorating financial market conditions and, as a result, the value and liquidity of the investment portfolio could be negatively impacted and lead to impairment. If we are not able to timely and appropriately adapt to changes resulting from the difficult macroeconomic environment, our business, financial condition or results of operations may be materially and adversely affected.</w:t>
      </w:r>
    </w:p>
    <w:p>
      <w:pPr>
        <w:spacing w:after="0" w:line="62"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We are also subject to the credit risk of our customers and customers with liquidity issues may lead to bad debt expense for us. Most of our sales are on an open credit basis, with typical payment terms of 30 days in the United States and, because of local customs or conditions, longer payment terms in some markets outside the United States. We use various methods to screen potential customers and establish appropriate credit limits, but these methods cannot eliminate all potential bad credit risks and may not prevent us from approving applications that are fraudulently completed. Moreover, businesses that are good credit risks at the time of application may become bad credit risks over time and we may fail to detect this change. We maintain reserves we believe are adequate to cover exposure for doubtful accounts. If we fail to adequately assess and monitor our credit risks, we could experience longer payment cycles, increased collection costs and higher bad debt expense. A decrease in accounts receivable resulting from an increase in bad debt expense could adversely affect our liquidity. Our exposure to credit risks may increase if our customers are adversely affected by the difficult macroeconomic environment, or if there is a</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40"/>
        <w:spacing w:after="0" w:line="260" w:lineRule="auto"/>
        <w:rPr>
          <w:sz w:val="20"/>
          <w:szCs w:val="20"/>
          <w:color w:val="auto"/>
        </w:rPr>
      </w:pPr>
      <w:r>
        <w:rPr>
          <w:rFonts w:ascii="Arial" w:cs="Arial" w:eastAsia="Arial" w:hAnsi="Arial"/>
          <w:sz w:val="13"/>
          <w:szCs w:val="13"/>
          <w:color w:val="auto"/>
        </w:rPr>
        <w:t>continuation or worsening of the economic environment. Although we have programs in place that are designed to monitor and mitigate the associated risk, including monitoring of particular risks in certain geographic areas, there can be no assurance that such programs will be effective in reducing our credit risks or the incurrence of additional losses. Future and additional losses, if incurred, could harm our business and have a material adverse effect on our business operating results and financial condition. Additionally, to the degree that the recent turmoil in the credit markets makes it more difficult for some customers to obtain financing, those customers’ ability to pay could be adversely impacted, which in turn could have a material adverse impact on our business, operating results, and financial condition.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Financial and Operating Difficulties in the Telecommunications Sector May Negatively Affect Our Customers and Our Company.</w:t>
      </w:r>
    </w:p>
    <w:p>
      <w:pPr>
        <w:spacing w:after="0" w:line="98"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telecommunications sector faces significant challenges resulting from excess capacity, poor operating results and financing difficulties. The sector’s financial status has at times been uncertain and access to debt and equity capital has been seriously limited. The impact of these events on us could include slower collection on accounts receivable, higher bad debt expense, uncertainties due to possible customer bankruptcies, lower pricing on new customer contracts, lower revenues due to lower usage by the end customer and possible consolidation among our customers, which will put our customers and operating performance at risk. In addition, because we operate in the communications sector, we may also be negatively impacted by limited access to debt and equity capital.</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i w:val="1"/>
          <w:iCs w:val="1"/>
          <w:color w:val="auto"/>
        </w:rPr>
        <w:t>Our Reliance on Third-Party Providers for Communications Software, Services, Hardware and Infrastructure Exposes Us to a Variety of Risks We Cannot Control.</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Our success depends on software, equipment, network connectivity and infrastructure hosting services supplied by our vendors and customers. In addition, we rely on third-party vendors to perform a substantial portion of our exception handling services. We may not be able to continue to purchase the necessary software, equipment and services from vendors on acceptable terms or at all. If we are unable to maintain current purchasing terms or ensure service availability with these vendors and customers, we may lose customers and experience an increase in costs in seeking alternative supplier services.</w:t>
      </w:r>
    </w:p>
    <w:p>
      <w:pPr>
        <w:spacing w:after="0" w:line="69" w:lineRule="exact"/>
        <w:rPr>
          <w:sz w:val="20"/>
          <w:szCs w:val="20"/>
          <w:color w:val="auto"/>
        </w:rPr>
      </w:pPr>
    </w:p>
    <w:p>
      <w:pPr>
        <w:ind w:left="680" w:right="60" w:firstLine="399"/>
        <w:spacing w:after="0" w:line="284" w:lineRule="auto"/>
        <w:rPr>
          <w:sz w:val="20"/>
          <w:szCs w:val="20"/>
          <w:color w:val="auto"/>
        </w:rPr>
      </w:pPr>
      <w:r>
        <w:rPr>
          <w:rFonts w:ascii="Arial" w:cs="Arial" w:eastAsia="Arial" w:hAnsi="Arial"/>
          <w:sz w:val="12"/>
          <w:szCs w:val="12"/>
          <w:color w:val="auto"/>
        </w:rPr>
        <w:t>Our business also depends upon the capacity, reliability and security of the infrastructure owned and managed by third parties, including our vendors and customers, that is used by our technology interoperability services, network services, number portability services, call processed services and enterprise solutions. We have no control over the operation, quality or maintenance of a significant portion of that infrastructure and whether those third parties will upgrade or improve their software, equipment and services to meet our and our customers’ evolving requirements. We depend on these companies to maintain the operational integrity of our services. If one or more of these companies is unable or unwilling to supply or expand its levels of services to us in the future, our operations could be severely interrupted. In addition, rapid changes in the communications industry have led to industry consolidation. This consolidation may cause the availability, pricing and quality of the services we use to vary and could lengthen the amount of time it takes to deliver the services that we use.</w:t>
      </w:r>
    </w:p>
    <w:p>
      <w:pPr>
        <w:spacing w:after="0" w:line="138"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Our Failure to Protect Confidential Information and Our Network Against Security Breaches Could Damage Our Reputation and Substantially Harm Our Business and Results of Operations.</w:t>
      </w:r>
    </w:p>
    <w:p>
      <w:pPr>
        <w:spacing w:after="0" w:line="5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A significant barrier to online commerce is concern about the secure transmission of confidential information over public networks. The encryption and authentication technology licensed from third parties on which we rely to securely transmit confidential information, including credit card numbers, may not adequately protect customer transaction data. Any compromise of our security could damage our reputation and expose us to risk of loss or litigation and possible liability which could substantially harm our business and results of operation. Although we carry general liability insurance, our insurance may not cover potential claims of this type or may not be adequate to cover all costs incurred in defense of potential claims or to indemnify us for all liability that may be imposed. In addition, anyone who is able to circumvent our security measures could misappropriate proprietary information or cause interruptions in our operations. We may need to expend significant resources to protect against security breaches or to address problems caused by breaches.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right="40"/>
        <w:spacing w:after="0" w:line="279" w:lineRule="auto"/>
        <w:rPr>
          <w:sz w:val="20"/>
          <w:szCs w:val="20"/>
          <w:color w:val="auto"/>
        </w:rPr>
      </w:pPr>
      <w:r>
        <w:rPr>
          <w:rFonts w:ascii="Arial" w:cs="Arial" w:eastAsia="Arial" w:hAnsi="Arial"/>
          <w:sz w:val="13"/>
          <w:szCs w:val="13"/>
          <w:b w:val="1"/>
          <w:bCs w:val="1"/>
          <w:i w:val="1"/>
          <w:iCs w:val="1"/>
          <w:color w:val="auto"/>
        </w:rPr>
        <w:t>If We Are Unable to Protect Our Intellectual Property Rights, Our Competitive Position Could Be Harmed or We Could Be Required to Incur Significant Expenses to Enforce Our Rights.</w:t>
      </w:r>
    </w:p>
    <w:p>
      <w:pPr>
        <w:spacing w:after="0" w:line="56"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Our success depends to a significant degree upon the protection of our software and other proprietary technology rights, particularly our ConvergenceNow</w:t>
      </w:r>
      <w:r>
        <w:rPr>
          <w:rFonts w:ascii="Arial" w:cs="Arial" w:eastAsia="Arial" w:hAnsi="Arial"/>
          <w:sz w:val="10"/>
          <w:szCs w:val="10"/>
          <w:color w:val="auto"/>
        </w:rPr>
        <w:t>®</w:t>
      </w:r>
      <w:r>
        <w:rPr>
          <w:rFonts w:ascii="Arial" w:cs="Arial" w:eastAsia="Arial" w:hAnsi="Arial"/>
          <w:sz w:val="12"/>
          <w:szCs w:val="12"/>
          <w:color w:val="auto"/>
        </w:rPr>
        <w:t>,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7"/>
          <w:szCs w:val="7"/>
          <w:color w:val="auto"/>
        </w:rPr>
        <w:t>TM</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xml:space="preserve"> platforms. We rely on trade secret, copyright and trademark laws and confidentiality agreements with employees and third parties, all of which offer only limited protection. The steps we have taken to protect our intellectual property may not prevent misappropriation of our proprietary rights or the reverse engineering of our solutions. Legal standards relating to the validity, enforceability and scope of protection of intellectual property rights in other countries are uncertain and may afford little or no effective protection of our proprietary technology. Consequently, we may be unable to prevent our proprietary technology from being exploited abroad, which could require costly efforts to protect our technology. Policing the unauthorized use of our products, trademarks and other proprietary rights is expensive, difficult and, in some cases, impossible. Litigation may be necessary in the future to enforce or defend our intellectual property rights, to protect our trade secrets or to determine the validity and scope of the proprietary rights of others. Such litigation could result in substantial costs and diversion of management resources, either of which could materially harm our business. Accordingly, despite our efforts, we may not be able to prevent third parties from infringing upon or misappropriating our intellectual property.</w:t>
      </w:r>
    </w:p>
    <w:p>
      <w:pPr>
        <w:spacing w:after="0" w:line="14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Claims By Others That We Infringe Their Proprietary Technology Could Harm Our Business.</w:t>
      </w:r>
    </w:p>
    <w:p>
      <w:pPr>
        <w:spacing w:after="0" w:line="98" w:lineRule="exact"/>
        <w:rPr>
          <w:sz w:val="20"/>
          <w:szCs w:val="20"/>
          <w:color w:val="auto"/>
        </w:rPr>
      </w:pPr>
    </w:p>
    <w:p>
      <w:pPr>
        <w:ind w:left="680" w:right="20" w:firstLine="399"/>
        <w:spacing w:after="0" w:line="283" w:lineRule="auto"/>
        <w:rPr>
          <w:sz w:val="20"/>
          <w:szCs w:val="20"/>
          <w:color w:val="auto"/>
        </w:rPr>
      </w:pPr>
      <w:r>
        <w:rPr>
          <w:rFonts w:ascii="Arial" w:cs="Arial" w:eastAsia="Arial" w:hAnsi="Arial"/>
          <w:sz w:val="12"/>
          <w:szCs w:val="12"/>
          <w:color w:val="auto"/>
        </w:rPr>
        <w:t>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even those without merit,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offering our services. Any of these events could seriously harm our business. Third parties may also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We also generally indemnify our customers if our services infringe the proprietary rights of third parties.</w:t>
      </w:r>
    </w:p>
    <w:p>
      <w:pPr>
        <w:spacing w:after="0" w:line="57" w:lineRule="exact"/>
        <w:rPr>
          <w:sz w:val="20"/>
          <w:szCs w:val="20"/>
          <w:color w:val="auto"/>
        </w:rPr>
      </w:pPr>
    </w:p>
    <w:p>
      <w:pPr>
        <w:ind w:left="680" w:right="80" w:firstLine="399"/>
        <w:spacing w:after="0" w:line="299" w:lineRule="auto"/>
        <w:rPr>
          <w:sz w:val="20"/>
          <w:szCs w:val="20"/>
          <w:color w:val="auto"/>
        </w:rPr>
      </w:pPr>
      <w:r>
        <w:rPr>
          <w:rFonts w:ascii="Arial" w:cs="Arial" w:eastAsia="Arial" w:hAnsi="Arial"/>
          <w:sz w:val="12"/>
          <w:szCs w:val="12"/>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offering our services and could therefore seriously harm our business.</w:t>
      </w:r>
    </w:p>
    <w:p>
      <w:pPr>
        <w:spacing w:after="0" w:line="127" w:lineRule="exact"/>
        <w:rPr>
          <w:sz w:val="20"/>
          <w:szCs w:val="20"/>
          <w:color w:val="auto"/>
        </w:rPr>
      </w:pPr>
    </w:p>
    <w:p>
      <w:pPr>
        <w:ind w:left="880" w:right="60"/>
        <w:spacing w:after="0" w:line="279" w:lineRule="auto"/>
        <w:rPr>
          <w:sz w:val="20"/>
          <w:szCs w:val="20"/>
          <w:color w:val="auto"/>
        </w:rPr>
      </w:pPr>
      <w:r>
        <w:rPr>
          <w:rFonts w:ascii="Arial" w:cs="Arial" w:eastAsia="Arial" w:hAnsi="Arial"/>
          <w:sz w:val="13"/>
          <w:szCs w:val="13"/>
          <w:b w:val="1"/>
          <w:bCs w:val="1"/>
          <w:i w:val="1"/>
          <w:iCs w:val="1"/>
          <w:color w:val="auto"/>
        </w:rPr>
        <w:t>We May Seek to Acquire Companies or Technologies, Which Could Disrupt Our Ongoing Business, Disrupt Our Management and Employees and Adversely Affect Our Results of Operations.</w:t>
      </w:r>
    </w:p>
    <w:p>
      <w:pPr>
        <w:spacing w:after="0" w:line="58"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We have made, and in the future intend to make, acquisitions of, and investments in, companies, technologies or products in existing, related or new markets for us which we believe may enhance our market position or strategic strengths. However, we cannot be sure that any acquisition or investment will ultimately enhance our products or strengthen our competitive position. Acquisitions involve numerous risks, including but not limited to: (1) diversion of management’s attention from other operational matters; (2) inability to identify acquisition candidates on terms acceptable to us or at all, or inability to complete acquisitions as anticipated or at all; (3) inability to realize anticipated benefits; (4) failure to commercialize purchased technologies; (5) inability to capitalize on characteristics of new markets that may be significantly different from our existing markets; (6) exposure to operational risks, rules and regulations to the extent such activities are located in countries where we have not historically done business; (7) inability to obtain and protect intellectual property rights in key technologies; (8) ineffectiveness of an acquired company’s internal controls; (9) impairment of acquired intangible assets as a result of technological advancements or worse-than-expected performance of the acquired company or its product offerings; (10) unknown, underestimated and/or undisclosed commitments or liabilities; (11) excess or underutilized facilities; and</w:t>
      </w:r>
    </w:p>
    <w:p>
      <w:pPr>
        <w:spacing w:after="0" w:line="3" w:lineRule="exact"/>
        <w:rPr>
          <w:sz w:val="20"/>
          <w:szCs w:val="20"/>
          <w:color w:val="auto"/>
        </w:rPr>
      </w:pPr>
    </w:p>
    <w:p>
      <w:pPr>
        <w:ind w:left="5620" w:right="4900" w:hanging="4933"/>
        <w:spacing w:after="0" w:line="581" w:lineRule="auto"/>
        <w:tabs>
          <w:tab w:leader="none" w:pos="949" w:val="left"/>
        </w:tabs>
        <w:numPr>
          <w:ilvl w:val="0"/>
          <w:numId w:val="15"/>
        </w:numPr>
        <w:rPr>
          <w:rFonts w:ascii="Arial" w:cs="Arial" w:eastAsia="Arial" w:hAnsi="Arial"/>
          <w:sz w:val="11"/>
          <w:szCs w:val="11"/>
          <w:color w:val="auto"/>
        </w:rPr>
      </w:pPr>
      <w:r>
        <w:rPr>
          <w:rFonts w:ascii="Arial" w:cs="Arial" w:eastAsia="Arial" w:hAnsi="Arial"/>
          <w:sz w:val="11"/>
          <w:szCs w:val="11"/>
          <w:color w:val="auto"/>
        </w:rPr>
        <w:t>ineffective integration of operations, technologies, products or employees of the acquired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293370</wp:posOffset>
            </wp:positionV>
            <wp:extent cx="7289800"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right="100"/>
        <w:spacing w:after="0" w:line="299" w:lineRule="auto"/>
        <w:rPr>
          <w:sz w:val="20"/>
          <w:szCs w:val="20"/>
          <w:color w:val="auto"/>
        </w:rPr>
      </w:pPr>
      <w:r>
        <w:rPr>
          <w:rFonts w:ascii="Arial" w:cs="Arial" w:eastAsia="Arial" w:hAnsi="Arial"/>
          <w:sz w:val="12"/>
          <w:szCs w:val="12"/>
          <w:color w:val="auto"/>
        </w:rPr>
        <w:t>companies. In addition, acquisitions may disrupt our ongoing operations and increase our expenses and harm our results of operations or financial condition. Future acquisitions could also result in potentially dilutive issuances of equity securities, the incurrence of debt, which may reduce our cash available for operations and other uses, an increase in contingent liabilities or an increase in amortization expense related to identifiable assets acquired, each of which could materially harm our business, financial condition and results of operations.</w:t>
      </w:r>
    </w:p>
    <w:p>
      <w:pPr>
        <w:spacing w:after="0" w:line="127" w:lineRule="exact"/>
        <w:rPr>
          <w:sz w:val="20"/>
          <w:szCs w:val="20"/>
          <w:color w:val="auto"/>
        </w:rPr>
      </w:pPr>
    </w:p>
    <w:p>
      <w:pPr>
        <w:ind w:left="880" w:right="280"/>
        <w:spacing w:after="0" w:line="279" w:lineRule="auto"/>
        <w:rPr>
          <w:sz w:val="20"/>
          <w:szCs w:val="20"/>
          <w:color w:val="auto"/>
        </w:rPr>
      </w:pPr>
      <w:r>
        <w:rPr>
          <w:rFonts w:ascii="Arial" w:cs="Arial" w:eastAsia="Arial" w:hAnsi="Arial"/>
          <w:sz w:val="13"/>
          <w:szCs w:val="13"/>
          <w:b w:val="1"/>
          <w:bCs w:val="1"/>
          <w:i w:val="1"/>
          <w:iCs w:val="1"/>
          <w:color w:val="auto"/>
        </w:rPr>
        <w:t>Our Expansion into International Markets May Be Subject to Uncertainties That Could Increase Our Costs to Comply with Regulatory Requirements in Foreign Jurisdictions, Disrupt Our Operations and Require Increased Focus from Our Management.</w:t>
      </w:r>
    </w:p>
    <w:p>
      <w:pPr>
        <w:spacing w:after="0" w:line="58"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Our growth strategy includes the growth of our operations in foreign jurisdictions. International operations and business expansion plans are subject to numerous additional risks, including economic and political risks in foreign jurisdictions in which we operate or seek to operate, the difficulty of enforcing contracts and collecting receivables through some foreign legal systems, unexpected changes in regulatory requirements, fluctuations in currency exchange rates, potential difficulties in enforcing intellectual property rights in foreign countries and the difficulties associated with managing a large organization spread throughout various countries. 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Our Expansion into International Markets May Expose Us to Risks Associated with Fluctuations in Foreign Currency Exchange Rates That Could Adversely Affect Our Business.</w:t>
      </w:r>
    </w:p>
    <w:p>
      <w:pPr>
        <w:spacing w:after="0" w:line="121"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We consider the U.S. dollar to be our functional currency. However, as we expand our operations into international markets a portion of our revenues and/or operating costs may be incurred outside the United States in other currencies. In such event, fluctuations in exchange rates between the currencies in which such revenues and/or costs may occur and the dollar may have a material adverse effect on our results of operations and financial condition. In addition, from time to time following our expansion into international markets we may experience increases in the costs of our operations outside the United States, as expressed in dollars, which could have a material adverse effect on our results of operations and financial condition. Further, the imposition of restrictions on the conversion of foreign currencies could also have a material adverse effect on our business, results of operations and financial condition.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2"/>
          <w:szCs w:val="12"/>
          <w:b w:val="1"/>
          <w:bCs w:val="1"/>
          <w:i w:val="1"/>
          <w:iCs w:val="1"/>
          <w:color w:val="auto"/>
        </w:rPr>
        <w:t>Our Senior Management is Important to Our Customer Relationships, and the Loss of One or More of Our Senior Managers Could Have a Negative Impact on Our Business.</w:t>
      </w:r>
    </w:p>
    <w:p>
      <w:pPr>
        <w:spacing w:after="0" w:line="109"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We believe that our success depends in part on the continued contributions of our senior management. We rely on our executive officers and senior management to generate business and execute programs successfully. In addition, the relationships and reputation that members of our management team have established and maintain with our customers and our regulators contribute to our ability to maintain good customer relations. The loss of any members of senior management could materially impair our ability to identify and secure new contracts and otherwise manage our business.</w:t>
      </w:r>
    </w:p>
    <w:p>
      <w:pPr>
        <w:spacing w:after="0" w:line="148" w:lineRule="exact"/>
        <w:rPr>
          <w:sz w:val="20"/>
          <w:szCs w:val="20"/>
          <w:color w:val="auto"/>
        </w:rPr>
      </w:pPr>
    </w:p>
    <w:p>
      <w:pPr>
        <w:ind w:left="880" w:right="580"/>
        <w:spacing w:after="0" w:line="279" w:lineRule="auto"/>
        <w:rPr>
          <w:sz w:val="20"/>
          <w:szCs w:val="20"/>
          <w:color w:val="auto"/>
        </w:rPr>
      </w:pPr>
      <w:r>
        <w:rPr>
          <w:rFonts w:ascii="Arial" w:cs="Arial" w:eastAsia="Arial" w:hAnsi="Arial"/>
          <w:sz w:val="13"/>
          <w:szCs w:val="13"/>
          <w:b w:val="1"/>
          <w:bCs w:val="1"/>
          <w:i w:val="1"/>
          <w:iCs w:val="1"/>
          <w:color w:val="auto"/>
        </w:rPr>
        <w:t>We Continue to Incur Significant Costs as a Result of Operating as a Public Company, and Our Management Is Required to Devote Substantial Time to New Compliance Initiatives.</w:t>
      </w:r>
    </w:p>
    <w:p>
      <w:pPr>
        <w:spacing w:after="0" w:line="58" w:lineRule="exact"/>
        <w:rPr>
          <w:sz w:val="20"/>
          <w:szCs w:val="20"/>
          <w:color w:val="auto"/>
        </w:rPr>
      </w:pPr>
    </w:p>
    <w:p>
      <w:pPr>
        <w:ind w:left="680" w:firstLine="399"/>
        <w:spacing w:after="0" w:line="259" w:lineRule="auto"/>
        <w:rPr>
          <w:sz w:val="20"/>
          <w:szCs w:val="20"/>
          <w:color w:val="auto"/>
        </w:rPr>
      </w:pPr>
      <w:r>
        <w:rPr>
          <w:rFonts w:ascii="Arial" w:cs="Arial" w:eastAsia="Arial" w:hAnsi="Arial"/>
          <w:sz w:val="13"/>
          <w:szCs w:val="13"/>
          <w:color w:val="auto"/>
        </w:rPr>
        <w:t>We have only operated as a public company since June 2006 and we will continue to incur significant legal, accounting and other expenses as we comply with the Sarbanes-Oxley Act of 2002, as well as new rules subsequently implemented by the Securities and Exchange Commission and the Nasdaq Global Market’s National Market. These rules impose various new requirements on public companies, including requiring changes in corporate governance practices. Our management and other personnel will continue to devote a substantial amount of time to these new compliance initiatives. Moreover, these rules and regulations will increase our legal and financial compliance costs and will make some activities more time-consuming and costly. For example, we expect these new rules and regulations to make it more difficult and more expensive for us to obtain director and officer liability insurance, and we may be required to accept reduced policy limits and coverage or incur substantial costs to</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79" w:lineRule="auto"/>
        <w:rPr>
          <w:sz w:val="20"/>
          <w:szCs w:val="20"/>
          <w:color w:val="auto"/>
        </w:rPr>
      </w:pPr>
      <w:r>
        <w:rPr>
          <w:rFonts w:ascii="Arial" w:cs="Arial" w:eastAsia="Arial" w:hAnsi="Arial"/>
          <w:sz w:val="13"/>
          <w:szCs w:val="13"/>
          <w:color w:val="auto"/>
        </w:rPr>
        <w:t>maintain the same or similar coverage. These rules and regulations could also make it more difficult for us to attract and retain qualified persons to serve on our board of directors, our board committees or as executive officers.</w:t>
      </w:r>
    </w:p>
    <w:p>
      <w:pPr>
        <w:spacing w:after="0" w:line="58" w:lineRule="exact"/>
        <w:rPr>
          <w:sz w:val="20"/>
          <w:szCs w:val="20"/>
          <w:color w:val="auto"/>
        </w:rPr>
      </w:pPr>
    </w:p>
    <w:p>
      <w:pPr>
        <w:ind w:left="680" w:right="120" w:firstLine="399"/>
        <w:spacing w:after="0" w:line="281" w:lineRule="auto"/>
        <w:rPr>
          <w:sz w:val="20"/>
          <w:szCs w:val="20"/>
          <w:color w:val="auto"/>
        </w:rPr>
      </w:pPr>
      <w:r>
        <w:rPr>
          <w:rFonts w:ascii="Arial" w:cs="Arial" w:eastAsia="Arial" w:hAnsi="Arial"/>
          <w:sz w:val="12"/>
          <w:szCs w:val="12"/>
          <w:color w:val="auto"/>
        </w:rPr>
        <w:t>Section 404 of the Sarbanes-Oxley Act of 2002 requires that we include in our annual report our assessment of the effectiveness of our internal control over financial reporting and our audited financial statements as of the end of each fiscal year. We successfully completed our assessment of our internal control over financial reporting as of December 31, 2009. Our continued compliance with Section 404 will require that we incur substantial expense and expend significant management time on compliance related issues. We currently do not have an internal audit group and we will evaluate the need to hire additional accounting and financial staff with appropriate public company experience and technical accounting knowledge. In future years, if we fail to timely complete this assessment, there may be a loss of public confidence in our internal control, the market price of our stock could decline and we could be subject to regulatory sanctions or investigations by the Nasdaq Stock Market’s National Market, the Securities and Exchange Commission or other regulatory authorities, which would require additional financial and management resources. In addition, any failure to implement required new or improved controls, or difficulties encountered in their implementation, could harm our operating results or cause us to fail to timely meet our regulatory reporting obligations.</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Accounting Principles Could Result in Unfavorable Accounting Charges.</w:t>
      </w:r>
    </w:p>
    <w:p>
      <w:pPr>
        <w:spacing w:after="0" w:line="98" w:lineRule="exact"/>
        <w:rPr>
          <w:sz w:val="20"/>
          <w:szCs w:val="20"/>
          <w:color w:val="auto"/>
        </w:rPr>
      </w:pPr>
    </w:p>
    <w:p>
      <w:pPr>
        <w:ind w:left="680" w:right="80" w:firstLine="399"/>
        <w:spacing w:after="0" w:line="291" w:lineRule="auto"/>
        <w:rPr>
          <w:sz w:val="20"/>
          <w:szCs w:val="20"/>
          <w:color w:val="auto"/>
        </w:rPr>
      </w:pPr>
      <w:r>
        <w:rPr>
          <w:rFonts w:ascii="Arial" w:cs="Arial" w:eastAsia="Arial" w:hAnsi="Arial"/>
          <w:sz w:val="12"/>
          <w:szCs w:val="12"/>
          <w:color w:val="auto"/>
        </w:rPr>
        <w:t>We prepare our consolidated financial statements in conformity with U.S. generally accepted accounting principles. These principles are subject to interpretation by the SEC and various bodies formed to interpret and create appropriate accounting principles. A change in these principles could have a significant effect on our reported results and may even retroactively affect previously reported results. Our accounting principles that recently have been or may be affected by changes in accounting principles are: (i) accounting for stock-based compensation; (ii) accounting for income taxes; (iii) accounting for business combinations and goodwill; and (iv) accounting for foreign currency translation.</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or Interpretations of, Tax Rules and Regulations, Could Adversely Affect our Effective Tax Rates.</w:t>
      </w:r>
    </w:p>
    <w:p>
      <w:pPr>
        <w:spacing w:after="0" w:line="98"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Unanticipated changes in our tax rates could affect our future results of operations. Our future effective tax rates could be unfavorably affected by changes in tax laws or the interpretation of tax laws or by changes in the valuation of our deferred tax assets and liabilities. In addition, we are subject to the continued examination of our income tax returns by the IRS and other domestic tax authorities. We regularly assess the likelihood of outcomes resulting from these examinations, if any, to determine the adequacy of our provision for income taxes. We believe such estimates to be reasonable, but there can be no assurance that the final determination of any of these examinations will not have an adverse effect on our operating results and financial position.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Stock Price May Continue to Experience Significant Fluctuations.</w:t>
      </w:r>
    </w:p>
    <w:p>
      <w:pPr>
        <w:spacing w:after="0" w:line="98" w:lineRule="exact"/>
        <w:rPr>
          <w:sz w:val="20"/>
          <w:szCs w:val="20"/>
          <w:color w:val="auto"/>
        </w:rPr>
      </w:pPr>
    </w:p>
    <w:p>
      <w:pPr>
        <w:ind w:left="680" w:right="40" w:firstLine="399"/>
        <w:spacing w:after="0" w:line="259" w:lineRule="auto"/>
        <w:rPr>
          <w:sz w:val="20"/>
          <w:szCs w:val="20"/>
          <w:color w:val="auto"/>
        </w:rPr>
      </w:pPr>
      <w:r>
        <w:rPr>
          <w:rFonts w:ascii="Arial" w:cs="Arial" w:eastAsia="Arial" w:hAnsi="Arial"/>
          <w:sz w:val="13"/>
          <w:szCs w:val="13"/>
          <w:color w:val="auto"/>
        </w:rPr>
        <w:t>Our stock price, like that of other technology companies, continues to fluctuate greatly. Our stock price can be affected by many factors such as quarterly increases or decreases in our earnings, speculation in the investment community about our financial condition or results of operations and changes in revenue or earnings estimates, announcement of new services, technological developments, alliances, or acquisitions by us. Additionally, the price of our common stock may continue to fluctuate greatly in the future due to factors that are non-company specific, such as the decline in the United States and/or international economies, acts of terror against the United States, war or due to a variety of company specific factors, including quarter to quarter variations in our operating results, shortfalls in revenue, gross margin or earnings from levels projected by securities analysts and the other factors discussed in these risk factors.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Reports or Publish Unfavorable Research About Our Business, Our Stock Price and Trading Volume Could Decline.</w:t>
      </w:r>
    </w:p>
    <w:p>
      <w:pPr>
        <w:spacing w:after="0" w:line="121"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The trading market for our common stock will depend in part on the research and reports that securities or industry analysts publish about us or our business. We currently have research coverage by securities and industry analysts. If one or more of the analysts who covers us downgrades our stock, our stock price would likely decline. If one or more of these analysts ceases coverage of our company or fails to regularly publish reports on us, interest in the purchase of our stock could decrease, which could cause our stock price or trading volume to decline.</w:t>
      </w:r>
    </w:p>
    <w:p>
      <w:pPr>
        <w:spacing w:after="0" w:line="148" w:lineRule="exact"/>
        <w:rPr>
          <w:sz w:val="20"/>
          <w:szCs w:val="20"/>
          <w:color w:val="auto"/>
        </w:rPr>
      </w:pPr>
    </w:p>
    <w:p>
      <w:pPr>
        <w:ind w:left="880" w:right="200"/>
        <w:spacing w:after="0" w:line="279" w:lineRule="auto"/>
        <w:rPr>
          <w:sz w:val="20"/>
          <w:szCs w:val="20"/>
          <w:color w:val="auto"/>
        </w:rPr>
      </w:pPr>
      <w:r>
        <w:rPr>
          <w:rFonts w:ascii="Arial" w:cs="Arial" w:eastAsia="Arial" w:hAnsi="Arial"/>
          <w:sz w:val="13"/>
          <w:szCs w:val="13"/>
          <w:b w:val="1"/>
          <w:bCs w:val="1"/>
          <w:i w:val="1"/>
          <w:iCs w:val="1"/>
          <w:color w:val="auto"/>
        </w:rPr>
        <w:t>Delaware Law and Provisions in Our Amended and Restated Certificate of Incorporation and Bylaws Could Make a Merger, Tender Offer or Proxy Contest Difficult, Therefore Depressing the Trading Price of Our Common Stock.</w:t>
      </w:r>
    </w:p>
    <w:p>
      <w:pPr>
        <w:spacing w:after="0" w:line="5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bylaws may discourage, delay or prevent a change in our management or control over us that stockholders may consider favorable. Our amended and restated certificate of incorporation and bylaws:</w:t>
      </w:r>
    </w:p>
    <w:p>
      <w:pPr>
        <w:spacing w:after="0" w:line="69" w:lineRule="exact"/>
        <w:rPr>
          <w:sz w:val="20"/>
          <w:szCs w:val="20"/>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authorize the issuance of “blank check” preferred stock that could be issued by our board of directors to thwart a takeover attempt;</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prohibit cumulative voting in the election of directors, which would otherwise allow holders of less than a majority of the stock to elect some directors;</w:t>
      </w:r>
    </w:p>
    <w:p>
      <w:pPr>
        <w:spacing w:after="0" w:line="87" w:lineRule="exact"/>
        <w:rPr>
          <w:rFonts w:ascii="Arial" w:cs="Arial" w:eastAsia="Arial" w:hAnsi="Arial"/>
          <w:sz w:val="13"/>
          <w:szCs w:val="13"/>
          <w:color w:val="auto"/>
        </w:rPr>
      </w:pPr>
    </w:p>
    <w:p>
      <w:pPr>
        <w:ind w:left="1300" w:right="380" w:hanging="207"/>
        <w:spacing w:after="0" w:line="279"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establish a classified board of directors, as a result of which the successors to the directors whose terms have expired will be elected to serve from the time of election and qualification until the third annual meeting following election;</w:t>
      </w:r>
    </w:p>
    <w:p>
      <w:pPr>
        <w:spacing w:after="0" w:line="47" w:lineRule="exact"/>
        <w:rPr>
          <w:rFonts w:ascii="Arial" w:cs="Arial" w:eastAsia="Arial" w:hAnsi="Arial"/>
          <w:sz w:val="13"/>
          <w:szCs w:val="13"/>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require that directors only be removed from office for cause;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provide that vacancies on the board of directors, including newly-created directorships, may be filled only by a majority vote of directors then in office;</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limit who may call special meetings of stockholders;</w:t>
      </w:r>
    </w:p>
    <w:p>
      <w:pPr>
        <w:spacing w:after="0" w:line="87" w:lineRule="exact"/>
        <w:rPr>
          <w:rFonts w:ascii="Arial" w:cs="Arial" w:eastAsia="Arial" w:hAnsi="Arial"/>
          <w:sz w:val="13"/>
          <w:szCs w:val="13"/>
          <w:color w:val="auto"/>
        </w:rPr>
      </w:pPr>
    </w:p>
    <w:p>
      <w:pPr>
        <w:ind w:left="1300" w:hanging="207"/>
        <w:spacing w:after="0"/>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prohibit stockholder action by written consent, requiring all actions to be taken at a meeting of the stockholders; and</w:t>
      </w:r>
    </w:p>
    <w:p>
      <w:pPr>
        <w:spacing w:after="0" w:line="87" w:lineRule="exact"/>
        <w:rPr>
          <w:rFonts w:ascii="Arial" w:cs="Arial" w:eastAsia="Arial" w:hAnsi="Arial"/>
          <w:sz w:val="13"/>
          <w:szCs w:val="13"/>
          <w:color w:val="auto"/>
        </w:rPr>
      </w:pPr>
    </w:p>
    <w:p>
      <w:pPr>
        <w:ind w:left="1300" w:right="500" w:hanging="207"/>
        <w:spacing w:after="0" w:line="279" w:lineRule="auto"/>
        <w:tabs>
          <w:tab w:leader="none" w:pos="13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establish advance notice requirements for nominating candidates for election to the board of directors or for proposing matters that can be acted upon by stockholders at stockholder meetings.</w:t>
      </w:r>
    </w:p>
    <w:p>
      <w:pPr>
        <w:spacing w:after="0" w:line="13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2" w:lineRule="exact"/>
        <w:rPr>
          <w:sz w:val="20"/>
          <w:szCs w:val="20"/>
          <w:color w:val="auto"/>
        </w:rPr>
      </w:pPr>
    </w:p>
    <w:p>
      <w:pPr>
        <w:ind w:left="680" w:right="200" w:firstLine="399"/>
        <w:spacing w:after="0" w:line="260" w:lineRule="auto"/>
        <w:rPr>
          <w:sz w:val="20"/>
          <w:szCs w:val="20"/>
          <w:color w:val="auto"/>
        </w:rPr>
      </w:pPr>
      <w:r>
        <w:rPr>
          <w:rFonts w:ascii="Arial" w:cs="Arial" w:eastAsia="Arial" w:hAnsi="Arial"/>
          <w:sz w:val="13"/>
          <w:szCs w:val="13"/>
          <w:color w:val="auto"/>
        </w:rPr>
        <w:t>We lease approximately 26,150 square feet of office space in Bridgewater, New Jersey, which lease expires in 2012. In addition to our principal office space in Bridgewater, New Jersey, we lease facilities and offices in Bethlehem, Pennsylvania, Fairpoint, New York, Bellevue, Washington and Bangalore, India. Our lease for our 61,000 square foot facility in Bethlehem, Pennsylvania expires in 2019 and our lease for our 47,462 square foot facility in Bangalore, Indiana expires in 2014. Lease terms for our other locations expire in 2011 and 2012. We believe that the facilities we now lease, including our new Bethlehem facility, are sufficient to meet our needs through at least the next 12 months. However, we may require additional office space after that time, and we are currently evaluating expansion possibilities.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2"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On September 5, 2008, September 18, 2008, and September 23, 2008, three complaints were filed against us and certain of our officers and directors in the United States District Court for the District of New Jersey purportedly on behalf of a class of shareholders who purchased our common stock between February 4, 2008 and June 9, 2008 (the “Securities Law Actions”). The complaints were consolidated and an amended complaint was filed by the plaintiffs on March 13, 2009. We filed a Motion to Dismiss all of the claims under the complaint on April 24, 2009. The Motion to Dismiss has been fully briefed by the parties and we are awaiting the Court’s decision. The plaintiffs in each complaint assert claims under Sections 10(b) and 20(a) of the Securities Exchange Act of 1934. They allege that certain of our public disclosures regarding its financial prospects during the proposed class period were false and/or misleading. The principal allegation set forth in each complaint is that we issued misleading statements concerning our business prospects relating to the activation of Apple Inc.’s iPhone product. The plaintiffs seek compensatory damages, costs, fees, and other relief within the Court’s discretion. We believe that the claims described above are without merit, and we intend to defend against all of the claims vigorously. Due to the inherent uncertainties of litigation, we cannot predict the outcome of the actions at this time, and we can give no assurance that these claims will not have a material adverse effect on our financial position or results of operations.</w:t>
      </w:r>
    </w:p>
    <w:p>
      <w:pPr>
        <w:spacing w:after="0" w:line="59"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 October 23, 2008 and November 3, 2008, complaints were filed in the state court of New Jersey and the United States District Court for the District of New Jersey against certain of our officers and directors, purportedly derivatively on our behalf (the “Derivative Suits”). The Complaints in the Derivative Suits assert that the named officers and directors breached their fiduciary duties and other obligations in connection with the disclosures that also are the subject of the Securities Law Actions described above. We are also named as a nominal defendant in the Derivative Suits, although the lawsuits are derivative in nature and purportedly asserted on our behalf. The plaintiffs seek compensatory damages, costs, fees, and other relief within the Court’s discretion. We are in the process of evaluating the claims in the Derivative Suits. The plaintiffs in the Derivative Suits have agreed to stay their claims pending the court’s decision in the Defendant’s Motion to Dismiss in the Securities Laws Actions. Due to the inherent uncertainties of litigation, we cannot predict the outcome of the Derivative Suits at this time, and we can give no assurance that the claims in these complaints will not have a material adverse effect on our financial position or results of operations.</w:t>
      </w:r>
    </w:p>
    <w:p>
      <w:pPr>
        <w:spacing w:after="0" w:line="57" w:lineRule="exact"/>
        <w:rPr>
          <w:sz w:val="20"/>
          <w:szCs w:val="20"/>
          <w:color w:val="auto"/>
        </w:rPr>
      </w:pPr>
    </w:p>
    <w:p>
      <w:pPr>
        <w:ind w:left="680" w:right="180" w:firstLine="399"/>
        <w:spacing w:after="0" w:line="279" w:lineRule="auto"/>
        <w:rPr>
          <w:sz w:val="20"/>
          <w:szCs w:val="20"/>
          <w:color w:val="auto"/>
        </w:rPr>
      </w:pPr>
      <w:r>
        <w:rPr>
          <w:rFonts w:ascii="Arial" w:cs="Arial" w:eastAsia="Arial" w:hAnsi="Arial"/>
          <w:sz w:val="13"/>
          <w:szCs w:val="13"/>
          <w:color w:val="auto"/>
        </w:rPr>
        <w:t>Except for the above claims, we are not currently subject to any legal proceedings that could have a material adverse effect on our operations; however, we may from time to time become a party to various legal proceedings arising in the ordinary course of our business.</w:t>
      </w:r>
    </w:p>
    <w:p>
      <w:pPr>
        <w:spacing w:after="0" w:line="133"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[RESERVED]</w:t>
      </w:r>
    </w:p>
    <w:p>
      <w:pPr>
        <w:spacing w:after="0" w:line="30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5440"/>
        <w:spacing w:after="0"/>
        <w:rPr>
          <w:sz w:val="20"/>
          <w:szCs w:val="20"/>
          <w:color w:val="auto"/>
        </w:rPr>
      </w:pPr>
      <w:r>
        <w:rPr>
          <w:rFonts w:ascii="Arial" w:cs="Arial" w:eastAsia="Arial" w:hAnsi="Arial"/>
          <w:sz w:val="13"/>
          <w:szCs w:val="13"/>
          <w:b w:val="1"/>
          <w:bCs w:val="1"/>
          <w:color w:val="auto"/>
        </w:rPr>
        <w:t>PART II</w:t>
      </w:r>
    </w:p>
    <w:p>
      <w:pPr>
        <w:spacing w:after="0" w:line="177"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i w:val="1"/>
          <w:iCs w:val="1"/>
          <w:color w:val="auto"/>
        </w:rPr>
        <w:t>Market Information</w:t>
      </w:r>
    </w:p>
    <w:p>
      <w:pPr>
        <w:spacing w:after="0" w:line="102"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Our common stock is traded over-the-counter and is listed on the NASDAQ National Market under the symbol “SNCR.” We began trading on the NASDAQ National Market on June 19, 2006. The following table sets forth, for each period during the past two years, the high and low sale prices as reported by NASDAQ.</w:t>
      </w:r>
    </w:p>
    <w:p>
      <w:pPr>
        <w:spacing w:after="0" w:line="60" w:lineRule="exact"/>
        <w:rPr>
          <w:sz w:val="20"/>
          <w:szCs w:val="20"/>
          <w:color w:val="auto"/>
        </w:rPr>
      </w:pPr>
    </w:p>
    <w:tbl>
      <w:tblPr>
        <w:tblLayout w:type="fixed"/>
        <w:tblInd w:w="680" w:type="dxa"/>
        <w:tblCellMar>
          <w:top w:w="0" w:type="dxa"/>
          <w:left w:w="0" w:type="dxa"/>
          <w:bottom w:w="0" w:type="dxa"/>
          <w:right w:w="0" w:type="dxa"/>
        </w:tblCellMar>
      </w:tblPr>
      <w:tr>
        <w:trPr>
          <w:trHeight w:val="136"/>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2009</w:t>
            </w:r>
          </w:p>
        </w:tc>
        <w:tc>
          <w:tcPr>
            <w:tcW w:w="3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ind w:right="77"/>
              <w:spacing w:after="0"/>
              <w:rPr>
                <w:sz w:val="20"/>
                <w:szCs w:val="20"/>
                <w:color w:val="auto"/>
              </w:rPr>
            </w:pPr>
            <w:r>
              <w:rPr>
                <w:rFonts w:ascii="Arial" w:cs="Arial" w:eastAsia="Arial" w:hAnsi="Arial"/>
                <w:sz w:val="11"/>
                <w:szCs w:val="11"/>
                <w:b w:val="1"/>
                <w:bCs w:val="1"/>
                <w:color w:val="auto"/>
                <w:w w:val="97"/>
              </w:rPr>
              <w:t>High</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ind w:right="77"/>
              <w:spacing w:after="0"/>
              <w:rPr>
                <w:sz w:val="20"/>
                <w:szCs w:val="20"/>
                <w:color w:val="auto"/>
              </w:rPr>
            </w:pPr>
            <w:r>
              <w:rPr>
                <w:rFonts w:ascii="Arial" w:cs="Arial" w:eastAsia="Arial" w:hAnsi="Arial"/>
                <w:sz w:val="11"/>
                <w:szCs w:val="11"/>
                <w:b w:val="1"/>
                <w:bCs w:val="1"/>
                <w:color w:val="auto"/>
                <w:w w:val="99"/>
              </w:rPr>
              <w:t>Low</w:t>
            </w:r>
          </w:p>
        </w:tc>
      </w:tr>
      <w:tr>
        <w:trPr>
          <w:trHeight w:val="20"/>
        </w:trPr>
        <w:tc>
          <w:tcPr>
            <w:tcW w:w="1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79"/>
        </w:trPr>
        <w:tc>
          <w:tcPr>
            <w:tcW w:w="46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13.45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7.92</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14.45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10.65</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13.91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10.02</w:t>
            </w:r>
          </w:p>
        </w:tc>
      </w:tr>
      <w:tr>
        <w:trPr>
          <w:trHeight w:val="165"/>
        </w:trPr>
        <w:tc>
          <w:tcPr>
            <w:tcW w:w="46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16.07</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11.30</w:t>
            </w:r>
          </w:p>
        </w:tc>
      </w:tr>
      <w:tr>
        <w:trPr>
          <w:trHeight w:val="298"/>
        </w:trPr>
        <w:tc>
          <w:tcPr>
            <w:tcW w:w="4660" w:type="dxa"/>
            <w:vAlign w:val="bottom"/>
            <w:gridSpan w:val="2"/>
          </w:tcPr>
          <w:p>
            <w:pPr>
              <w:spacing w:after="0"/>
              <w:rPr>
                <w:sz w:val="20"/>
                <w:szCs w:val="20"/>
                <w:color w:val="auto"/>
              </w:rPr>
            </w:pPr>
            <w:r>
              <w:rPr>
                <w:rFonts w:ascii="Arial" w:cs="Arial" w:eastAsia="Arial" w:hAnsi="Arial"/>
                <w:sz w:val="11"/>
                <w:szCs w:val="11"/>
                <w:b w:val="1"/>
                <w:bCs w:val="1"/>
                <w:color w:val="auto"/>
              </w:rPr>
              <w:t>2008</w:t>
            </w:r>
          </w:p>
        </w:tc>
        <w:tc>
          <w:tcPr>
            <w:tcW w:w="3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7"/>
              <w:spacing w:after="0"/>
              <w:rPr>
                <w:sz w:val="20"/>
                <w:szCs w:val="20"/>
                <w:color w:val="auto"/>
              </w:rPr>
            </w:pPr>
            <w:r>
              <w:rPr>
                <w:rFonts w:ascii="Arial" w:cs="Arial" w:eastAsia="Arial" w:hAnsi="Arial"/>
                <w:sz w:val="11"/>
                <w:szCs w:val="11"/>
                <w:b w:val="1"/>
                <w:bCs w:val="1"/>
                <w:color w:val="auto"/>
                <w:w w:val="97"/>
              </w:rPr>
              <w:t>High</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jc w:val="right"/>
              <w:ind w:right="77"/>
              <w:spacing w:after="0"/>
              <w:rPr>
                <w:sz w:val="20"/>
                <w:szCs w:val="20"/>
                <w:color w:val="auto"/>
              </w:rPr>
            </w:pPr>
            <w:r>
              <w:rPr>
                <w:rFonts w:ascii="Arial" w:cs="Arial" w:eastAsia="Arial" w:hAnsi="Arial"/>
                <w:sz w:val="11"/>
                <w:szCs w:val="11"/>
                <w:b w:val="1"/>
                <w:bCs w:val="1"/>
                <w:color w:val="auto"/>
                <w:w w:val="99"/>
              </w:rPr>
              <w:t>Low</w:t>
            </w:r>
          </w:p>
        </w:tc>
      </w:tr>
      <w:tr>
        <w:trPr>
          <w:trHeight w:val="20"/>
        </w:trPr>
        <w:tc>
          <w:tcPr>
            <w:tcW w:w="10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179"/>
        </w:trPr>
        <w:tc>
          <w:tcPr>
            <w:tcW w:w="4660" w:type="dxa"/>
            <w:vAlign w:val="bottom"/>
            <w:gridSpan w:val="2"/>
          </w:tcPr>
          <w:p>
            <w:pPr>
              <w:spacing w:after="0"/>
              <w:rPr>
                <w:sz w:val="20"/>
                <w:szCs w:val="20"/>
                <w:color w:val="auto"/>
              </w:rPr>
            </w:pPr>
            <w:r>
              <w:rPr>
                <w:rFonts w:ascii="Arial" w:cs="Arial" w:eastAsia="Arial" w:hAnsi="Arial"/>
                <w:sz w:val="13"/>
                <w:szCs w:val="13"/>
                <w:color w:val="auto"/>
              </w:rPr>
              <w:t>First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37.75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15.15</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Second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23.54</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8.93</w:t>
            </w:r>
          </w:p>
        </w:tc>
      </w:tr>
      <w:tr>
        <w:trPr>
          <w:trHeight w:val="158"/>
        </w:trPr>
        <w:tc>
          <w:tcPr>
            <w:tcW w:w="4660" w:type="dxa"/>
            <w:vAlign w:val="bottom"/>
            <w:gridSpan w:val="2"/>
          </w:tcPr>
          <w:p>
            <w:pPr>
              <w:spacing w:after="0"/>
              <w:rPr>
                <w:sz w:val="20"/>
                <w:szCs w:val="20"/>
                <w:color w:val="auto"/>
              </w:rPr>
            </w:pPr>
            <w:r>
              <w:rPr>
                <w:rFonts w:ascii="Arial" w:cs="Arial" w:eastAsia="Arial" w:hAnsi="Arial"/>
                <w:sz w:val="13"/>
                <w:szCs w:val="13"/>
                <w:color w:val="auto"/>
              </w:rPr>
              <w:t>Third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13.98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8.18</w:t>
            </w:r>
          </w:p>
        </w:tc>
      </w:tr>
      <w:tr>
        <w:trPr>
          <w:trHeight w:val="165"/>
        </w:trPr>
        <w:tc>
          <w:tcPr>
            <w:tcW w:w="4660" w:type="dxa"/>
            <w:vAlign w:val="bottom"/>
            <w:gridSpan w:val="2"/>
          </w:tcPr>
          <w:p>
            <w:pPr>
              <w:spacing w:after="0"/>
              <w:rPr>
                <w:sz w:val="20"/>
                <w:szCs w:val="20"/>
                <w:color w:val="auto"/>
              </w:rPr>
            </w:pPr>
            <w:r>
              <w:rPr>
                <w:rFonts w:ascii="Arial" w:cs="Arial" w:eastAsia="Arial" w:hAnsi="Arial"/>
                <w:sz w:val="13"/>
                <w:szCs w:val="13"/>
                <w:color w:val="auto"/>
              </w:rPr>
              <w:t>Fourth Quarter</w:t>
            </w:r>
          </w:p>
        </w:tc>
        <w:tc>
          <w:tcPr>
            <w:tcW w:w="394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10.95</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5.52</w:t>
            </w:r>
          </w:p>
        </w:tc>
      </w:tr>
    </w:tbl>
    <w:p>
      <w:pPr>
        <w:spacing w:after="0" w:line="82"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As of February 16, 2010, there were approximately 90 holders of record of our common stock. On February 16, 2010, the last reported sale price of our common stock as reported on the NASDAQ National Market was $16.85 per share.</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2" w:lineRule="exact"/>
        <w:rPr>
          <w:sz w:val="20"/>
          <w:szCs w:val="20"/>
          <w:color w:val="auto"/>
        </w:rPr>
      </w:pPr>
    </w:p>
    <w:p>
      <w:pPr>
        <w:jc w:val="both"/>
        <w:ind w:left="680" w:right="60" w:firstLine="399"/>
        <w:spacing w:after="0" w:line="337" w:lineRule="auto"/>
        <w:rPr>
          <w:sz w:val="20"/>
          <w:szCs w:val="20"/>
          <w:color w:val="auto"/>
        </w:rPr>
      </w:pPr>
      <w:r>
        <w:rPr>
          <w:rFonts w:ascii="Arial" w:cs="Arial" w:eastAsia="Arial" w:hAnsi="Arial"/>
          <w:sz w:val="11"/>
          <w:szCs w:val="11"/>
          <w:color w:val="auto"/>
        </w:rPr>
        <w:t>We have never declared or paid cash dividends on our common or preferred equity. We currently intend to retain all available funds and any future earnings for use in the operation of our business and do not anticipate paying any cash dividends in the foreseeable future. Any future determination to declare cash dividends will be made at the discretion of our board of directors and will depend on our financial condition, results of operations, capital requirements, general business conditions and other factors that our board of directors may deem relevant.</w:t>
      </w:r>
    </w:p>
    <w:p>
      <w:pPr>
        <w:spacing w:after="0" w:line="10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Public Offering of Common Stock</w:t>
      </w:r>
    </w:p>
    <w:p>
      <w:pPr>
        <w:spacing w:after="0" w:line="102"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On June 14, 2006, our Registration Statement on Form S-1 (File No. 333-132080) relating to the IPO was declared effective by the SEC. The managing underwriters of our IPO were Goldman, Sachs &amp; Co., Deutsche Bank Securities Inc. and Thomas Weisel Partners LLC. On June 20, 2006, we closed the sale of 6,532,107 shares of common stock in our IPO for net proceeds to us of $45.7 million. In July 2006, we sold an additional 959,908 shares of common stock upon the exercise of an over-allotment option granted to the underwriters for net proceeds to us of $7.1 million. No offering expenses were paid directly or indirectly to any of our directors or officers or persons owning ten percent or more of any class of our equity securities or to any other affiliates. We have invested our net proceeds of the offering in money market funds pending their use to fund our operations and expansion. Part of our current growth strategy is to further penetrate the North American markets and expand our customer base internationally. We anticipate that a portion of the proceeds of the offering will enable us to finance this expansion. In addition, we could use a portion of the proceeds of our IPO to make strategic investments in, or pursue acquisitions of, other businesses, products or technologies.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provides information as of December 31, 2009 with respect to the shares of our common stock that may be issuable under our existing equity compensation</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plans.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information is as of December 31, 2009:</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(a)</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85"/>
              </w:rPr>
              <w:t>(b)</w:t>
            </w:r>
          </w:p>
        </w:tc>
        <w:tc>
          <w:tcPr>
            <w:tcW w:w="4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8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8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Number of Securities</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7"/>
              </w:rPr>
              <w:t>Remaining Available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Number of Securities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6"/>
              </w:rPr>
              <w:t>for Future Issuance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to be Issued Upon</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6"/>
              </w:rPr>
              <w:t>Weighted-Average</w:t>
            </w: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0"/>
              </w:rPr>
              <w:t>Under Equity</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4800" w:type="dxa"/>
            <w:vAlign w:val="bottom"/>
          </w:tcPr>
          <w:p>
            <w:pPr>
              <w:spacing w:after="0"/>
              <w:rPr>
                <w:sz w:val="9"/>
                <w:szCs w:val="9"/>
                <w:color w:val="auto"/>
              </w:rPr>
            </w:pPr>
          </w:p>
        </w:tc>
        <w:tc>
          <w:tcPr>
            <w:tcW w:w="160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5"/>
              </w:rPr>
              <w:t>Exercise of</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jc w:val="center"/>
              <w:ind w:right="122"/>
              <w:spacing w:after="0" w:line="109" w:lineRule="exact"/>
              <w:rPr>
                <w:sz w:val="20"/>
                <w:szCs w:val="20"/>
                <w:color w:val="auto"/>
              </w:rPr>
            </w:pPr>
            <w:r>
              <w:rPr>
                <w:rFonts w:ascii="Arial" w:cs="Arial" w:eastAsia="Arial" w:hAnsi="Arial"/>
                <w:sz w:val="11"/>
                <w:szCs w:val="11"/>
                <w:b w:val="1"/>
                <w:bCs w:val="1"/>
                <w:color w:val="auto"/>
                <w:w w:val="85"/>
              </w:rPr>
              <w:t>Exercise Price of</w:t>
            </w:r>
          </w:p>
        </w:tc>
        <w:tc>
          <w:tcPr>
            <w:tcW w:w="400" w:type="dxa"/>
            <w:vAlign w:val="bottom"/>
          </w:tcPr>
          <w:p>
            <w:pPr>
              <w:spacing w:after="0"/>
              <w:rPr>
                <w:sz w:val="9"/>
                <w:szCs w:val="9"/>
                <w:color w:val="auto"/>
              </w:rPr>
            </w:pPr>
          </w:p>
        </w:tc>
        <w:tc>
          <w:tcPr>
            <w:tcW w:w="188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84"/>
              </w:rPr>
              <w:t>Compensation Plans</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800" w:type="dxa"/>
            <w:vAlign w:val="bottom"/>
            <w:vMerge w:val="restart"/>
          </w:tcPr>
          <w:p>
            <w:pPr>
              <w:ind w:left="680"/>
              <w:spacing w:after="0"/>
              <w:rPr>
                <w:sz w:val="20"/>
                <w:szCs w:val="20"/>
                <w:color w:val="auto"/>
              </w:rPr>
            </w:pPr>
            <w:r>
              <w:rPr>
                <w:rFonts w:ascii="Arial" w:cs="Arial" w:eastAsia="Arial" w:hAnsi="Arial"/>
                <w:sz w:val="11"/>
                <w:szCs w:val="11"/>
                <w:b w:val="1"/>
                <w:bCs w:val="1"/>
                <w:u w:val="single" w:color="auto"/>
                <w:color w:val="auto"/>
              </w:rPr>
              <w:t>P</w:t>
            </w:r>
            <w:r>
              <w:rPr>
                <w:rFonts w:ascii="Arial" w:cs="Arial" w:eastAsia="Arial" w:hAnsi="Arial"/>
                <w:sz w:val="11"/>
                <w:szCs w:val="11"/>
                <w:b w:val="1"/>
                <w:bCs w:val="1"/>
                <w:color w:val="auto"/>
              </w:rPr>
              <w:t>lan Category</w:t>
            </w:r>
          </w:p>
        </w:tc>
        <w:tc>
          <w:tcPr>
            <w:tcW w:w="160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Outstanding Options</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jc w:val="center"/>
              <w:ind w:right="122"/>
              <w:spacing w:after="0" w:line="119" w:lineRule="exact"/>
              <w:rPr>
                <w:sz w:val="20"/>
                <w:szCs w:val="20"/>
                <w:color w:val="auto"/>
              </w:rPr>
            </w:pPr>
            <w:r>
              <w:rPr>
                <w:rFonts w:ascii="Arial" w:cs="Arial" w:eastAsia="Arial" w:hAnsi="Arial"/>
                <w:sz w:val="11"/>
                <w:szCs w:val="11"/>
                <w:b w:val="1"/>
                <w:bCs w:val="1"/>
                <w:color w:val="auto"/>
                <w:w w:val="86"/>
              </w:rPr>
              <w:t>Outstanding</w:t>
            </w:r>
          </w:p>
        </w:tc>
        <w:tc>
          <w:tcPr>
            <w:tcW w:w="400" w:type="dxa"/>
            <w:vAlign w:val="bottom"/>
          </w:tcPr>
          <w:p>
            <w:pPr>
              <w:spacing w:after="0"/>
              <w:rPr>
                <w:sz w:val="10"/>
                <w:szCs w:val="10"/>
                <w:color w:val="auto"/>
              </w:rPr>
            </w:pPr>
          </w:p>
        </w:tc>
        <w:tc>
          <w:tcPr>
            <w:tcW w:w="1880" w:type="dxa"/>
            <w:vAlign w:val="bottom"/>
          </w:tcPr>
          <w:p>
            <w:pPr>
              <w:jc w:val="center"/>
              <w:spacing w:after="0" w:line="119" w:lineRule="exact"/>
              <w:rPr>
                <w:sz w:val="20"/>
                <w:szCs w:val="20"/>
                <w:color w:val="auto"/>
              </w:rPr>
            </w:pPr>
            <w:r>
              <w:rPr>
                <w:rFonts w:ascii="Arial" w:cs="Arial" w:eastAsia="Arial" w:hAnsi="Arial"/>
                <w:sz w:val="11"/>
                <w:szCs w:val="11"/>
                <w:b w:val="1"/>
                <w:bCs w:val="1"/>
                <w:color w:val="auto"/>
                <w:w w:val="85"/>
              </w:rPr>
              <w:t>(Excluding Securities</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800" w:type="dxa"/>
            <w:vAlign w:val="bottom"/>
            <w:vMerge w:val="continue"/>
          </w:tcPr>
          <w:p>
            <w:pPr>
              <w:spacing w:after="0"/>
              <w:rPr>
                <w:sz w:val="10"/>
                <w:szCs w:val="1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and Rights</w:t>
            </w: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jc w:val="center"/>
              <w:ind w:right="122"/>
              <w:spacing w:after="0"/>
              <w:rPr>
                <w:sz w:val="20"/>
                <w:szCs w:val="20"/>
                <w:color w:val="auto"/>
              </w:rPr>
            </w:pPr>
            <w:r>
              <w:rPr>
                <w:rFonts w:ascii="Arial" w:cs="Arial" w:eastAsia="Arial" w:hAnsi="Arial"/>
                <w:sz w:val="11"/>
                <w:szCs w:val="11"/>
                <w:b w:val="1"/>
                <w:bCs w:val="1"/>
                <w:color w:val="auto"/>
                <w:w w:val="86"/>
              </w:rPr>
              <w:t>Options and Rights</w:t>
            </w:r>
          </w:p>
        </w:tc>
        <w:tc>
          <w:tcPr>
            <w:tcW w:w="400" w:type="dxa"/>
            <w:vAlign w:val="bottom"/>
          </w:tcPr>
          <w:p>
            <w:pPr>
              <w:spacing w:after="0"/>
              <w:rPr>
                <w:sz w:val="10"/>
                <w:szCs w:val="1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Reflected in Column (a))</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4800" w:type="dxa"/>
            <w:vAlign w:val="bottom"/>
          </w:tcPr>
          <w:p>
            <w:pPr>
              <w:ind w:left="680"/>
              <w:spacing w:after="0"/>
              <w:rPr>
                <w:sz w:val="20"/>
                <w:szCs w:val="20"/>
                <w:color w:val="auto"/>
              </w:rPr>
            </w:pPr>
            <w:r>
              <w:rPr>
                <w:rFonts w:ascii="Arial" w:cs="Arial" w:eastAsia="Arial" w:hAnsi="Arial"/>
                <w:sz w:val="13"/>
                <w:szCs w:val="13"/>
                <w:color w:val="auto"/>
              </w:rPr>
              <w:t>Equity compensation plans approved by security holders</w:t>
            </w:r>
          </w:p>
        </w:tc>
        <w:tc>
          <w:tcPr>
            <w:tcW w:w="1600" w:type="dxa"/>
            <w:vAlign w:val="bottom"/>
          </w:tcPr>
          <w:p>
            <w:pPr>
              <w:jc w:val="right"/>
              <w:spacing w:after="0"/>
              <w:rPr>
                <w:sz w:val="20"/>
                <w:szCs w:val="20"/>
                <w:color w:val="auto"/>
              </w:rPr>
            </w:pPr>
            <w:r>
              <w:rPr>
                <w:rFonts w:ascii="Arial" w:cs="Arial" w:eastAsia="Arial" w:hAnsi="Arial"/>
                <w:sz w:val="13"/>
                <w:szCs w:val="13"/>
                <w:color w:val="auto"/>
              </w:rPr>
              <w:t>4,622,619</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13.44</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309,971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800" w:type="dxa"/>
            <w:vAlign w:val="bottom"/>
          </w:tcPr>
          <w:p>
            <w:pPr>
              <w:ind w:left="680"/>
              <w:spacing w:after="0"/>
              <w:rPr>
                <w:sz w:val="20"/>
                <w:szCs w:val="20"/>
                <w:color w:val="auto"/>
              </w:rPr>
            </w:pPr>
            <w:r>
              <w:rPr>
                <w:rFonts w:ascii="Arial" w:cs="Arial" w:eastAsia="Arial" w:hAnsi="Arial"/>
                <w:sz w:val="13"/>
                <w:szCs w:val="13"/>
                <w:color w:val="auto"/>
              </w:rPr>
              <w:t>Equity compensation plans not approved by security holders</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00" w:type="dxa"/>
            <w:vAlign w:val="bottom"/>
          </w:tcPr>
          <w:p>
            <w:pPr>
              <w:ind w:left="820"/>
              <w:spacing w:after="0"/>
              <w:rPr>
                <w:sz w:val="20"/>
                <w:szCs w:val="20"/>
                <w:color w:val="auto"/>
              </w:rPr>
            </w:pPr>
            <w:r>
              <w:rPr>
                <w:rFonts w:ascii="Arial" w:cs="Arial" w:eastAsia="Arial" w:hAnsi="Arial"/>
                <w:sz w:val="13"/>
                <w:szCs w:val="13"/>
                <w:color w:val="auto"/>
              </w:rPr>
              <w:t>Totals</w:t>
            </w:r>
          </w:p>
        </w:tc>
        <w:tc>
          <w:tcPr>
            <w:tcW w:w="1600" w:type="dxa"/>
            <w:vAlign w:val="bottom"/>
          </w:tcPr>
          <w:p>
            <w:pPr>
              <w:jc w:val="right"/>
              <w:spacing w:after="0"/>
              <w:rPr>
                <w:sz w:val="20"/>
                <w:szCs w:val="20"/>
                <w:color w:val="auto"/>
              </w:rPr>
            </w:pPr>
            <w:r>
              <w:rPr>
                <w:rFonts w:ascii="Arial" w:cs="Arial" w:eastAsia="Arial" w:hAnsi="Arial"/>
                <w:sz w:val="13"/>
                <w:szCs w:val="13"/>
                <w:color w:val="auto"/>
              </w:rPr>
              <w:t>4,622,619</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13.44</w:t>
            </w:r>
          </w:p>
        </w:tc>
        <w:tc>
          <w:tcPr>
            <w:tcW w:w="2280" w:type="dxa"/>
            <w:vAlign w:val="bottom"/>
            <w:gridSpan w:val="2"/>
          </w:tcPr>
          <w:p>
            <w:pPr>
              <w:jc w:val="right"/>
              <w:spacing w:after="0"/>
              <w:rPr>
                <w:sz w:val="20"/>
                <w:szCs w:val="20"/>
                <w:color w:val="auto"/>
              </w:rPr>
            </w:pPr>
            <w:r>
              <w:rPr>
                <w:rFonts w:ascii="Arial" w:cs="Arial" w:eastAsia="Arial" w:hAnsi="Arial"/>
                <w:sz w:val="13"/>
                <w:szCs w:val="13"/>
                <w:color w:val="auto"/>
              </w:rPr>
              <w:t>309,971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4800" w:type="dxa"/>
            <w:vAlign w:val="bottom"/>
          </w:tcPr>
          <w:p>
            <w:pPr>
              <w:spacing w:after="0"/>
              <w:rPr>
                <w:sz w:val="24"/>
                <w:szCs w:val="24"/>
                <w:color w:val="auto"/>
              </w:rPr>
            </w:pPr>
          </w:p>
        </w:tc>
        <w:tc>
          <w:tcPr>
            <w:tcW w:w="1600" w:type="dxa"/>
            <w:vAlign w:val="bottom"/>
            <w:tcBorders>
              <w:top w:val="single" w:sz="8" w:color="auto"/>
            </w:tcBorders>
          </w:tcPr>
          <w:p>
            <w:pPr>
              <w:jc w:val="right"/>
              <w:ind w:right="602"/>
              <w:spacing w:after="0"/>
              <w:rPr>
                <w:sz w:val="20"/>
                <w:szCs w:val="20"/>
                <w:color w:val="auto"/>
              </w:rPr>
            </w:pPr>
            <w:r>
              <w:rPr>
                <w:rFonts w:ascii="Arial" w:cs="Arial" w:eastAsia="Arial" w:hAnsi="Arial"/>
                <w:sz w:val="13"/>
                <w:szCs w:val="13"/>
                <w:color w:val="auto"/>
              </w:rPr>
              <w:t>27</w:t>
            </w:r>
          </w:p>
        </w:tc>
        <w:tc>
          <w:tcPr>
            <w:tcW w:w="4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4800" w:type="dxa"/>
            <w:vAlign w:val="bottom"/>
            <w:tcBorders>
              <w:bottom w:val="single" w:sz="8" w:color="808080"/>
            </w:tcBorders>
          </w:tcPr>
          <w:p>
            <w:pPr>
              <w:spacing w:after="0"/>
              <w:rPr>
                <w:sz w:val="14"/>
                <w:szCs w:val="14"/>
                <w:color w:val="auto"/>
              </w:rPr>
            </w:pPr>
          </w:p>
        </w:tc>
        <w:tc>
          <w:tcPr>
            <w:tcW w:w="1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13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Performance Graph</w:t>
      </w:r>
    </w:p>
    <w:p>
      <w:pPr>
        <w:spacing w:after="0" w:line="102" w:lineRule="exact"/>
        <w:rPr>
          <w:sz w:val="20"/>
          <w:szCs w:val="20"/>
          <w:color w:val="auto"/>
        </w:rPr>
      </w:pPr>
    </w:p>
    <w:p>
      <w:pPr>
        <w:ind w:left="680" w:right="920" w:firstLine="399"/>
        <w:spacing w:after="0" w:line="262" w:lineRule="auto"/>
        <w:rPr>
          <w:sz w:val="20"/>
          <w:szCs w:val="20"/>
          <w:color w:val="auto"/>
        </w:rPr>
      </w:pPr>
      <w:r>
        <w:rPr>
          <w:rFonts w:ascii="Arial" w:cs="Arial" w:eastAsia="Arial" w:hAnsi="Arial"/>
          <w:sz w:val="13"/>
          <w:szCs w:val="13"/>
          <w:color w:val="auto"/>
        </w:rPr>
        <w:t>The graph set forth below compares the cumulative total stockholder return on our common stock between June 19, 2006 (the date our common stock began trading on NASDAQ) and December 31, 2009, with the cumulative total return of (i) the Nasdaq Computer Index and (ii) the Nasdaq Composite Index, over the same period. This graph assumes the investment of $100 on June 19, 2006 in our common stock, the Nasdaq Computer Index and the Nasdaq Composite Index, and assumes the reinvestment of dividends, if any. The graph assumes the initial value of our common stock on June 19, 2006 was the closing sales price of $8.50 per share.</w:t>
      </w:r>
    </w:p>
    <w:p>
      <w:pPr>
        <w:spacing w:after="0" w:line="69" w:lineRule="exact"/>
        <w:rPr>
          <w:sz w:val="20"/>
          <w:szCs w:val="20"/>
          <w:color w:val="auto"/>
        </w:rPr>
      </w:pPr>
    </w:p>
    <w:p>
      <w:pPr>
        <w:jc w:val="both"/>
        <w:ind w:left="680" w:right="820" w:firstLine="399"/>
        <w:spacing w:after="0" w:line="266" w:lineRule="auto"/>
        <w:rPr>
          <w:sz w:val="20"/>
          <w:szCs w:val="20"/>
          <w:color w:val="auto"/>
        </w:rPr>
      </w:pPr>
      <w:r>
        <w:rPr>
          <w:rFonts w:ascii="Arial" w:cs="Arial" w:eastAsia="Arial" w:hAnsi="Arial"/>
          <w:sz w:val="13"/>
          <w:szCs w:val="13"/>
          <w:color w:val="auto"/>
        </w:rPr>
        <w:t>The comparisons shown in the graph below are based upon historical data. We caution that the stock price performance shown in the graph below is not necessarily indicative of, nor is it intended to forecast, the potential future performance of our common stock. Information used in the graph was obtained from NASDAQ, a source believed to be reliable, but we are not responsible for any errors or omissions in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97790</wp:posOffset>
            </wp:positionV>
            <wp:extent cx="3754755" cy="15887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54755" cy="158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09"/>
        </w:trPr>
        <w:tc>
          <w:tcPr>
            <w:tcW w:w="720" w:type="dxa"/>
            <w:vAlign w:val="bottom"/>
            <w:tcBorders>
              <w:right w:val="single" w:sz="8" w:color="auto"/>
            </w:tcBorders>
          </w:tcPr>
          <w:p>
            <w:pPr>
              <w:spacing w:after="0"/>
              <w:rPr>
                <w:sz w:val="9"/>
                <w:szCs w:val="9"/>
                <w:color w:val="auto"/>
              </w:rPr>
            </w:pPr>
          </w:p>
        </w:tc>
        <w:tc>
          <w:tcPr>
            <w:tcW w:w="328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b w:val="1"/>
                <w:bCs w:val="1"/>
                <w:color w:val="auto"/>
              </w:rPr>
              <w:t>Company/Index</w:t>
            </w:r>
          </w:p>
        </w:tc>
        <w:tc>
          <w:tcPr>
            <w:tcW w:w="1800" w:type="dxa"/>
            <w:vAlign w:val="bottom"/>
            <w:tcBorders>
              <w:top w:val="single" w:sz="8" w:color="auto"/>
              <w:bottom w:val="single" w:sz="8" w:color="auto"/>
              <w:right w:val="single" w:sz="8" w:color="auto"/>
            </w:tcBorders>
          </w:tcPr>
          <w:p>
            <w:pPr>
              <w:spacing w:after="0"/>
              <w:rPr>
                <w:sz w:val="9"/>
                <w:szCs w:val="9"/>
                <w:color w:val="auto"/>
              </w:rPr>
            </w:pPr>
          </w:p>
        </w:tc>
        <w:tc>
          <w:tcPr>
            <w:tcW w:w="1000" w:type="dxa"/>
            <w:vAlign w:val="bottom"/>
            <w:tcBorders>
              <w:top w:val="single" w:sz="8" w:color="auto"/>
              <w:bottom w:val="single" w:sz="8" w:color="auto"/>
              <w:right w:val="single" w:sz="8" w:color="auto"/>
            </w:tcBorders>
          </w:tcPr>
          <w:p>
            <w:pPr>
              <w:jc w:val="right"/>
              <w:ind w:right="319"/>
              <w:spacing w:after="0"/>
              <w:rPr>
                <w:sz w:val="20"/>
                <w:szCs w:val="20"/>
                <w:color w:val="auto"/>
              </w:rPr>
            </w:pPr>
            <w:r>
              <w:rPr>
                <w:rFonts w:ascii="Arial" w:cs="Arial" w:eastAsia="Arial" w:hAnsi="Arial"/>
                <w:sz w:val="9"/>
                <w:szCs w:val="9"/>
                <w:b w:val="1"/>
                <w:bCs w:val="1"/>
                <w:color w:val="auto"/>
              </w:rPr>
              <w:t>6/19/06</w:t>
            </w:r>
          </w:p>
        </w:tc>
        <w:tc>
          <w:tcPr>
            <w:tcW w:w="98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12/29/06</w:t>
            </w:r>
          </w:p>
        </w:tc>
        <w:tc>
          <w:tcPr>
            <w:tcW w:w="98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12/31/07</w:t>
            </w:r>
          </w:p>
        </w:tc>
        <w:tc>
          <w:tcPr>
            <w:tcW w:w="1000" w:type="dxa"/>
            <w:vAlign w:val="bottom"/>
            <w:tcBorders>
              <w:top w:val="single" w:sz="8" w:color="auto"/>
              <w:bottom w:val="single" w:sz="8" w:color="auto"/>
              <w:right w:val="single" w:sz="8" w:color="auto"/>
            </w:tcBorders>
          </w:tcPr>
          <w:p>
            <w:pPr>
              <w:jc w:val="right"/>
              <w:ind w:right="279"/>
              <w:spacing w:after="0"/>
              <w:rPr>
                <w:sz w:val="20"/>
                <w:szCs w:val="20"/>
                <w:color w:val="auto"/>
              </w:rPr>
            </w:pPr>
            <w:r>
              <w:rPr>
                <w:rFonts w:ascii="Arial" w:cs="Arial" w:eastAsia="Arial" w:hAnsi="Arial"/>
                <w:sz w:val="9"/>
                <w:szCs w:val="9"/>
                <w:b w:val="1"/>
                <w:bCs w:val="1"/>
                <w:color w:val="auto"/>
              </w:rPr>
              <w:t>12/31/08</w:t>
            </w:r>
          </w:p>
        </w:tc>
        <w:tc>
          <w:tcPr>
            <w:tcW w:w="920" w:type="dxa"/>
            <w:vAlign w:val="bottom"/>
            <w:tcBorders>
              <w:top w:val="single" w:sz="8" w:color="auto"/>
              <w:bottom w:val="single" w:sz="8" w:color="auto"/>
              <w:right w:val="single" w:sz="8" w:color="auto"/>
            </w:tcBorders>
          </w:tcPr>
          <w:p>
            <w:pPr>
              <w:jc w:val="right"/>
              <w:ind w:right="159"/>
              <w:spacing w:after="0"/>
              <w:rPr>
                <w:sz w:val="20"/>
                <w:szCs w:val="20"/>
                <w:color w:val="auto"/>
              </w:rPr>
            </w:pPr>
            <w:r>
              <w:rPr>
                <w:rFonts w:ascii="Arial" w:cs="Arial" w:eastAsia="Arial" w:hAnsi="Arial"/>
                <w:sz w:val="9"/>
                <w:szCs w:val="9"/>
                <w:b w:val="1"/>
                <w:bCs w:val="1"/>
                <w:color w:val="auto"/>
              </w:rPr>
              <w:t>12/31/2009</w:t>
            </w:r>
          </w:p>
        </w:tc>
        <w:tc>
          <w:tcPr>
            <w:tcW w:w="780" w:type="dxa"/>
            <w:vAlign w:val="bottom"/>
          </w:tcPr>
          <w:p>
            <w:pPr>
              <w:spacing w:after="0"/>
              <w:rPr>
                <w:sz w:val="9"/>
                <w:szCs w:val="9"/>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tcPr>
          <w:p>
            <w:pPr>
              <w:spacing w:after="0" w:line="148" w:lineRule="exact"/>
              <w:rPr>
                <w:sz w:val="20"/>
                <w:szCs w:val="20"/>
                <w:color w:val="auto"/>
              </w:rPr>
            </w:pPr>
            <w:r>
              <w:rPr>
                <w:rFonts w:ascii="Arial" w:cs="Arial" w:eastAsia="Arial" w:hAnsi="Arial"/>
                <w:sz w:val="13"/>
                <w:szCs w:val="13"/>
                <w:color w:val="auto"/>
              </w:rPr>
              <w:t>Synchronoss Technologies, Inc.</w:t>
            </w:r>
          </w:p>
        </w:tc>
        <w:tc>
          <w:tcPr>
            <w:tcW w:w="18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559"/>
              <w:spacing w:after="0" w:line="148" w:lineRule="exact"/>
              <w:rPr>
                <w:sz w:val="20"/>
                <w:szCs w:val="20"/>
                <w:color w:val="auto"/>
              </w:rPr>
            </w:pPr>
            <w:r>
              <w:rPr>
                <w:rFonts w:ascii="Arial" w:cs="Arial" w:eastAsia="Arial" w:hAnsi="Arial"/>
                <w:sz w:val="13"/>
                <w:szCs w:val="13"/>
                <w:color w:val="auto"/>
              </w:rPr>
              <w:t>100</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161</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417</w:t>
            </w:r>
          </w:p>
        </w:tc>
        <w:tc>
          <w:tcPr>
            <w:tcW w:w="100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125</w:t>
            </w:r>
          </w:p>
        </w:tc>
        <w:tc>
          <w:tcPr>
            <w:tcW w:w="920" w:type="dxa"/>
            <w:vAlign w:val="bottom"/>
            <w:tcBorders>
              <w:bottom w:val="single" w:sz="8" w:color="auto"/>
              <w:right w:val="single" w:sz="8" w:color="auto"/>
            </w:tcBorders>
          </w:tcPr>
          <w:p>
            <w:pPr>
              <w:jc w:val="right"/>
              <w:ind w:right="459"/>
              <w:spacing w:after="0" w:line="148" w:lineRule="exact"/>
              <w:rPr>
                <w:sz w:val="20"/>
                <w:szCs w:val="20"/>
                <w:color w:val="auto"/>
              </w:rPr>
            </w:pPr>
            <w:r>
              <w:rPr>
                <w:rFonts w:ascii="Arial" w:cs="Arial" w:eastAsia="Arial" w:hAnsi="Arial"/>
                <w:sz w:val="13"/>
                <w:szCs w:val="13"/>
                <w:color w:val="auto"/>
              </w:rPr>
              <w:t>144</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Composite Index</w:t>
            </w:r>
          </w:p>
        </w:tc>
        <w:tc>
          <w:tcPr>
            <w:tcW w:w="18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559"/>
              <w:spacing w:after="0" w:line="148" w:lineRule="exact"/>
              <w:rPr>
                <w:sz w:val="20"/>
                <w:szCs w:val="20"/>
                <w:color w:val="auto"/>
              </w:rPr>
            </w:pPr>
            <w:r>
              <w:rPr>
                <w:rFonts w:ascii="Arial" w:cs="Arial" w:eastAsia="Arial" w:hAnsi="Arial"/>
                <w:sz w:val="13"/>
                <w:szCs w:val="13"/>
                <w:color w:val="auto"/>
              </w:rPr>
              <w:t>100</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114</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126</w:t>
            </w:r>
          </w:p>
        </w:tc>
        <w:tc>
          <w:tcPr>
            <w:tcW w:w="100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75</w:t>
            </w:r>
          </w:p>
        </w:tc>
        <w:tc>
          <w:tcPr>
            <w:tcW w:w="920" w:type="dxa"/>
            <w:vAlign w:val="bottom"/>
            <w:tcBorders>
              <w:bottom w:val="single" w:sz="8" w:color="auto"/>
              <w:right w:val="single" w:sz="8" w:color="auto"/>
            </w:tcBorders>
          </w:tcPr>
          <w:p>
            <w:pPr>
              <w:jc w:val="right"/>
              <w:ind w:right="459"/>
              <w:spacing w:after="0" w:line="148" w:lineRule="exact"/>
              <w:rPr>
                <w:sz w:val="20"/>
                <w:szCs w:val="20"/>
                <w:color w:val="auto"/>
              </w:rPr>
            </w:pPr>
            <w:r>
              <w:rPr>
                <w:rFonts w:ascii="Arial" w:cs="Arial" w:eastAsia="Arial" w:hAnsi="Arial"/>
                <w:sz w:val="13"/>
                <w:szCs w:val="13"/>
                <w:color w:val="auto"/>
              </w:rPr>
              <w:t>72</w:t>
            </w:r>
          </w:p>
        </w:tc>
        <w:tc>
          <w:tcPr>
            <w:tcW w:w="780" w:type="dxa"/>
            <w:vAlign w:val="bottom"/>
          </w:tcPr>
          <w:p>
            <w:pPr>
              <w:spacing w:after="0"/>
              <w:rPr>
                <w:sz w:val="12"/>
                <w:szCs w:val="12"/>
                <w:color w:val="auto"/>
              </w:rPr>
            </w:pPr>
          </w:p>
        </w:tc>
      </w:tr>
      <w:tr>
        <w:trPr>
          <w:trHeight w:val="148"/>
        </w:trPr>
        <w:tc>
          <w:tcPr>
            <w:tcW w:w="720" w:type="dxa"/>
            <w:vAlign w:val="bottom"/>
            <w:tcBorders>
              <w:right w:val="single" w:sz="8" w:color="auto"/>
            </w:tcBorders>
          </w:tcPr>
          <w:p>
            <w:pPr>
              <w:spacing w:after="0"/>
              <w:rPr>
                <w:sz w:val="12"/>
                <w:szCs w:val="12"/>
                <w:color w:val="auto"/>
              </w:rPr>
            </w:pPr>
          </w:p>
        </w:tc>
        <w:tc>
          <w:tcPr>
            <w:tcW w:w="328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Computer Index</w:t>
            </w:r>
          </w:p>
        </w:tc>
        <w:tc>
          <w:tcPr>
            <w:tcW w:w="18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jc w:val="right"/>
              <w:ind w:right="559"/>
              <w:spacing w:after="0" w:line="148" w:lineRule="exact"/>
              <w:rPr>
                <w:sz w:val="20"/>
                <w:szCs w:val="20"/>
                <w:color w:val="auto"/>
              </w:rPr>
            </w:pPr>
            <w:r>
              <w:rPr>
                <w:rFonts w:ascii="Arial" w:cs="Arial" w:eastAsia="Arial" w:hAnsi="Arial"/>
                <w:sz w:val="13"/>
                <w:szCs w:val="13"/>
                <w:color w:val="auto"/>
              </w:rPr>
              <w:t>100</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118</w:t>
            </w:r>
          </w:p>
        </w:tc>
        <w:tc>
          <w:tcPr>
            <w:tcW w:w="98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144</w:t>
            </w:r>
          </w:p>
        </w:tc>
        <w:tc>
          <w:tcPr>
            <w:tcW w:w="1000" w:type="dxa"/>
            <w:vAlign w:val="bottom"/>
            <w:tcBorders>
              <w:bottom w:val="single" w:sz="8" w:color="auto"/>
              <w:right w:val="single" w:sz="8" w:color="auto"/>
            </w:tcBorders>
          </w:tcPr>
          <w:p>
            <w:pPr>
              <w:jc w:val="right"/>
              <w:ind w:right="539"/>
              <w:spacing w:after="0" w:line="148" w:lineRule="exact"/>
              <w:rPr>
                <w:sz w:val="20"/>
                <w:szCs w:val="20"/>
                <w:color w:val="auto"/>
              </w:rPr>
            </w:pPr>
            <w:r>
              <w:rPr>
                <w:rFonts w:ascii="Arial" w:cs="Arial" w:eastAsia="Arial" w:hAnsi="Arial"/>
                <w:sz w:val="13"/>
                <w:szCs w:val="13"/>
                <w:color w:val="auto"/>
              </w:rPr>
              <w:t>77</w:t>
            </w:r>
          </w:p>
        </w:tc>
        <w:tc>
          <w:tcPr>
            <w:tcW w:w="920" w:type="dxa"/>
            <w:vAlign w:val="bottom"/>
            <w:tcBorders>
              <w:bottom w:val="single" w:sz="8" w:color="auto"/>
              <w:right w:val="single" w:sz="8" w:color="auto"/>
            </w:tcBorders>
          </w:tcPr>
          <w:p>
            <w:pPr>
              <w:jc w:val="right"/>
              <w:ind w:right="459"/>
              <w:spacing w:after="0" w:line="148" w:lineRule="exact"/>
              <w:rPr>
                <w:sz w:val="20"/>
                <w:szCs w:val="20"/>
                <w:color w:val="auto"/>
              </w:rPr>
            </w:pPr>
            <w:r>
              <w:rPr>
                <w:rFonts w:ascii="Arial" w:cs="Arial" w:eastAsia="Arial" w:hAnsi="Arial"/>
                <w:sz w:val="13"/>
                <w:szCs w:val="13"/>
                <w:color w:val="auto"/>
              </w:rPr>
              <w:t>80</w:t>
            </w:r>
          </w:p>
        </w:tc>
        <w:tc>
          <w:tcPr>
            <w:tcW w:w="780" w:type="dxa"/>
            <w:vAlign w:val="bottom"/>
          </w:tcPr>
          <w:p>
            <w:pPr>
              <w:spacing w:after="0"/>
              <w:rPr>
                <w:sz w:val="12"/>
                <w:szCs w:val="12"/>
                <w:color w:val="auto"/>
              </w:rPr>
            </w:pPr>
          </w:p>
        </w:tc>
      </w:tr>
      <w:tr>
        <w:trPr>
          <w:trHeight w:val="453"/>
        </w:trPr>
        <w:tc>
          <w:tcPr>
            <w:tcW w:w="7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3"/>
                <w:szCs w:val="13"/>
                <w:color w:val="auto"/>
              </w:rPr>
              <w:t>28</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5"/>
        </w:trPr>
        <w:tc>
          <w:tcPr>
            <w:tcW w:w="720" w:type="dxa"/>
            <w:vAlign w:val="bottom"/>
            <w:tcBorders>
              <w:bottom w:val="single" w:sz="8" w:color="808080"/>
            </w:tcBorders>
          </w:tcPr>
          <w:p>
            <w:pPr>
              <w:spacing w:after="0"/>
              <w:rPr>
                <w:sz w:val="14"/>
                <w:szCs w:val="14"/>
                <w:color w:val="auto"/>
              </w:rPr>
            </w:pPr>
          </w:p>
        </w:tc>
        <w:tc>
          <w:tcPr>
            <w:tcW w:w="3280" w:type="dxa"/>
            <w:vAlign w:val="bottom"/>
            <w:tcBorders>
              <w:bottom w:val="single" w:sz="8" w:color="808080"/>
            </w:tcBorders>
          </w:tcPr>
          <w:p>
            <w:pPr>
              <w:spacing w:after="0"/>
              <w:rPr>
                <w:sz w:val="14"/>
                <w:szCs w:val="14"/>
                <w:color w:val="auto"/>
              </w:rPr>
            </w:pPr>
          </w:p>
        </w:tc>
        <w:tc>
          <w:tcPr>
            <w:tcW w:w="180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10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2"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color w:val="auto"/>
        </w:rPr>
        <w:t>The following selected financial data should be read in conjunction with our consolidated financial statements and related notes and the “Management’s Discussion and Analysis of Financial Condition and Results of Operations” and other financial data included elsewhere in this Form 10-K. The selected statements of operations and the selected balance sheet data are derived from our consolidated audited financial statements.</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1"/>
                <w:szCs w:val="11"/>
                <w:b w:val="1"/>
                <w:bCs w:val="1"/>
                <w:color w:val="auto"/>
                <w:w w:val="85"/>
              </w:rPr>
              <w:t>Year Ended December 31,</w:t>
            </w: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2009</w:t>
            </w: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2008</w:t>
            </w:r>
          </w:p>
        </w:tc>
        <w:tc>
          <w:tcPr>
            <w:tcW w:w="400" w:type="dxa"/>
            <w:vAlign w:val="bottom"/>
            <w:gridSpan w:val="2"/>
            <w:vMerge w:val="restart"/>
          </w:tcPr>
          <w:p>
            <w:pPr>
              <w:spacing w:after="0"/>
              <w:rPr>
                <w:sz w:val="20"/>
                <w:szCs w:val="20"/>
                <w:color w:val="auto"/>
              </w:rPr>
            </w:pPr>
            <w:r>
              <w:rPr>
                <w:rFonts w:ascii="Arial" w:cs="Arial" w:eastAsia="Arial" w:hAnsi="Arial"/>
                <w:sz w:val="9"/>
                <w:szCs w:val="9"/>
                <w:b w:val="1"/>
                <w:bCs w:val="1"/>
                <w:color w:val="auto"/>
                <w:w w:val="79"/>
              </w:rPr>
              <w:t>thousands,</w:t>
            </w: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5"/>
              <w:spacing w:after="0" w:line="99" w:lineRule="exact"/>
              <w:rPr>
                <w:sz w:val="20"/>
                <w:szCs w:val="20"/>
                <w:color w:val="auto"/>
              </w:rPr>
            </w:pPr>
            <w:r>
              <w:rPr>
                <w:rFonts w:ascii="Arial" w:cs="Arial" w:eastAsia="Arial" w:hAnsi="Arial"/>
                <w:sz w:val="11"/>
                <w:szCs w:val="11"/>
                <w:b w:val="1"/>
                <w:bCs w:val="1"/>
                <w:color w:val="auto"/>
              </w:rPr>
              <w:t>2007</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w w:val="97"/>
              </w:rPr>
              <w:t>2006</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2005</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(In</w:t>
            </w:r>
          </w:p>
        </w:tc>
        <w:tc>
          <w:tcPr>
            <w:tcW w:w="400" w:type="dxa"/>
            <w:vAlign w:val="bottom"/>
            <w:gridSpan w:val="2"/>
            <w:vMerge w:val="continue"/>
          </w:tcPr>
          <w:p>
            <w:pPr>
              <w:spacing w:after="0"/>
              <w:rPr>
                <w:sz w:val="10"/>
                <w:szCs w:val="10"/>
                <w:color w:val="auto"/>
              </w:rPr>
            </w:pPr>
          </w:p>
        </w:tc>
        <w:tc>
          <w:tcPr>
            <w:tcW w:w="1080" w:type="dxa"/>
            <w:vAlign w:val="bottom"/>
            <w:gridSpan w:val="3"/>
          </w:tcPr>
          <w:p>
            <w:pPr>
              <w:jc w:val="right"/>
              <w:ind w:right="20"/>
              <w:spacing w:after="0" w:line="125" w:lineRule="exact"/>
              <w:rPr>
                <w:sz w:val="20"/>
                <w:szCs w:val="20"/>
                <w:color w:val="auto"/>
              </w:rPr>
            </w:pPr>
            <w:r>
              <w:rPr>
                <w:rFonts w:ascii="Arial" w:cs="Arial" w:eastAsia="Arial" w:hAnsi="Arial"/>
                <w:sz w:val="11"/>
                <w:szCs w:val="11"/>
                <w:b w:val="1"/>
                <w:bCs w:val="1"/>
                <w:color w:val="auto"/>
                <w:w w:val="89"/>
              </w:rPr>
              <w:t>except per share data)</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5020" w:type="dxa"/>
            <w:vAlign w:val="bottom"/>
            <w:gridSpan w:val="3"/>
          </w:tcPr>
          <w:p>
            <w:pPr>
              <w:spacing w:after="0"/>
              <w:rPr>
                <w:sz w:val="20"/>
                <w:szCs w:val="20"/>
                <w:color w:val="auto"/>
              </w:rPr>
            </w:pPr>
            <w:r>
              <w:rPr>
                <w:rFonts w:ascii="Arial" w:cs="Arial" w:eastAsia="Arial" w:hAnsi="Arial"/>
                <w:sz w:val="13"/>
                <w:szCs w:val="13"/>
                <w:b w:val="1"/>
                <w:bCs w:val="1"/>
                <w:color w:val="auto"/>
              </w:rPr>
              <w:t>Statements of Operations Data:</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20" w:type="dxa"/>
            <w:vAlign w:val="bottom"/>
            <w:gridSpan w:val="3"/>
          </w:tcPr>
          <w:p>
            <w:pPr>
              <w:spacing w:after="0"/>
              <w:rPr>
                <w:sz w:val="20"/>
                <w:szCs w:val="20"/>
                <w:color w:val="auto"/>
              </w:rPr>
            </w:pPr>
            <w:r>
              <w:rPr>
                <w:rFonts w:ascii="Arial" w:cs="Arial" w:eastAsia="Arial" w:hAnsi="Arial"/>
                <w:sz w:val="13"/>
                <w:szCs w:val="13"/>
                <w:color w:val="auto"/>
              </w:rPr>
              <w:t>Net revenues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128,805</w:t>
            </w:r>
          </w:p>
        </w:tc>
        <w:tc>
          <w:tcPr>
            <w:tcW w:w="220" w:type="dxa"/>
            <w:vAlign w:val="bottom"/>
          </w:tcPr>
          <w:p>
            <w:pPr>
              <w:spacing w:after="0"/>
              <w:rPr>
                <w:sz w:val="13"/>
                <w:szCs w:val="13"/>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110,982</w:t>
            </w:r>
          </w:p>
        </w:tc>
        <w:tc>
          <w:tcPr>
            <w:tcW w:w="40" w:type="dxa"/>
            <w:vAlign w:val="bottom"/>
          </w:tcPr>
          <w:p>
            <w:pPr>
              <w:spacing w:after="0"/>
              <w:rPr>
                <w:sz w:val="13"/>
                <w:szCs w:val="13"/>
                <w:color w:val="auto"/>
              </w:rPr>
            </w:pPr>
          </w:p>
        </w:tc>
        <w:tc>
          <w:tcPr>
            <w:tcW w:w="5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123,538</w:t>
            </w:r>
          </w:p>
        </w:tc>
        <w:tc>
          <w:tcPr>
            <w:tcW w:w="38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72,406</w:t>
            </w:r>
          </w:p>
        </w:tc>
        <w:tc>
          <w:tcPr>
            <w:tcW w:w="220" w:type="dxa"/>
            <w:vAlign w:val="bottom"/>
          </w:tcPr>
          <w:p>
            <w:pPr>
              <w:spacing w:after="0"/>
              <w:rPr>
                <w:sz w:val="13"/>
                <w:szCs w:val="13"/>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54,218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020" w:type="dxa"/>
            <w:vAlign w:val="bottom"/>
            <w:gridSpan w:val="3"/>
          </w:tcPr>
          <w:p>
            <w:pPr>
              <w:spacing w:after="0"/>
              <w:rPr>
                <w:sz w:val="20"/>
                <w:szCs w:val="20"/>
                <w:color w:val="auto"/>
              </w:rPr>
            </w:pPr>
            <w:r>
              <w:rPr>
                <w:rFonts w:ascii="Arial" w:cs="Arial" w:eastAsia="Arial" w:hAnsi="Arial"/>
                <w:sz w:val="13"/>
                <w:szCs w:val="13"/>
                <w:color w:val="auto"/>
              </w:rPr>
              <w:t>Costs and expenses: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Cost of services ($0, $0, $0, $3,714 and $8,089 were purchased from related parties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ind w:left="260"/>
              <w:spacing w:after="0"/>
              <w:rPr>
                <w:sz w:val="20"/>
                <w:szCs w:val="20"/>
                <w:color w:val="auto"/>
              </w:rPr>
            </w:pPr>
            <w:r>
              <w:rPr>
                <w:rFonts w:ascii="Arial" w:cs="Arial" w:eastAsia="Arial" w:hAnsi="Arial"/>
                <w:sz w:val="13"/>
                <w:szCs w:val="13"/>
                <w:color w:val="auto"/>
              </w:rPr>
              <w:t>during 2009, 2008, 2007, 2006 and 2005, respectively)*</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64,455</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53,528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55,305</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35,643</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30,205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13,153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11,049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10,629</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7,726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23,650</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21,718</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18,531</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10,474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7,544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6,656</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5,237</w:t>
            </w: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20" w:type="dxa"/>
            <w:vAlign w:val="bottom"/>
            <w:gridSpan w:val="3"/>
          </w:tcPr>
          <w:p>
            <w:pPr>
              <w:spacing w:after="0"/>
              <w:rPr>
                <w:sz w:val="20"/>
                <w:szCs w:val="20"/>
                <w:color w:val="auto"/>
              </w:rPr>
            </w:pPr>
            <w:r>
              <w:rPr>
                <w:rFonts w:ascii="Arial" w:cs="Arial" w:eastAsia="Arial" w:hAnsi="Arial"/>
                <w:sz w:val="13"/>
                <w:szCs w:val="13"/>
                <w:color w:val="auto"/>
              </w:rPr>
              <w:t>Total costs and expenses</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109,757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92,951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89,702</w:t>
            </w: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57,110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020" w:type="dxa"/>
            <w:vAlign w:val="bottom"/>
            <w:gridSpan w:val="3"/>
          </w:tcPr>
          <w:p>
            <w:pPr>
              <w:spacing w:after="0"/>
              <w:rPr>
                <w:sz w:val="20"/>
                <w:szCs w:val="20"/>
                <w:color w:val="auto"/>
              </w:rPr>
            </w:pPr>
            <w:r>
              <w:rPr>
                <w:rFonts w:ascii="Arial" w:cs="Arial" w:eastAsia="Arial" w:hAnsi="Arial"/>
                <w:sz w:val="13"/>
                <w:szCs w:val="13"/>
                <w:color w:val="auto"/>
              </w:rPr>
              <w:t>Income from operations</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19,048</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18,031</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33,836</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15,296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8,475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526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2,369</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3,974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2,256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(741)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(96)</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(66)</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51"/>
        </w:trPr>
        <w:tc>
          <w:tcPr>
            <w:tcW w:w="5020" w:type="dxa"/>
            <w:vAlign w:val="bottom"/>
            <w:gridSpan w:val="3"/>
          </w:tcPr>
          <w:p>
            <w:pPr>
              <w:spacing w:after="0"/>
              <w:rPr>
                <w:sz w:val="20"/>
                <w:szCs w:val="20"/>
                <w:color w:val="auto"/>
              </w:rPr>
            </w:pPr>
            <w:r>
              <w:rPr>
                <w:rFonts w:ascii="Arial" w:cs="Arial" w:eastAsia="Arial" w:hAnsi="Arial"/>
                <w:sz w:val="13"/>
                <w:szCs w:val="13"/>
                <w:color w:val="auto"/>
              </w:rPr>
              <w:t>Income before income tax expense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18,833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20,304</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37,744</w:t>
            </w: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17,452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Income tax (expense) benefit</w:t>
            </w: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(6,536)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(8,424)</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3"/>
                <w:szCs w:val="13"/>
                <w:color w:val="auto"/>
              </w:rPr>
              <w:t>(13,988)</w:t>
            </w:r>
          </w:p>
        </w:tc>
        <w:tc>
          <w:tcPr>
            <w:tcW w:w="14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(7,310)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3,829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5020" w:type="dxa"/>
            <w:vAlign w:val="bottom"/>
            <w:gridSpan w:val="3"/>
          </w:tcPr>
          <w:p>
            <w:pPr>
              <w:spacing w:after="0"/>
              <w:rPr>
                <w:sz w:val="20"/>
                <w:szCs w:val="20"/>
                <w:color w:val="auto"/>
              </w:rPr>
            </w:pPr>
            <w:r>
              <w:rPr>
                <w:rFonts w:ascii="Arial" w:cs="Arial" w:eastAsia="Arial" w:hAnsi="Arial"/>
                <w:sz w:val="13"/>
                <w:szCs w:val="13"/>
                <w:color w:val="auto"/>
              </w:rPr>
              <w:t>Net income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12,297</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11,880</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23,756</w:t>
            </w: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10,142</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12,429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Preferred stock accretion</w:t>
            </w:r>
          </w:p>
        </w:tc>
        <w:tc>
          <w:tcPr>
            <w:tcW w:w="1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Arial" w:cs="Arial" w:eastAsia="Arial" w:hAnsi="Arial"/>
                <w:sz w:val="13"/>
                <w:szCs w:val="13"/>
                <w:color w:val="auto"/>
              </w:rPr>
              <w:t>Net income attributable to common stockholders</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gridSpan w:val="3"/>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12,297</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11,880</w:t>
            </w:r>
          </w:p>
        </w:tc>
        <w:tc>
          <w:tcPr>
            <w:tcW w:w="40" w:type="dxa"/>
            <w:vAlign w:val="bottom"/>
          </w:tcPr>
          <w:p>
            <w:pPr>
              <w:spacing w:after="0"/>
              <w:rPr>
                <w:sz w:val="14"/>
                <w:szCs w:val="14"/>
                <w:color w:val="auto"/>
              </w:rPr>
            </w:pPr>
          </w:p>
        </w:tc>
        <w:tc>
          <w:tcPr>
            <w:tcW w:w="5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23,756</w:t>
            </w: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10,142</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12,395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20" w:type="dxa"/>
            <w:vAlign w:val="bottom"/>
            <w:gridSpan w:val="3"/>
          </w:tcPr>
          <w:p>
            <w:pPr>
              <w:spacing w:after="0"/>
              <w:rPr>
                <w:sz w:val="20"/>
                <w:szCs w:val="20"/>
                <w:color w:val="auto"/>
              </w:rPr>
            </w:pPr>
            <w:r>
              <w:rPr>
                <w:rFonts w:ascii="Arial" w:cs="Arial" w:eastAsia="Arial" w:hAnsi="Arial"/>
                <w:sz w:val="13"/>
                <w:szCs w:val="13"/>
                <w:color w:val="auto"/>
              </w:rPr>
              <w:t>Net income attributable to common stockholders per common share:</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0.40</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40" w:type="dxa"/>
            <w:vAlign w:val="bottom"/>
          </w:tcPr>
          <w:p>
            <w:pPr>
              <w:spacing w:after="0"/>
              <w:rPr>
                <w:sz w:val="14"/>
                <w:szCs w:val="14"/>
                <w:color w:val="auto"/>
              </w:rPr>
            </w:pPr>
          </w:p>
        </w:tc>
        <w:tc>
          <w:tcPr>
            <w:tcW w:w="5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38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0.37</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0.39</w:t>
            </w:r>
          </w:p>
        </w:tc>
        <w:tc>
          <w:tcPr>
            <w:tcW w:w="220" w:type="dxa"/>
            <w:vAlign w:val="bottom"/>
          </w:tcPr>
          <w:p>
            <w:pPr>
              <w:spacing w:after="0"/>
              <w:rPr>
                <w:sz w:val="14"/>
                <w:szCs w:val="14"/>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0.37</w:t>
            </w:r>
          </w:p>
        </w:tc>
        <w:tc>
          <w:tcPr>
            <w:tcW w:w="40" w:type="dxa"/>
            <w:vAlign w:val="bottom"/>
          </w:tcPr>
          <w:p>
            <w:pPr>
              <w:spacing w:after="0"/>
              <w:rPr>
                <w:sz w:val="14"/>
                <w:szCs w:val="14"/>
                <w:color w:val="auto"/>
              </w:rPr>
            </w:pPr>
          </w:p>
        </w:tc>
        <w:tc>
          <w:tcPr>
            <w:tcW w:w="5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0.71</w:t>
            </w:r>
          </w:p>
        </w:tc>
        <w:tc>
          <w:tcPr>
            <w:tcW w:w="38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0.35</w:t>
            </w:r>
          </w:p>
        </w:tc>
        <w:tc>
          <w:tcPr>
            <w:tcW w:w="220" w:type="dxa"/>
            <w:vAlign w:val="bottom"/>
          </w:tcPr>
          <w:p>
            <w:pPr>
              <w:spacing w:after="0"/>
              <w:rPr>
                <w:sz w:val="14"/>
                <w:szCs w:val="14"/>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0.50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020" w:type="dxa"/>
            <w:vAlign w:val="bottom"/>
            <w:gridSpan w:val="3"/>
          </w:tcPr>
          <w:p>
            <w:pPr>
              <w:spacing w:after="0"/>
              <w:rPr>
                <w:sz w:val="20"/>
                <w:szCs w:val="20"/>
                <w:color w:val="auto"/>
              </w:rPr>
            </w:pPr>
            <w:r>
              <w:rPr>
                <w:rFonts w:ascii="Arial" w:cs="Arial" w:eastAsia="Arial" w:hAnsi="Arial"/>
                <w:sz w:val="13"/>
                <w:szCs w:val="13"/>
                <w:color w:val="auto"/>
              </w:rPr>
              <w:t>Weighted-average common shares outstanding:</w:t>
            </w: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30,813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31,619</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27,248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31,145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29,196</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24,921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3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900" w:hanging="21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Cost of services excludes depreciation and amortization which is shown separately.</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60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1"/>
                <w:szCs w:val="11"/>
                <w:b w:val="1"/>
                <w:bCs w:val="1"/>
                <w:color w:val="auto"/>
              </w:rPr>
              <w:t>As of December 31,</w:t>
            </w: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99"/>
        </w:trPr>
        <w:tc>
          <w:tcPr>
            <w:tcW w:w="4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jc w:val="right"/>
              <w:ind w:right="282"/>
              <w:spacing w:after="0" w:line="99" w:lineRule="exact"/>
              <w:rPr>
                <w:sz w:val="20"/>
                <w:szCs w:val="20"/>
                <w:color w:val="auto"/>
              </w:rPr>
            </w:pPr>
            <w:r>
              <w:rPr>
                <w:rFonts w:ascii="Arial" w:cs="Arial" w:eastAsia="Arial" w:hAnsi="Arial"/>
                <w:sz w:val="11"/>
                <w:szCs w:val="11"/>
                <w:b w:val="1"/>
                <w:bCs w:val="1"/>
                <w:color w:val="auto"/>
              </w:rPr>
              <w:t>2009</w:t>
            </w: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jc w:val="right"/>
              <w:ind w:right="302"/>
              <w:spacing w:after="0" w:line="99" w:lineRule="exact"/>
              <w:rPr>
                <w:sz w:val="20"/>
                <w:szCs w:val="20"/>
                <w:color w:val="auto"/>
              </w:rPr>
            </w:pPr>
            <w:r>
              <w:rPr>
                <w:rFonts w:ascii="Arial" w:cs="Arial" w:eastAsia="Arial" w:hAnsi="Arial"/>
                <w:sz w:val="11"/>
                <w:szCs w:val="11"/>
                <w:b w:val="1"/>
                <w:bCs w:val="1"/>
                <w:color w:val="auto"/>
              </w:rPr>
              <w:t>2008</w:t>
            </w: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jc w:val="right"/>
              <w:ind w:right="302"/>
              <w:spacing w:after="0" w:line="99" w:lineRule="exact"/>
              <w:rPr>
                <w:sz w:val="20"/>
                <w:szCs w:val="20"/>
                <w:color w:val="auto"/>
              </w:rPr>
            </w:pPr>
            <w:r>
              <w:rPr>
                <w:rFonts w:ascii="Arial" w:cs="Arial" w:eastAsia="Arial" w:hAnsi="Arial"/>
                <w:sz w:val="11"/>
                <w:szCs w:val="11"/>
                <w:b w:val="1"/>
                <w:bCs w:val="1"/>
                <w:color w:val="auto"/>
              </w:rPr>
              <w:t>2007</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jc w:val="right"/>
              <w:ind w:right="282"/>
              <w:spacing w:after="0" w:line="99" w:lineRule="exact"/>
              <w:rPr>
                <w:sz w:val="20"/>
                <w:szCs w:val="20"/>
                <w:color w:val="auto"/>
              </w:rPr>
            </w:pPr>
            <w:r>
              <w:rPr>
                <w:rFonts w:ascii="Arial" w:cs="Arial" w:eastAsia="Arial" w:hAnsi="Arial"/>
                <w:sz w:val="11"/>
                <w:szCs w:val="11"/>
                <w:b w:val="1"/>
                <w:bCs w:val="1"/>
                <w:color w:val="auto"/>
              </w:rPr>
              <w:t>2006</w:t>
            </w:r>
          </w:p>
        </w:tc>
        <w:tc>
          <w:tcPr>
            <w:tcW w:w="940" w:type="dxa"/>
            <w:vAlign w:val="bottom"/>
            <w:gridSpan w:val="2"/>
          </w:tcPr>
          <w:p>
            <w:pPr>
              <w:jc w:val="right"/>
              <w:ind w:right="240"/>
              <w:spacing w:after="0" w:line="99" w:lineRule="exact"/>
              <w:rPr>
                <w:sz w:val="20"/>
                <w:szCs w:val="20"/>
                <w:color w:val="auto"/>
              </w:rPr>
            </w:pPr>
            <w:r>
              <w:rPr>
                <w:rFonts w:ascii="Arial" w:cs="Arial" w:eastAsia="Arial" w:hAnsi="Arial"/>
                <w:sz w:val="11"/>
                <w:szCs w:val="11"/>
                <w:b w:val="1"/>
                <w:bCs w:val="1"/>
                <w:color w:val="auto"/>
              </w:rPr>
              <w:t>2005</w:t>
            </w:r>
          </w:p>
        </w:tc>
      </w:tr>
      <w:tr>
        <w:trPr>
          <w:trHeight w:val="126"/>
        </w:trPr>
        <w:tc>
          <w:tcPr>
            <w:tcW w:w="46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900" w:type="dxa"/>
            <w:vAlign w:val="bottom"/>
            <w:tcBorders>
              <w:top w:val="single" w:sz="8" w:color="auto"/>
            </w:tcBorders>
            <w:gridSpan w:val="2"/>
          </w:tcPr>
          <w:p>
            <w:pPr>
              <w:jc w:val="right"/>
              <w:ind w:right="222"/>
              <w:spacing w:after="0"/>
              <w:rPr>
                <w:sz w:val="20"/>
                <w:szCs w:val="20"/>
                <w:color w:val="auto"/>
              </w:rPr>
            </w:pPr>
            <w:r>
              <w:rPr>
                <w:rFonts w:ascii="Arial" w:cs="Arial" w:eastAsia="Arial" w:hAnsi="Arial"/>
                <w:sz w:val="11"/>
                <w:szCs w:val="11"/>
                <w:b w:val="1"/>
                <w:bCs w:val="1"/>
                <w:color w:val="auto"/>
                <w:w w:val="79"/>
              </w:rPr>
              <w:t>(In thousands)</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r>
      <w:tr>
        <w:trPr>
          <w:trHeight w:val="154"/>
        </w:trPr>
        <w:tc>
          <w:tcPr>
            <w:tcW w:w="4600" w:type="dxa"/>
            <w:vAlign w:val="bottom"/>
          </w:tcPr>
          <w:p>
            <w:pPr>
              <w:spacing w:after="0"/>
              <w:rPr>
                <w:sz w:val="20"/>
                <w:szCs w:val="20"/>
                <w:color w:val="auto"/>
              </w:rPr>
            </w:pPr>
            <w:r>
              <w:rPr>
                <w:rFonts w:ascii="Arial" w:cs="Arial" w:eastAsia="Arial" w:hAnsi="Arial"/>
                <w:sz w:val="12"/>
                <w:szCs w:val="12"/>
                <w:b w:val="1"/>
                <w:bCs w:val="1"/>
                <w:color w:val="auto"/>
              </w:rPr>
              <w:t>Balance Sheet Data:</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Cash, cash equivalents and marketable securities</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97,684</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78,763</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color w:val="auto"/>
              </w:rPr>
              <w:t>95,857</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78,952</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$16,002</w:t>
            </w: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Working capital</w:t>
            </w: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108,336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91,248</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color w:val="auto"/>
                <w:w w:val="87"/>
              </w:rPr>
              <w:t>113,004</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86,915</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21,774</w:t>
            </w:r>
          </w:p>
        </w:tc>
      </w:tr>
      <w:tr>
        <w:trPr>
          <w:trHeight w:val="148"/>
        </w:trPr>
        <w:tc>
          <w:tcPr>
            <w:tcW w:w="4600" w:type="dxa"/>
            <w:vAlign w:val="bottom"/>
          </w:tcPr>
          <w:p>
            <w:pPr>
              <w:spacing w:after="0"/>
              <w:rPr>
                <w:sz w:val="20"/>
                <w:szCs w:val="20"/>
                <w:color w:val="auto"/>
              </w:rPr>
            </w:pPr>
            <w:r>
              <w:rPr>
                <w:rFonts w:ascii="Arial" w:cs="Arial" w:eastAsia="Arial" w:hAnsi="Arial"/>
                <w:sz w:val="12"/>
                <w:szCs w:val="12"/>
                <w:color w:val="auto"/>
              </w:rPr>
              <w:t>Total assets</w:t>
            </w: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172,559</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145,319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color w:val="auto"/>
                <w:w w:val="87"/>
              </w:rPr>
              <w:t>139,018</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104,925</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40,208</w:t>
            </w:r>
          </w:p>
        </w:tc>
      </w:tr>
      <w:tr>
        <w:trPr>
          <w:trHeight w:val="150"/>
        </w:trPr>
        <w:tc>
          <w:tcPr>
            <w:tcW w:w="4600" w:type="dxa"/>
            <w:vAlign w:val="bottom"/>
          </w:tcPr>
          <w:p>
            <w:pPr>
              <w:spacing w:after="0"/>
              <w:rPr>
                <w:sz w:val="20"/>
                <w:szCs w:val="20"/>
                <w:color w:val="auto"/>
              </w:rPr>
            </w:pPr>
            <w:r>
              <w:rPr>
                <w:rFonts w:ascii="Arial" w:cs="Arial" w:eastAsia="Arial" w:hAnsi="Arial"/>
                <w:sz w:val="12"/>
                <w:szCs w:val="12"/>
                <w:color w:val="auto"/>
              </w:rPr>
              <w:t>Total stockholders’ equity (deficiency)</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146,464</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82"/>
              </w:rPr>
              <w:t>124,338</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202"/>
              <w:spacing w:after="0"/>
              <w:rPr>
                <w:sz w:val="20"/>
                <w:szCs w:val="20"/>
                <w:color w:val="auto"/>
              </w:rPr>
            </w:pPr>
            <w:r>
              <w:rPr>
                <w:rFonts w:ascii="Arial" w:cs="Arial" w:eastAsia="Arial" w:hAnsi="Arial"/>
                <w:sz w:val="12"/>
                <w:szCs w:val="12"/>
                <w:color w:val="auto"/>
                <w:w w:val="87"/>
              </w:rPr>
              <w:t>126,791</w:t>
            </w: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02"/>
              <w:spacing w:after="0"/>
              <w:rPr>
                <w:sz w:val="20"/>
                <w:szCs w:val="20"/>
                <w:color w:val="auto"/>
              </w:rPr>
            </w:pPr>
            <w:r>
              <w:rPr>
                <w:rFonts w:ascii="Arial" w:cs="Arial" w:eastAsia="Arial" w:hAnsi="Arial"/>
                <w:sz w:val="12"/>
                <w:szCs w:val="12"/>
                <w:color w:val="auto"/>
                <w:w w:val="97"/>
              </w:rPr>
              <w:t>95,273</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 (4,864)</w:t>
            </w:r>
          </w:p>
        </w:tc>
      </w:tr>
    </w:tbl>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10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This annual report on Form 10-K, particularly Management’s Discussion and Analysis of Financial Condition and Results of Operations set forth below, contains “forward-looking statements” within the meaning of the Private Securities Litigation Reform Act of 1995. These statements are subject to risks and uncertainties and are based on the beliefs and assumptions of our management as of the date hereof based on information currently available to our management. Use of words such as “believes,” “expects,” “anticipates,” “intends,” “plans,” “should, “continues,”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report on Form 10-K. These statements speak only as of the date of this report (unless another date is indicated), and we undertake no obligation to update or revise the statements in light of future developments.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discussion should be read in conjunction with the Consolidated Financial Statements and the related notes that appear elsewhere in this document.</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2"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We are a leading provider of on-demand transaction management platforms that enable communications service providers (CSPs), cable operators/ multi-services operators (MSOs), original equipment manufacturers (OEMs) with embedded connectivity (e.g. smartphones, laptops, netbooks and mobile Internet devices, among others), e-Tailers/retailers and other customers to accelerate and monetize their go-to-market strategies for connected-devices. This includes automating subscriber activation, order management and service provisioning from any channel (e.g., e-commerce, telesales, customer stores, indirect and other retail outlets, etc.) to any communication service (e.g., wireless(2G, 3G, 4G), high speed access, local access, IPTV, cable, satellite TV, etc.) across any connected device type. Our ConvergenceNow</w:t>
      </w:r>
      <w:r>
        <w:rPr>
          <w:rFonts w:ascii="Arial" w:cs="Arial" w:eastAsia="Arial" w:hAnsi="Arial"/>
          <w:sz w:val="10"/>
          <w:szCs w:val="10"/>
          <w:color w:val="auto"/>
        </w:rPr>
        <w:t>®</w:t>
      </w:r>
      <w:r>
        <w:rPr>
          <w:rFonts w:ascii="Arial" w:cs="Arial" w:eastAsia="Arial" w:hAnsi="Arial"/>
          <w:sz w:val="12"/>
          <w:szCs w:val="12"/>
          <w:color w:val="auto"/>
        </w:rPr>
        <w:t>,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xml:space="preserve"> platforms provide end-to-end seamless integration between customer-facing channels/applications, communication services, or devices and “back-office” infrastructure-related systems and processes. Our customers rely on our cloud-based solutions and technology to automate the process of activating customers while delivering additional communication services, including new service offerings and ongoing customer care. Our platforms are designed to be flexible and scalable to enable multiple converged communication services to be managed across multiple distribution channels, including e-commerce, telesales, customer stores, indirect, and other retail outlets, etc., allowing us to meet the rapidly changing and converging services and connected devices offered by our customers. We enable our customers to acquire, retain and service subscribers quickly, reliably and cost-effectively by simplifying the processes associated with managing the customer experience for ordering and activating connected devices and services through the use of our platforms.</w:t>
      </w:r>
    </w:p>
    <w:p>
      <w:pPr>
        <w:spacing w:after="0" w:line="65"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Our industry-leading customers include tier 1 service providers such as AT&amp;T Inc., Verizon Wireless and Vodafone, tier 1 cable operators /MSOs like Cablevision, Charter Communications, Comcast, and Time Warner Cable and large OEMs/e-Tailers such as Apple, Dell and Nokia. These customers utilize our platforms, technology and services to service both consumer and business customers, including over 300 of the Fortune 500 companies.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Revenues</w:t>
      </w:r>
    </w:p>
    <w:p>
      <w:pPr>
        <w:spacing w:after="0" w:line="98"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We generate a substantial portion of our revenues on a per-transaction basis, most of which is derived from contracts that extend up to 60 months from execution. For the years ended December 31, 2009 and 2008, we derived approximately 83% of our revenues from transactions processed. In 2009, similar to previous years, most of the remainder of our revenues were generated by professional services.</w:t>
      </w:r>
    </w:p>
    <w:p>
      <w:pPr>
        <w:spacing w:after="0" w:line="67" w:lineRule="exact"/>
        <w:rPr>
          <w:sz w:val="20"/>
          <w:szCs w:val="20"/>
          <w:color w:val="auto"/>
        </w:rPr>
      </w:pPr>
    </w:p>
    <w:p>
      <w:pPr>
        <w:ind w:left="680" w:right="340" w:firstLine="399"/>
        <w:spacing w:after="0" w:line="262" w:lineRule="auto"/>
        <w:rPr>
          <w:sz w:val="20"/>
          <w:szCs w:val="20"/>
          <w:color w:val="auto"/>
        </w:rPr>
      </w:pPr>
      <w:r>
        <w:rPr>
          <w:rFonts w:ascii="Arial" w:cs="Arial" w:eastAsia="Arial" w:hAnsi="Arial"/>
          <w:sz w:val="13"/>
          <w:szCs w:val="13"/>
          <w:color w:val="auto"/>
        </w:rPr>
        <w:t>Historically, our revenues have been directly impacted by the number of transactions processed. In recent years, the fourth quarter has had the highest volume of transactions processed due to increased consumer activation activity during the holiday season. The future success of our business depends on the continued growth of consumer and business transactions and, as such, the volume of transactions that we process could fluctuate on a quarterly basis. See “Current Trends Affecting Our Results of Operations” for certain matters regarding future results of operations.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140" w:firstLine="399"/>
        <w:spacing w:after="0" w:line="262" w:lineRule="auto"/>
        <w:rPr>
          <w:sz w:val="20"/>
          <w:szCs w:val="20"/>
          <w:color w:val="auto"/>
        </w:rPr>
      </w:pPr>
      <w:r>
        <w:rPr>
          <w:rFonts w:ascii="Arial" w:cs="Arial" w:eastAsia="Arial" w:hAnsi="Arial"/>
          <w:sz w:val="13"/>
          <w:szCs w:val="13"/>
          <w:color w:val="auto"/>
        </w:rPr>
        <w:t>We currently derive a significant portion of our revenues from one customer, AT&amp;T. For the year ended December 31, 2009, AT&amp;T accounted for approximately 65% of our revenues, compared to 67% for the year ended December 31, 2008. Our five largest customers, AT&amp;T, Vonage, Level 3 Communications, Time Warner Cable and Comcast, accounted for approximately 84% of our revenues for the year ended December 31, 2009, compared to 89% of our revenues for the year ended year ended December 31, 2008. See “Risk Factors” for certain matters bearing risks on our future results of operations.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Costs and Expenses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costs and expenses consist of cost of services, research and development, selling, general and administrative and depreciation and amortization.</w:t>
      </w:r>
    </w:p>
    <w:p>
      <w:pPr>
        <w:spacing w:after="0" w:line="98" w:lineRule="exact"/>
        <w:rPr>
          <w:sz w:val="20"/>
          <w:szCs w:val="20"/>
          <w:color w:val="auto"/>
        </w:rPr>
      </w:pPr>
    </w:p>
    <w:p>
      <w:pPr>
        <w:ind w:left="680" w:right="20" w:firstLine="399"/>
        <w:spacing w:after="0" w:line="291" w:lineRule="auto"/>
        <w:rPr>
          <w:sz w:val="20"/>
          <w:szCs w:val="20"/>
          <w:color w:val="auto"/>
        </w:rPr>
      </w:pPr>
      <w:r>
        <w:rPr>
          <w:rFonts w:ascii="Arial" w:cs="Arial" w:eastAsia="Arial" w:hAnsi="Arial"/>
          <w:sz w:val="12"/>
          <w:szCs w:val="12"/>
          <w:color w:val="auto"/>
        </w:rPr>
        <w:t>Cost of services includes all direct materials, direct labor, cost of facilities and those indirect costs related to revenues such as indirect labor, materials and supplies. Our primary cost of services is related to our information technology and systems department, including network costs, data center maintenance, database management and data processing costs, as well as personnel costs associated with service implementation, customer deployment and customer care. Also included in cost of services are costs associated with our exception handling centers and the maintenance of those centers. Currently, we utilize a combination of employees and third-party providers to process transactions through these centers.</w:t>
      </w:r>
    </w:p>
    <w:p>
      <w:pPr>
        <w:spacing w:after="0" w:line="53"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Research and development expense consists primarily of costs related to personnel, including salaries and other personnel-related expenses, consulting fees and the cost of facilities, computer and support services used in service technology development. We also expense costs relating to developing modifications and minor enhancements of our existing technology and services.</w:t>
      </w:r>
    </w:p>
    <w:p>
      <w:pPr>
        <w:spacing w:after="0" w:line="69"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Selling expense consists of personnel costs including salaries, sales commissions, sales operations and other personnel-related expense, travel and related expense, trade shows, costs of communications equipment and support services, facilities costs, consulting fees and costs of marketing programs, such as Internet and print. General and administrative expense consists primarily of salaries and other personnel-related expense for our executive, administrative, legal, finance and human resources functions, facilities, professional services fees, certain audit, tax and bad debt expense.</w:t>
      </w:r>
    </w:p>
    <w:p>
      <w:pPr>
        <w:spacing w:after="0" w:line="69"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Depreciation and amortization relates to our property and equipment and includes our network infrastructure and facilities. Amortization relates to the customer lists and technology acquired from Wisor Telecom Corporation (“Wisor”) in 2008.</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Current Trends Affecting Our Results of Operations</w:t>
      </w:r>
    </w:p>
    <w:p>
      <w:pPr>
        <w:spacing w:after="0" w:line="10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Our on-demand business model enables delivery of our proprietary solutions over the Web as a service and has been driven by market trends such as various forms of order provisioning, local number portability, the implementation of new technologies, subscriber growth, competitive churn, network changes, growth of the emerging device market (i.e., smartphone devices, netbooks, etc.) and consolidations in the industry. In particular, the emergence of order provisioning of e-commerce transactions for smartphone devices, wireless, VoIP, LNP, and other communication services surrounding the convergence of bundled services has increased the need for our services and we believe will continue to be a source of growth for us.</w:t>
      </w:r>
    </w:p>
    <w:p>
      <w:pPr>
        <w:spacing w:after="0" w:line="70"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color w:val="auto"/>
        </w:rPr>
        <w:t>To support the growth driven by the favorable industry trends mentioned above, we continue to look for opportunities to improve our operating efficiencies, such as the utilization of offshore technical and non-technical resources for our exception handling center management. We believe that these opportunities will continue to provide future benefits and position us to support revenue growth. In addition, we anticipate further automation of the transactions generated by our more mature customers and additional transaction types. Our cost of services can fluctuate from period to period based upon the level of automation and the on-boarding of new transaction types.</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2" w:lineRule="exact"/>
        <w:rPr>
          <w:sz w:val="20"/>
          <w:szCs w:val="20"/>
          <w:color w:val="auto"/>
        </w:rPr>
      </w:pPr>
    </w:p>
    <w:p>
      <w:pPr>
        <w:ind w:left="680" w:right="40" w:firstLine="399"/>
        <w:spacing w:after="0" w:line="283" w:lineRule="auto"/>
        <w:rPr>
          <w:sz w:val="20"/>
          <w:szCs w:val="20"/>
          <w:color w:val="auto"/>
        </w:rPr>
      </w:pPr>
      <w:r>
        <w:rPr>
          <w:rFonts w:ascii="Arial" w:cs="Arial" w:eastAsia="Arial" w:hAnsi="Arial"/>
          <w:sz w:val="12"/>
          <w:szCs w:val="12"/>
          <w:color w:val="auto"/>
        </w:rPr>
        <w:t>The discussion and analysis of our financial condition and results of operations are based on our financial statements, which have been prepared in accordance with U.S. generally accepted accounting principles (“GAAP”). The preparation of these financial statements in accordance with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Securities and Exchange Commission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of our board of directors, and the audit committee has reviewed our related disclosures in this report on Form 10-K. Although we believe that our judgments and estimates are appropriate, correct and reasonable under the circumstances, actual results may differ from those estimates.</w:t>
      </w:r>
    </w:p>
    <w:p>
      <w:pPr>
        <w:spacing w:after="0" w:line="57" w:lineRule="exact"/>
        <w:rPr>
          <w:sz w:val="20"/>
          <w:szCs w:val="20"/>
          <w:color w:val="auto"/>
        </w:rPr>
      </w:pPr>
    </w:p>
    <w:p>
      <w:pPr>
        <w:ind w:left="680" w:firstLine="399"/>
        <w:spacing w:after="0" w:line="299" w:lineRule="auto"/>
        <w:rPr>
          <w:sz w:val="20"/>
          <w:szCs w:val="20"/>
          <w:color w:val="auto"/>
        </w:rPr>
      </w:pPr>
      <w:r>
        <w:rPr>
          <w:rFonts w:ascii="Arial" w:cs="Arial" w:eastAsia="Arial" w:hAnsi="Arial"/>
          <w:sz w:val="12"/>
          <w:szCs w:val="12"/>
          <w:color w:val="auto"/>
        </w:rPr>
        <w:t>We believe the following to be our critical accounting policies because they are important to the portrayal of our financial condition and results of operations and they require critical management judgments and estimates about matters that are uncertain. If actual results or events differ materially from those contemplated by us in making these estimates, our reported financial condition and results of operations for future periods could be materially affected. See “Risk Factors” for certain matters bearing risks on our future results of operations.</w:t>
      </w:r>
    </w:p>
    <w:p>
      <w:pPr>
        <w:spacing w:after="0" w:line="12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Recognition and Deferred Revenue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We provide services principally on a transactional basis or, at times, on a fixed fee basis and recognize the revenues as the services are performed or delivered as discussed below:</w:t>
      </w:r>
    </w:p>
    <w:p>
      <w:pPr>
        <w:spacing w:after="0" w:line="121" w:lineRule="exact"/>
        <w:rPr>
          <w:sz w:val="20"/>
          <w:szCs w:val="20"/>
          <w:color w:val="auto"/>
        </w:rPr>
      </w:pPr>
    </w:p>
    <w:p>
      <w:pPr>
        <w:ind w:left="680" w:right="440" w:firstLine="399"/>
        <w:spacing w:after="0" w:line="266" w:lineRule="auto"/>
        <w:rPr>
          <w:sz w:val="20"/>
          <w:szCs w:val="20"/>
          <w:color w:val="auto"/>
        </w:rPr>
      </w:pPr>
      <w:r>
        <w:rPr>
          <w:rFonts w:ascii="Arial" w:cs="Arial" w:eastAsia="Arial" w:hAnsi="Arial"/>
          <w:sz w:val="13"/>
          <w:szCs w:val="13"/>
          <w:i w:val="1"/>
          <w:iCs w:val="1"/>
          <w:color w:val="auto"/>
        </w:rPr>
        <w:t xml:space="preserve">Transactional Service Arrangements: </w:t>
      </w:r>
      <w:r>
        <w:rPr>
          <w:rFonts w:ascii="Arial" w:cs="Arial" w:eastAsia="Arial" w:hAnsi="Arial"/>
          <w:sz w:val="13"/>
          <w:szCs w:val="13"/>
          <w:color w:val="auto"/>
        </w:rPr>
        <w:t>Transaction revenues consist of revenues derived from the processing of transactions through our service platforms and represented</w:t>
      </w:r>
      <w:r>
        <w:rPr>
          <w:rFonts w:ascii="Arial" w:cs="Arial" w:eastAsia="Arial" w:hAnsi="Arial"/>
          <w:sz w:val="13"/>
          <w:szCs w:val="13"/>
          <w:i w:val="1"/>
          <w:iCs w:val="1"/>
          <w:color w:val="auto"/>
        </w:rPr>
        <w:t xml:space="preserve"> </w:t>
      </w:r>
      <w:r>
        <w:rPr>
          <w:rFonts w:ascii="Arial" w:cs="Arial" w:eastAsia="Arial" w:hAnsi="Arial"/>
          <w:sz w:val="13"/>
          <w:szCs w:val="13"/>
          <w:color w:val="auto"/>
        </w:rPr>
        <w:t>approximately 83%, 83%, and 85% of our revenues for the years ended December 31, 2009, 2008 and 2007, respectively. Transaction service arrangements include services such as equipment orders, new account set-up and activation, number port requests, credit checks and inventory management.</w:t>
      </w:r>
    </w:p>
    <w:p>
      <w:pPr>
        <w:spacing w:after="0" w:line="67" w:lineRule="exact"/>
        <w:rPr>
          <w:sz w:val="20"/>
          <w:szCs w:val="20"/>
          <w:color w:val="auto"/>
        </w:rPr>
      </w:pPr>
    </w:p>
    <w:p>
      <w:pPr>
        <w:jc w:val="both"/>
        <w:ind w:left="680" w:right="120" w:firstLine="399"/>
        <w:spacing w:after="0" w:line="266" w:lineRule="auto"/>
        <w:rPr>
          <w:sz w:val="20"/>
          <w:szCs w:val="20"/>
          <w:color w:val="auto"/>
        </w:rPr>
      </w:pPr>
      <w:r>
        <w:rPr>
          <w:rFonts w:ascii="Arial" w:cs="Arial" w:eastAsia="Arial" w:hAnsi="Arial"/>
          <w:sz w:val="13"/>
          <w:szCs w:val="13"/>
          <w:color w:val="auto"/>
        </w:rPr>
        <w:t>Transaction revenues are principally based on a set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 In many cases as the automation rates increase, transaction costs for our customer decreases.</w:t>
      </w:r>
    </w:p>
    <w:p>
      <w:pPr>
        <w:spacing w:after="0" w:line="67" w:lineRule="exact"/>
        <w:rPr>
          <w:sz w:val="20"/>
          <w:szCs w:val="20"/>
          <w:color w:val="auto"/>
        </w:rPr>
      </w:pPr>
    </w:p>
    <w:p>
      <w:pPr>
        <w:ind w:left="680" w:right="80" w:firstLine="399"/>
        <w:spacing w:after="0" w:line="287" w:lineRule="auto"/>
        <w:rPr>
          <w:sz w:val="20"/>
          <w:szCs w:val="20"/>
          <w:color w:val="auto"/>
        </w:rPr>
      </w:pPr>
      <w:r>
        <w:rPr>
          <w:rFonts w:ascii="Arial" w:cs="Arial" w:eastAsia="Arial" w:hAnsi="Arial"/>
          <w:sz w:val="12"/>
          <w:szCs w:val="12"/>
          <w:color w:val="auto"/>
        </w:rPr>
        <w:t>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based on the number of individuals 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w:t>
      </w:r>
    </w:p>
    <w:p>
      <w:pPr>
        <w:spacing w:after="0" w:line="55"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 revenues represented approximately 15%, 16%, and 14% of our revenues for the years ended December 31, 2009, 2008</w:t>
      </w:r>
      <w:r>
        <w:rPr>
          <w:rFonts w:ascii="Arial" w:cs="Arial" w:eastAsia="Arial" w:hAnsi="Arial"/>
          <w:sz w:val="13"/>
          <w:szCs w:val="13"/>
          <w:i w:val="1"/>
          <w:iCs w:val="1"/>
          <w:color w:val="auto"/>
        </w:rPr>
        <w:t xml:space="preserve"> </w:t>
      </w:r>
      <w:r>
        <w:rPr>
          <w:rFonts w:ascii="Arial" w:cs="Arial" w:eastAsia="Arial" w:hAnsi="Arial"/>
          <w:sz w:val="13"/>
          <w:szCs w:val="13"/>
          <w:color w:val="auto"/>
        </w:rPr>
        <w:t>and 2007, respectively. Professional services, when sold with transactional service arrangements, are accounted for separately when these services have value to the customer on a standalone basis and there is objective and reliable evidence of the fair value of the professional services. When accounted for separately, professional service revenues are recognized on a monthly basis, as services are performed and all other elements of revenue recognition have been satisfied.</w:t>
      </w:r>
    </w:p>
    <w:p>
      <w:pPr>
        <w:spacing w:after="0" w:line="69"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color w:val="auto"/>
        </w:rPr>
        <w:t>In determining whether professional services can be accounted for separately from transaction service revenues, we consider the following factors for each professional services agreement: availability of the professional services from other vendors, whether objective and reliable evidence for fair value exists of the undelivered elements, the nature of the professional services, the timing of when the professional contract was signed in</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comparison to the transaction service start date and the contractual independence of the transactional service from the professional services.</w:t>
      </w:r>
    </w:p>
    <w:p>
      <w:pPr>
        <w:spacing w:after="0" w:line="98" w:lineRule="exact"/>
        <w:rPr>
          <w:sz w:val="20"/>
          <w:szCs w:val="20"/>
          <w:color w:val="auto"/>
        </w:rPr>
      </w:pPr>
    </w:p>
    <w:p>
      <w:pPr>
        <w:ind w:left="680" w:right="380" w:firstLine="399"/>
        <w:spacing w:after="0" w:line="279" w:lineRule="auto"/>
        <w:rPr>
          <w:sz w:val="20"/>
          <w:szCs w:val="20"/>
          <w:color w:val="auto"/>
        </w:rPr>
      </w:pPr>
      <w:r>
        <w:rPr>
          <w:rFonts w:ascii="Arial" w:cs="Arial" w:eastAsia="Arial" w:hAnsi="Arial"/>
          <w:sz w:val="13"/>
          <w:szCs w:val="13"/>
          <w:color w:val="auto"/>
        </w:rPr>
        <w:t>If a professional service arrangement were not to qualify for separate accounting, we would recognize the professional service revenues ratably over the remaining term of the transaction contract. There were no such arrangements for the years ended December 31, 2009, 2008 and 2007.</w:t>
      </w:r>
    </w:p>
    <w:p>
      <w:pPr>
        <w:spacing w:after="0" w:line="5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represented approximately 1% of our revenues for the years ended December 31, 2009, 2008 and 2007,</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and relate principally to our ActivationNow</w:t>
      </w:r>
      <w:r>
        <w:rPr>
          <w:rFonts w:ascii="Arial" w:cs="Arial" w:eastAsia="Arial" w:hAnsi="Arial"/>
          <w:sz w:val="11"/>
          <w:szCs w:val="11"/>
          <w:color w:val="auto"/>
        </w:rPr>
        <w:t>®</w:t>
      </w:r>
      <w:r>
        <w:rPr>
          <w:rFonts w:ascii="Arial" w:cs="Arial" w:eastAsia="Arial" w:hAnsi="Arial"/>
          <w:sz w:val="13"/>
          <w:szCs w:val="13"/>
          <w:color w:val="auto"/>
        </w:rPr>
        <w:t xml:space="preserve"> platform service which the customer accesses through a graphical user interface. We record revenues on a straight-line basis over the life of the contract for our subscription service contracts.</w:t>
      </w:r>
    </w:p>
    <w:p>
      <w:pPr>
        <w:spacing w:after="0" w:line="6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i w:val="1"/>
          <w:iCs w:val="1"/>
          <w:color w:val="auto"/>
        </w:rPr>
        <w:t xml:space="preserve">Deferred Revenue: </w:t>
      </w:r>
      <w:r>
        <w:rPr>
          <w:rFonts w:ascii="Arial" w:cs="Arial" w:eastAsia="Arial" w:hAnsi="Arial"/>
          <w:sz w:val="13"/>
          <w:szCs w:val="13"/>
          <w:color w:val="auto"/>
        </w:rPr>
        <w:t>Deferred revenues primarily represent billings to customers for services in advance of the performance of services, with revenues recognized as the services are</w:t>
      </w:r>
      <w:r>
        <w:rPr>
          <w:rFonts w:ascii="Arial" w:cs="Arial" w:eastAsia="Arial" w:hAnsi="Arial"/>
          <w:sz w:val="13"/>
          <w:szCs w:val="13"/>
          <w:i w:val="1"/>
          <w:iCs w:val="1"/>
          <w:color w:val="auto"/>
        </w:rPr>
        <w:t xml:space="preserve"> </w:t>
      </w:r>
      <w:r>
        <w:rPr>
          <w:rFonts w:ascii="Arial" w:cs="Arial" w:eastAsia="Arial" w:hAnsi="Arial"/>
          <w:sz w:val="13"/>
          <w:szCs w:val="13"/>
          <w:color w:val="auto"/>
        </w:rPr>
        <w:t>rendered, and also includes the fair value of deferred revenues recorded as a result of the Wisor acquisition.</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Service Level Standards</w:t>
      </w:r>
    </w:p>
    <w:p>
      <w:pPr>
        <w:spacing w:after="0" w:line="102"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Pursuant to certain contracts, we are subject to service level standards and to corresponding penalties for failure to meet those standards. All performance-related penalties are reflected as a corresponding reduction of our revenues. These penalties, if applicable, are recorded in the month incurred and were not significant for the years ended December 31, 2009, 2008 and 2007.</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Allowance for Doubtful Accounts</w:t>
      </w:r>
    </w:p>
    <w:p>
      <w:pPr>
        <w:spacing w:after="0" w:line="102"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We maintain an allowance for doubtful accounts for estimated bad debts resulting from the inability of our customers to make required payments. The amount of the allowance account is based on historical experience and our analysis of the accounts receivable balance outstanding. While credit losses have historically been within our expectations and the provisions established, we cannot guarantee that we will continue to experience the same credit losses that we have in the past or that our reserves will be adequate. If the financial condition of one of our customers were to deteriorate, resulting in its inability to make payments, additional allowances may be required which would result in an additional expense in the period that this determination was made.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We account for the effects of income taxes that result from our activities during the current and preceding years. Under this method, deferred income tax liabilities and assets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6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of December 31, 2009, and 2008 we had total unrecognized tax benefit reserves of $994 and $893 which includes $119 and $68 for interest related to uncertain positions, respectively. Components of the reserve are classified as either current or long-term in the consolidated balance sheet based on when we expect each of the items to be settled. Accordingly, we recorded a long-term liability for unrecognized tax benefits of $875 on the balance sheet at December 31, 2009 that would reduce the effective tax rate if recognized. We record interest and penalties accrued in relation to uncertain income tax positions below the operating income line as a component of interest expense. Tax returns for years 2001 and thereafter are subject to future examination by tax authorities.</w:t>
      </w:r>
    </w:p>
    <w:p>
      <w:pPr>
        <w:spacing w:after="0" w:line="70" w:lineRule="exact"/>
        <w:rPr>
          <w:sz w:val="20"/>
          <w:szCs w:val="20"/>
          <w:color w:val="auto"/>
        </w:rPr>
      </w:pPr>
    </w:p>
    <w:p>
      <w:pPr>
        <w:ind w:left="680" w:right="340" w:firstLine="399"/>
        <w:spacing w:after="0" w:line="322" w:lineRule="auto"/>
        <w:rPr>
          <w:sz w:val="20"/>
          <w:szCs w:val="20"/>
          <w:color w:val="auto"/>
        </w:rPr>
      </w:pPr>
      <w:r>
        <w:rPr>
          <w:rFonts w:ascii="Arial" w:cs="Arial" w:eastAsia="Arial" w:hAnsi="Arial"/>
          <w:sz w:val="12"/>
          <w:szCs w:val="12"/>
          <w:color w:val="auto"/>
        </w:rPr>
        <w:t>In 2009, the net increase in the reserve for unrecognized tax benefits was $50 and the net increase for interest expense was $51. We expect that the amount of unrecognized tax benefits will change during fiscal year 2010; however, we do not expect the change to have a significant impact on our results of operations or financial position.</w:t>
      </w:r>
    </w:p>
    <w:p>
      <w:pPr>
        <w:spacing w:after="0" w:line="35"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While we believe we have identified all reasonably identifiable exposures and that the reserve we have established for identifiable exposures is appropriate under the circumstances, it is possible that additional exposures exist and that exposures may be settled at amounts different than the amounts reserved. It is also possible that</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changes in facts and circumstances could cause us to either materially increase or reduce the carrying amount of our tax reserve.</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Stock-Based Compensation</w:t>
      </w:r>
    </w:p>
    <w:p>
      <w:pPr>
        <w:spacing w:after="0" w:line="102"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As of December 31, 2009, we maintain two stock-based compensation plans. Compensation cost is recognized for all share-based payments granted and is based on the grant-date fair value estimated using the weighted-average assumption of the Black-Scholes option pricing models. The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 We classify benefits of tax deductions in excess of the compensation cost recognized (excess tax benefits) as a financing cash inflow with a corresponding operating cash outflow. We included $147, $1.4 million and $3.0 million of excess tax benefits as a financing cash inflow for the years ended December 31, 2009, 2008 and 2007, respectively.</w:t>
      </w:r>
    </w:p>
    <w:p>
      <w:pPr>
        <w:spacing w:after="0" w:line="7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utilize the Black-Scholes option pricing model for determining the estimated fair value for stock-based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We will continue to use this approach using other similar public entity volatility information until our historical volatility is relevant to measure expected volatility for future option grants. The average expected life was determined using the mid-point between the vesting date and the end of the contractual term. The risk-free interest rate is based on U.S. Treasury zero-coupon issues with a remaining term equal to the expected life assumed at the date of grant. We have never declared or paid cash dividends on our common or preferred equity and do not anticipate paying any cash dividends in the foreseeable future. Forfeitures are estimated based on voluntary termination behavior, as well as a historical analysis of actual option forfeitures.</w:t>
      </w:r>
    </w:p>
    <w:p>
      <w:pPr>
        <w:spacing w:after="0" w:line="7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weighted-average assumptions used in the Black-Scholes option pricing model are as follows:</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40" w:type="dxa"/>
            <w:vAlign w:val="bottom"/>
          </w:tcPr>
          <w:p>
            <w:pPr>
              <w:spacing w:after="0"/>
              <w:rPr>
                <w:sz w:val="10"/>
                <w:szCs w:val="10"/>
                <w:color w:val="auto"/>
              </w:rPr>
            </w:pPr>
          </w:p>
        </w:tc>
        <w:tc>
          <w:tcPr>
            <w:tcW w:w="1940" w:type="dxa"/>
            <w:vAlign w:val="bottom"/>
            <w:tcBorders>
              <w:bottom w:val="single" w:sz="8" w:color="auto"/>
            </w:tcBorders>
            <w:gridSpan w:val="5"/>
          </w:tcPr>
          <w:p>
            <w:pPr>
              <w:jc w:val="right"/>
              <w:ind w:right="147"/>
              <w:spacing w:after="0"/>
              <w:rPr>
                <w:sz w:val="20"/>
                <w:szCs w:val="20"/>
                <w:color w:val="auto"/>
              </w:rPr>
            </w:pPr>
            <w:r>
              <w:rPr>
                <w:rFonts w:ascii="Arial" w:cs="Arial" w:eastAsia="Arial" w:hAnsi="Arial"/>
                <w:sz w:val="11"/>
                <w:szCs w:val="11"/>
                <w:b w:val="1"/>
                <w:bCs w:val="1"/>
                <w:color w:val="auto"/>
                <w:w w:val="98"/>
              </w:rPr>
              <w:t>For the Year Ended December 31,</w:t>
            </w:r>
          </w:p>
        </w:tc>
      </w:tr>
      <w:tr>
        <w:trPr>
          <w:trHeight w:val="99"/>
        </w:trPr>
        <w:tc>
          <w:tcPr>
            <w:tcW w:w="8040" w:type="dxa"/>
            <w:vAlign w:val="bottom"/>
          </w:tcPr>
          <w:p>
            <w:pPr>
              <w:spacing w:after="0"/>
              <w:rPr>
                <w:sz w:val="8"/>
                <w:szCs w:val="8"/>
                <w:color w:val="auto"/>
              </w:rPr>
            </w:pPr>
          </w:p>
        </w:tc>
        <w:tc>
          <w:tcPr>
            <w:tcW w:w="460" w:type="dxa"/>
            <w:vAlign w:val="bottom"/>
            <w:tcBorders>
              <w:bottom w:val="single" w:sz="8" w:color="auto"/>
            </w:tcBorders>
          </w:tcPr>
          <w:p>
            <w:pPr>
              <w:jc w:val="right"/>
              <w:ind w:right="58"/>
              <w:spacing w:after="0" w:line="99" w:lineRule="exact"/>
              <w:rPr>
                <w:sz w:val="20"/>
                <w:szCs w:val="20"/>
                <w:color w:val="auto"/>
              </w:rPr>
            </w:pPr>
            <w:r>
              <w:rPr>
                <w:rFonts w:ascii="Arial" w:cs="Arial" w:eastAsia="Arial" w:hAnsi="Arial"/>
                <w:sz w:val="11"/>
                <w:szCs w:val="11"/>
                <w:b w:val="1"/>
                <w:bCs w:val="1"/>
                <w:color w:val="auto"/>
              </w:rPr>
              <w:t>2009</w:t>
            </w:r>
          </w:p>
        </w:tc>
        <w:tc>
          <w:tcPr>
            <w:tcW w:w="300" w:type="dxa"/>
            <w:vAlign w:val="bottom"/>
          </w:tcPr>
          <w:p>
            <w:pPr>
              <w:spacing w:after="0"/>
              <w:rPr>
                <w:sz w:val="8"/>
                <w:szCs w:val="8"/>
                <w:color w:val="auto"/>
              </w:rPr>
            </w:pPr>
          </w:p>
        </w:tc>
        <w:tc>
          <w:tcPr>
            <w:tcW w:w="440" w:type="dxa"/>
            <w:vAlign w:val="bottom"/>
            <w:tcBorders>
              <w:bottom w:val="single" w:sz="8" w:color="auto"/>
            </w:tcBorders>
          </w:tcPr>
          <w:p>
            <w:pPr>
              <w:jc w:val="right"/>
              <w:ind w:right="67"/>
              <w:spacing w:after="0" w:line="99" w:lineRule="exact"/>
              <w:rPr>
                <w:sz w:val="20"/>
                <w:szCs w:val="20"/>
                <w:color w:val="auto"/>
              </w:rPr>
            </w:pPr>
            <w:r>
              <w:rPr>
                <w:rFonts w:ascii="Arial" w:cs="Arial" w:eastAsia="Arial" w:hAnsi="Arial"/>
                <w:sz w:val="11"/>
                <w:szCs w:val="11"/>
                <w:b w:val="1"/>
                <w:bCs w:val="1"/>
                <w:color w:val="auto"/>
              </w:rPr>
              <w:t>2008</w:t>
            </w:r>
          </w:p>
        </w:tc>
        <w:tc>
          <w:tcPr>
            <w:tcW w:w="300" w:type="dxa"/>
            <w:vAlign w:val="bottom"/>
          </w:tcPr>
          <w:p>
            <w:pPr>
              <w:spacing w:after="0"/>
              <w:rPr>
                <w:sz w:val="8"/>
                <w:szCs w:val="8"/>
                <w:color w:val="auto"/>
              </w:rPr>
            </w:pPr>
          </w:p>
        </w:tc>
        <w:tc>
          <w:tcPr>
            <w:tcW w:w="440" w:type="dxa"/>
            <w:vAlign w:val="bottom"/>
            <w:tcBorders>
              <w:bottom w:val="single" w:sz="8" w:color="auto"/>
            </w:tcBorders>
          </w:tcPr>
          <w:p>
            <w:pPr>
              <w:jc w:val="right"/>
              <w:ind w:right="67"/>
              <w:spacing w:after="0" w:line="99" w:lineRule="exact"/>
              <w:rPr>
                <w:sz w:val="20"/>
                <w:szCs w:val="20"/>
                <w:color w:val="auto"/>
              </w:rPr>
            </w:pPr>
            <w:r>
              <w:rPr>
                <w:rFonts w:ascii="Arial" w:cs="Arial" w:eastAsia="Arial" w:hAnsi="Arial"/>
                <w:sz w:val="11"/>
                <w:szCs w:val="11"/>
                <w:b w:val="1"/>
                <w:bCs w:val="1"/>
                <w:color w:val="auto"/>
              </w:rPr>
              <w:t>2007</w:t>
            </w:r>
          </w:p>
        </w:tc>
      </w:tr>
      <w:tr>
        <w:trPr>
          <w:trHeight w:val="179"/>
        </w:trPr>
        <w:tc>
          <w:tcPr>
            <w:tcW w:w="804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460" w:type="dxa"/>
            <w:vAlign w:val="bottom"/>
          </w:tcPr>
          <w:p>
            <w:pPr>
              <w:jc w:val="right"/>
              <w:spacing w:after="0"/>
              <w:rPr>
                <w:sz w:val="20"/>
                <w:szCs w:val="20"/>
                <w:color w:val="auto"/>
              </w:rPr>
            </w:pPr>
            <w:r>
              <w:rPr>
                <w:rFonts w:ascii="Arial" w:cs="Arial" w:eastAsia="Arial" w:hAnsi="Arial"/>
                <w:sz w:val="13"/>
                <w:szCs w:val="13"/>
                <w:color w:val="auto"/>
              </w:rPr>
              <w:t>62%</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59%</w:t>
            </w:r>
          </w:p>
        </w:tc>
      </w:tr>
      <w:tr>
        <w:trPr>
          <w:trHeight w:val="158"/>
        </w:trPr>
        <w:tc>
          <w:tcPr>
            <w:tcW w:w="80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60" w:type="dxa"/>
            <w:vAlign w:val="bottom"/>
          </w:tcPr>
          <w:p>
            <w:pPr>
              <w:jc w:val="right"/>
              <w:spacing w:after="0"/>
              <w:rPr>
                <w:sz w:val="20"/>
                <w:szCs w:val="20"/>
                <w:color w:val="auto"/>
              </w:rPr>
            </w:pPr>
            <w:r>
              <w:rPr>
                <w:rFonts w:ascii="Arial" w:cs="Arial" w:eastAsia="Arial" w:hAnsi="Arial"/>
                <w:sz w:val="13"/>
                <w:szCs w:val="13"/>
                <w:color w:val="auto"/>
              </w:rPr>
              <w:t>2.81%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3.81%</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4.63%</w:t>
            </w:r>
          </w:p>
        </w:tc>
      </w:tr>
      <w:tr>
        <w:trPr>
          <w:trHeight w:val="158"/>
        </w:trPr>
        <w:tc>
          <w:tcPr>
            <w:tcW w:w="8040" w:type="dxa"/>
            <w:vAlign w:val="bottom"/>
          </w:tcPr>
          <w:p>
            <w:pPr>
              <w:spacing w:after="0"/>
              <w:rPr>
                <w:sz w:val="20"/>
                <w:szCs w:val="20"/>
                <w:color w:val="auto"/>
              </w:rPr>
            </w:pPr>
            <w:r>
              <w:rPr>
                <w:rFonts w:ascii="Arial" w:cs="Arial" w:eastAsia="Arial" w:hAnsi="Arial"/>
                <w:sz w:val="13"/>
                <w:szCs w:val="13"/>
                <w:color w:val="auto"/>
              </w:rPr>
              <w:t>Expected life of options (in years)</w:t>
            </w:r>
          </w:p>
        </w:tc>
        <w:tc>
          <w:tcPr>
            <w:tcW w:w="460" w:type="dxa"/>
            <w:vAlign w:val="bottom"/>
          </w:tcPr>
          <w:p>
            <w:pPr>
              <w:jc w:val="right"/>
              <w:ind w:right="58"/>
              <w:spacing w:after="0"/>
              <w:rPr>
                <w:sz w:val="20"/>
                <w:szCs w:val="20"/>
                <w:color w:val="auto"/>
              </w:rPr>
            </w:pPr>
            <w:r>
              <w:rPr>
                <w:rFonts w:ascii="Arial" w:cs="Arial" w:eastAsia="Arial" w:hAnsi="Arial"/>
                <w:sz w:val="13"/>
                <w:szCs w:val="13"/>
                <w:color w:val="auto"/>
              </w:rPr>
              <w:t>4.9</w:t>
            </w:r>
          </w:p>
        </w:tc>
        <w:tc>
          <w:tcPr>
            <w:tcW w:w="740" w:type="dxa"/>
            <w:vAlign w:val="bottom"/>
            <w:gridSpan w:val="2"/>
          </w:tcPr>
          <w:p>
            <w:pPr>
              <w:jc w:val="right"/>
              <w:ind w:right="67"/>
              <w:spacing w:after="0"/>
              <w:rPr>
                <w:sz w:val="20"/>
                <w:szCs w:val="20"/>
                <w:color w:val="auto"/>
              </w:rPr>
            </w:pPr>
            <w:r>
              <w:rPr>
                <w:rFonts w:ascii="Arial" w:cs="Arial" w:eastAsia="Arial" w:hAnsi="Arial"/>
                <w:sz w:val="13"/>
                <w:szCs w:val="13"/>
                <w:color w:val="auto"/>
              </w:rPr>
              <w:t>5.2</w:t>
            </w:r>
          </w:p>
        </w:tc>
        <w:tc>
          <w:tcPr>
            <w:tcW w:w="740" w:type="dxa"/>
            <w:vAlign w:val="bottom"/>
            <w:gridSpan w:val="2"/>
          </w:tcPr>
          <w:p>
            <w:pPr>
              <w:jc w:val="right"/>
              <w:ind w:right="67"/>
              <w:spacing w:after="0"/>
              <w:rPr>
                <w:sz w:val="20"/>
                <w:szCs w:val="20"/>
                <w:color w:val="auto"/>
              </w:rPr>
            </w:pPr>
            <w:r>
              <w:rPr>
                <w:rFonts w:ascii="Arial" w:cs="Arial" w:eastAsia="Arial" w:hAnsi="Arial"/>
                <w:sz w:val="13"/>
                <w:szCs w:val="13"/>
                <w:color w:val="auto"/>
              </w:rPr>
              <w:t>5.9</w:t>
            </w: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460" w:type="dxa"/>
            <w:vAlign w:val="bottom"/>
          </w:tcPr>
          <w:p>
            <w:pPr>
              <w:jc w:val="right"/>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82" w:lineRule="exact"/>
        <w:rPr>
          <w:sz w:val="20"/>
          <w:szCs w:val="20"/>
          <w:color w:val="auto"/>
        </w:rPr>
      </w:pPr>
    </w:p>
    <w:p>
      <w:pPr>
        <w:ind w:left="680" w:right="300" w:firstLine="399"/>
        <w:spacing w:after="0" w:line="374" w:lineRule="auto"/>
        <w:rPr>
          <w:sz w:val="20"/>
          <w:szCs w:val="20"/>
          <w:color w:val="auto"/>
        </w:rPr>
      </w:pPr>
      <w:r>
        <w:rPr>
          <w:rFonts w:ascii="Arial" w:cs="Arial" w:eastAsia="Arial" w:hAnsi="Arial"/>
          <w:sz w:val="11"/>
          <w:szCs w:val="11"/>
          <w:color w:val="auto"/>
        </w:rPr>
        <w:t>The weighted-average fair value (as of the date of grant) of the options granted was $6.67, $8.42 and $12.52 per share for the year ended December 31, 2009, 2008 and 2007, respectively. The total stock-based compensation cost related to non-vested equity awards not yet recognized as an expense as of December 31, 2009 was approximately $15.5 million.</w:t>
      </w:r>
    </w:p>
    <w:p>
      <w:pPr>
        <w:spacing w:after="0" w:line="11"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During October 2009, the Compensation Committee of our Board of Directors approved amendments to stock options held by certain employees to permit transferability of such options to family members. As a result of the amendments, options to purchase an aggregate of 401,962 shares of our common stock no longer qualify as “incentive stock options” under Section 422 of the Internal Revenue Code of 1986, as amended. Accordingly, we treated the amended stock options as if they were non-qualified stock options since inception, which resulted in a deferred tax asset of approximately $1.7 million. Also, there was no incremental compensation cost associated with each amended stock option resulting from the measurement of the excess of the fair value of the stock option immediately following its amendment over the fair value of the stock option immediately prior to its amendment based on the share price and other pertinent factors at that date.</w:t>
      </w:r>
    </w:p>
    <w:p>
      <w:pPr>
        <w:spacing w:after="0" w:line="14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Goodwill</w:t>
      </w:r>
    </w:p>
    <w:p>
      <w:pPr>
        <w:spacing w:after="0" w:line="102" w:lineRule="exact"/>
        <w:rPr>
          <w:sz w:val="20"/>
          <w:szCs w:val="20"/>
          <w:color w:val="auto"/>
        </w:rPr>
      </w:pPr>
    </w:p>
    <w:p>
      <w:pPr>
        <w:ind w:left="680" w:right="140" w:firstLine="399"/>
        <w:spacing w:after="0" w:line="279" w:lineRule="auto"/>
        <w:rPr>
          <w:sz w:val="20"/>
          <w:szCs w:val="20"/>
          <w:color w:val="auto"/>
        </w:rPr>
      </w:pPr>
      <w:r>
        <w:rPr>
          <w:rFonts w:ascii="Arial" w:cs="Arial" w:eastAsia="Arial" w:hAnsi="Arial"/>
          <w:sz w:val="13"/>
          <w:szCs w:val="13"/>
          <w:color w:val="auto"/>
        </w:rPr>
        <w:t>Goodwill represents the excess of the purchase price over the fair value of assets acquired, including other definite-lived intangible assets. Goodwill is not amortized, but reviewed annually for impairment or upon the</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line="279" w:lineRule="auto"/>
        <w:rPr>
          <w:sz w:val="20"/>
          <w:szCs w:val="20"/>
          <w:color w:val="auto"/>
        </w:rPr>
      </w:pPr>
      <w:r>
        <w:rPr>
          <w:rFonts w:ascii="Arial" w:cs="Arial" w:eastAsia="Arial" w:hAnsi="Arial"/>
          <w:sz w:val="13"/>
          <w:szCs w:val="13"/>
          <w:color w:val="auto"/>
        </w:rPr>
        <w:t>occurrence of events or changes in circumstances that would more likely than not reduce the fair value of the reporting unit below its carrying amount. We performed our annual impairment test noting no impairment, and we do not believe we are at risk for impairment.</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2009, compared to the Year ended December 31, 2008</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2009 and 2008.</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6"/>
          </w:tcPr>
          <w:p>
            <w:pPr>
              <w:jc w:val="right"/>
              <w:ind w:right="713"/>
              <w:spacing w:after="0"/>
              <w:rPr>
                <w:sz w:val="20"/>
                <w:szCs w:val="20"/>
                <w:color w:val="auto"/>
              </w:rPr>
            </w:pPr>
            <w:r>
              <w:rPr>
                <w:rFonts w:ascii="Arial" w:cs="Arial" w:eastAsia="Arial" w:hAnsi="Arial"/>
                <w:sz w:val="11"/>
                <w:szCs w:val="11"/>
                <w:b w:val="1"/>
                <w:bCs w:val="1"/>
                <w:color w:val="auto"/>
                <w:w w:val="93"/>
              </w:rPr>
              <w:t>Year Ended December 31,</w:t>
            </w: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200"/>
              <w:spacing w:after="0" w:line="99" w:lineRule="exact"/>
              <w:rPr>
                <w:sz w:val="20"/>
                <w:szCs w:val="20"/>
                <w:color w:val="auto"/>
              </w:rPr>
            </w:pPr>
            <w:r>
              <w:rPr>
                <w:rFonts w:ascii="Arial" w:cs="Arial" w:eastAsia="Arial" w:hAnsi="Arial"/>
                <w:sz w:val="11"/>
                <w:szCs w:val="11"/>
                <w:b w:val="1"/>
                <w:bCs w:val="1"/>
                <w:color w:val="auto"/>
              </w:rPr>
              <w:t>2009</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520"/>
              <w:spacing w:after="0" w:line="99" w:lineRule="exact"/>
              <w:rPr>
                <w:sz w:val="20"/>
                <w:szCs w:val="20"/>
                <w:color w:val="auto"/>
              </w:rPr>
            </w:pPr>
            <w:r>
              <w:rPr>
                <w:rFonts w:ascii="Arial" w:cs="Arial" w:eastAsia="Arial" w:hAnsi="Arial"/>
                <w:sz w:val="11"/>
                <w:szCs w:val="11"/>
                <w:b w:val="1"/>
                <w:bCs w:val="1"/>
                <w:color w:val="auto"/>
              </w:rPr>
              <w:t>2008</w:t>
            </w: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restart"/>
          </w:tcPr>
          <w:p>
            <w:pPr>
              <w:jc w:val="right"/>
              <w:ind w:right="620"/>
              <w:spacing w:after="0"/>
              <w:rPr>
                <w:sz w:val="20"/>
                <w:szCs w:val="20"/>
                <w:color w:val="auto"/>
              </w:rPr>
            </w:pPr>
            <w:r>
              <w:rPr>
                <w:rFonts w:ascii="Arial" w:cs="Arial" w:eastAsia="Arial" w:hAnsi="Arial"/>
                <w:sz w:val="11"/>
                <w:szCs w:val="11"/>
                <w:b w:val="1"/>
                <w:bCs w:val="1"/>
                <w:color w:val="auto"/>
              </w:rPr>
              <w:t>2009 vs 2008</w:t>
            </w:r>
          </w:p>
        </w:tc>
        <w:tc>
          <w:tcPr>
            <w:tcW w:w="0" w:type="dxa"/>
            <w:vAlign w:val="bottom"/>
          </w:tcPr>
          <w:p>
            <w:pPr>
              <w:spacing w:after="0"/>
              <w:rPr>
                <w:sz w:val="1"/>
                <w:szCs w:val="1"/>
                <w:color w:val="auto"/>
              </w:rPr>
            </w:pPr>
          </w:p>
        </w:tc>
      </w:tr>
      <w:tr>
        <w:trPr>
          <w:trHeight w:val="99"/>
        </w:trPr>
        <w:tc>
          <w:tcPr>
            <w:tcW w:w="3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78"/>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jc w:val="right"/>
              <w:ind w:right="7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30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jc w:val="right"/>
              <w:ind w:right="258"/>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2"/>
              </w:rPr>
              <w:t>thousands)</w:t>
            </w: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82"/>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tcBorders>
              <w:top w:val="single" w:sz="8" w:color="auto"/>
            </w:tcBorders>
          </w:tcPr>
          <w:p>
            <w:pPr>
              <w:jc w:val="right"/>
              <w:ind w:right="17"/>
              <w:spacing w:after="0" w:line="99" w:lineRule="exact"/>
              <w:rPr>
                <w:sz w:val="20"/>
                <w:szCs w:val="20"/>
                <w:color w:val="auto"/>
              </w:rPr>
            </w:pPr>
            <w:r>
              <w:rPr>
                <w:rFonts w:ascii="Arial" w:cs="Arial" w:eastAsia="Arial" w:hAnsi="Arial"/>
                <w:sz w:val="11"/>
                <w:szCs w:val="11"/>
                <w:b w:val="1"/>
                <w:bCs w:val="1"/>
                <w:color w:val="auto"/>
                <w:w w:val="84"/>
              </w:rPr>
              <w:t>Change</w:t>
            </w:r>
          </w:p>
        </w:tc>
        <w:tc>
          <w:tcPr>
            <w:tcW w:w="4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ind w:right="7"/>
              <w:spacing w:after="0" w:line="99" w:lineRule="exact"/>
              <w:rPr>
                <w:sz w:val="20"/>
                <w:szCs w:val="20"/>
                <w:color w:val="auto"/>
              </w:rPr>
            </w:pPr>
            <w:r>
              <w:rPr>
                <w:rFonts w:ascii="Arial" w:cs="Arial" w:eastAsia="Arial" w:hAnsi="Arial"/>
                <w:sz w:val="11"/>
                <w:szCs w:val="11"/>
                <w:b w:val="1"/>
                <w:bCs w:val="1"/>
                <w:color w:val="auto"/>
                <w:w w:val="93"/>
              </w:rPr>
              <w:t>% Change</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0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(In</w:t>
            </w:r>
          </w:p>
        </w:tc>
        <w:tc>
          <w:tcPr>
            <w:tcW w:w="440" w:type="dxa"/>
            <w:vAlign w:val="bottom"/>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060" w:type="dxa"/>
            <w:vAlign w:val="bottom"/>
          </w:tcPr>
          <w:p>
            <w:pPr>
              <w:spacing w:after="0"/>
              <w:rPr>
                <w:sz w:val="20"/>
                <w:szCs w:val="20"/>
                <w:color w:val="auto"/>
              </w:rPr>
            </w:pPr>
            <w:r>
              <w:rPr>
                <w:rFonts w:ascii="Arial" w:cs="Arial" w:eastAsia="Arial" w:hAnsi="Arial"/>
                <w:sz w:val="13"/>
                <w:szCs w:val="13"/>
                <w:color w:val="auto"/>
              </w:rPr>
              <w:t>Net revenue</w:t>
            </w: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128,805</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110,982</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17,823</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3"/>
                <w:szCs w:val="13"/>
                <w:color w:val="auto"/>
              </w:rPr>
              <w:t>Cost of services*</w:t>
            </w: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06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64,455</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50.0%</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53,528</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48.2%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10,927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13,153</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11,049</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2,104</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19.0%</w:t>
            </w:r>
          </w:p>
        </w:tc>
        <w:tc>
          <w:tcPr>
            <w:tcW w:w="0" w:type="dxa"/>
            <w:vAlign w:val="bottom"/>
          </w:tcPr>
          <w:p>
            <w:pPr>
              <w:spacing w:after="0"/>
              <w:rPr>
                <w:sz w:val="1"/>
                <w:szCs w:val="1"/>
                <w:color w:val="auto"/>
              </w:rPr>
            </w:pPr>
          </w:p>
        </w:tc>
      </w:tr>
      <w:tr>
        <w:trPr>
          <w:trHeight w:val="158"/>
        </w:trPr>
        <w:tc>
          <w:tcPr>
            <w:tcW w:w="306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23,650</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18.4%</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21,718</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19.6%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1,932</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66"/>
        </w:trPr>
        <w:tc>
          <w:tcPr>
            <w:tcW w:w="306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8,499</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6,656</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1,843</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27.7%</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109,757</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85.2%</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92,951</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83.8%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16,806</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18.1%</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060" w:type="dxa"/>
            <w:vAlign w:val="bottom"/>
            <w:vMerge w:val="continue"/>
          </w:tcPr>
          <w:p>
            <w:pPr>
              <w:spacing w:after="0"/>
              <w:rPr>
                <w:sz w:val="13"/>
                <w:szCs w:val="13"/>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19,048</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14.8%</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18,031</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16.2%</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1,017</w:t>
            </w:r>
          </w:p>
        </w:tc>
        <w:tc>
          <w:tcPr>
            <w:tcW w:w="1100" w:type="dxa"/>
            <w:vAlign w:val="bottom"/>
            <w:gridSpan w:val="3"/>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900" w:hanging="21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Cost of services excludes depreciation which is shown separately.</w:t>
      </w:r>
    </w:p>
    <w:p>
      <w:pPr>
        <w:spacing w:after="0" w:line="98"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i w:val="1"/>
          <w:iCs w:val="1"/>
          <w:color w:val="auto"/>
        </w:rPr>
        <w:t xml:space="preserve">Net Revenue. </w:t>
      </w:r>
      <w:r>
        <w:rPr>
          <w:rFonts w:ascii="Arial" w:cs="Arial" w:eastAsia="Arial" w:hAnsi="Arial"/>
          <w:sz w:val="12"/>
          <w:szCs w:val="12"/>
          <w:color w:val="auto"/>
        </w:rPr>
        <w:t>Net revenues increased by $17.8 million to $128.8 million in 2009, compared to 2008. This increase was primarily due to increased revenues from existing customers.</w:t>
      </w:r>
      <w:r>
        <w:rPr>
          <w:rFonts w:ascii="Arial" w:cs="Arial" w:eastAsia="Arial" w:hAnsi="Arial"/>
          <w:sz w:val="12"/>
          <w:szCs w:val="12"/>
          <w:i w:val="1"/>
          <w:iCs w:val="1"/>
          <w:color w:val="auto"/>
        </w:rPr>
        <w:t xml:space="preserve"> </w:t>
      </w:r>
      <w:r>
        <w:rPr>
          <w:rFonts w:ascii="Arial" w:cs="Arial" w:eastAsia="Arial" w:hAnsi="Arial"/>
          <w:sz w:val="12"/>
          <w:szCs w:val="12"/>
          <w:color w:val="auto"/>
        </w:rPr>
        <w:t>Net revenues related to AT&amp;T increased by $9.0 million to $83.7 million for 2009, compared to 2008. AT&amp;T represented 64.9% and 67.3% of our revenues for 2009 and 2008, respectively. Net revenues outside of our AT&amp;T relationship increased by $8.8 million in 2009 compared to 2008. Net revenues outside of AT&amp;T represented 35.1% and 32.7% of our revenues in 2009 and 2008, respectively. Transaction revenues recognized for the year ended December 31, 2009 and 2008 represented 82.6% or $106.4 million and 83.5% or $92.6 million of net revenues, respectively. Professional service revenues as a percentage of sales were 15.2% or $19.6 million in 2009, compared to 15.6% or $17.3 million in 2008.</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increased $10.9 million to $64.5 million in 2009, compared to 2008, due primarily to an increase of $4.9 million in personnel and related costs and</w:t>
      </w:r>
      <w:r>
        <w:rPr>
          <w:rFonts w:ascii="Arial" w:cs="Arial" w:eastAsia="Arial" w:hAnsi="Arial"/>
          <w:sz w:val="13"/>
          <w:szCs w:val="13"/>
          <w:i w:val="1"/>
          <w:iCs w:val="1"/>
          <w:color w:val="auto"/>
        </w:rPr>
        <w:t xml:space="preserve"> </w:t>
      </w:r>
      <w:r>
        <w:rPr>
          <w:rFonts w:ascii="Arial" w:cs="Arial" w:eastAsia="Arial" w:hAnsi="Arial"/>
          <w:sz w:val="13"/>
          <w:szCs w:val="13"/>
          <w:color w:val="auto"/>
        </w:rPr>
        <w:t>an increase of $0.6 million in stock-based compensation. The increase in personnel and related costs was due primarily to an increase in headcount. In addition, there was an increase of $1.8 million in telecommunication and facility costs related to the expansion in infrastructure to accommodate the growth of our customers and the transition to our new facilities in Bethlehem, PA and Bangalore, India. Also, there was an increase of $3.0 million for outside consultants related to programs for our customers. Cost of services as a percentage of net revenues increased to 50.0% for 2009, as compared to 48.2% for 2008.</w:t>
      </w:r>
    </w:p>
    <w:p>
      <w:pPr>
        <w:spacing w:after="0" w:line="70"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Research and development expense increased approximately $2.1 million to $13.2 million in 2009, compared to 2008, due primarily to an increase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$2.9 million in personnel and related costs. The increase in personnel and related costs was due primarily the development of new technology such as the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12"/>
          <w:szCs w:val="12"/>
          <w:color w:val="auto"/>
        </w:rPr>
        <w:t xml:space="preserve"> platform and other functionality in existing platforms and the support of new customers. The growth of personnel was distributed between our United States and India development centers. Also, an increase of $0.4 million in additional telecommunication, and facility costs related to our new data facilities contributed to the increase offset by a decrease of $1.0 million in outside consulting costs, due to the utilization of employees. Research and development expense as a percentage of net revenues increased to 10.2% for 2009, compared to 10.0% in 2008.</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i w:val="1"/>
          <w:iCs w:val="1"/>
          <w:color w:val="auto"/>
        </w:rPr>
        <w:t xml:space="preserve">Selling, General and Administrative. </w:t>
      </w:r>
      <w:r>
        <w:rPr>
          <w:rFonts w:ascii="Arial" w:cs="Arial" w:eastAsia="Arial" w:hAnsi="Arial"/>
          <w:sz w:val="12"/>
          <w:szCs w:val="12"/>
          <w:color w:val="auto"/>
        </w:rPr>
        <w:t>Selling, general and administrative expenses increased $1.9 million to $23.7 million in 2009, compared to 2008, due primarily to an increase of</w:t>
      </w:r>
      <w:r>
        <w:rPr>
          <w:rFonts w:ascii="Arial" w:cs="Arial" w:eastAsia="Arial" w:hAnsi="Arial"/>
          <w:sz w:val="12"/>
          <w:szCs w:val="12"/>
          <w:i w:val="1"/>
          <w:iCs w:val="1"/>
          <w:color w:val="auto"/>
        </w:rPr>
        <w:t xml:space="preserve"> </w:t>
      </w:r>
      <w:r>
        <w:rPr>
          <w:rFonts w:ascii="Arial" w:cs="Arial" w:eastAsia="Arial" w:hAnsi="Arial"/>
          <w:sz w:val="12"/>
          <w:szCs w:val="12"/>
          <w:color w:val="auto"/>
        </w:rPr>
        <w:t>$0.9 million in personnel and related costs and an increase in stock-based compensation expense of $0.5 million offset by a decrease of $0.3 million in consulting service costs. The increase in personnel and related costs was primarily due to an increase in headcount offset by reduced use of outside consultants. Bad debt expense increased $0.6 million primarily due to an increase in our current year account receivable balances and a specific reserve for one of our customers which has experienced deterioration in its financial condition. Also, legal and accounting professional services increased approximately $0.3 million primarily due to additional tax planning services and the defense of our securities litigation. Selling, general and administrative expense as a percentage of net revenues decreased to 18.4% for 2009, as compared to 19.6% for 2008.</w:t>
      </w:r>
    </w:p>
    <w:p>
      <w:pPr>
        <w:spacing w:after="0" w:line="58"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increased $1.8 million to $8.5 million in 2009, compared to 2008, due to growth in the invested value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and the amortization of intangible assets acquired from Wisor. As a result of the amount of fixed assets acquired in 2009 and 2008, depreciation and amortization expense as a percentage of net revenues increased to 6.6% for 2009, as compared to 6.0% for 2008.</w:t>
      </w:r>
    </w:p>
    <w:p>
      <w:pPr>
        <w:spacing w:after="0" w:line="67" w:lineRule="exact"/>
        <w:rPr>
          <w:sz w:val="20"/>
          <w:szCs w:val="20"/>
          <w:color w:val="auto"/>
        </w:rPr>
      </w:pPr>
    </w:p>
    <w:p>
      <w:pPr>
        <w:jc w:val="both"/>
        <w:ind w:left="680" w:right="20" w:firstLine="399"/>
        <w:spacing w:after="0" w:line="337" w:lineRule="auto"/>
        <w:rPr>
          <w:sz w:val="20"/>
          <w:szCs w:val="20"/>
          <w:color w:val="auto"/>
        </w:rPr>
      </w:pPr>
      <w:r>
        <w:rPr>
          <w:rFonts w:ascii="Arial" w:cs="Arial" w:eastAsia="Arial" w:hAnsi="Arial"/>
          <w:sz w:val="11"/>
          <w:szCs w:val="11"/>
          <w:i w:val="1"/>
          <w:iCs w:val="1"/>
          <w:color w:val="auto"/>
        </w:rPr>
        <w:t xml:space="preserve">Income from Operations. </w:t>
      </w:r>
      <w:r>
        <w:rPr>
          <w:rFonts w:ascii="Arial" w:cs="Arial" w:eastAsia="Arial" w:hAnsi="Arial"/>
          <w:sz w:val="11"/>
          <w:szCs w:val="11"/>
          <w:color w:val="auto"/>
        </w:rPr>
        <w:t>Income from operations increased $1.0 million to $19.0 million in 2009, compared to 2008. Income from operations decreased as a percentage of revenues</w:t>
      </w:r>
      <w:r>
        <w:rPr>
          <w:rFonts w:ascii="Arial" w:cs="Arial" w:eastAsia="Arial" w:hAnsi="Arial"/>
          <w:sz w:val="11"/>
          <w:szCs w:val="11"/>
          <w:i w:val="1"/>
          <w:iCs w:val="1"/>
          <w:color w:val="auto"/>
        </w:rPr>
        <w:t xml:space="preserve"> </w:t>
      </w:r>
      <w:r>
        <w:rPr>
          <w:rFonts w:ascii="Arial" w:cs="Arial" w:eastAsia="Arial" w:hAnsi="Arial"/>
          <w:sz w:val="11"/>
          <w:szCs w:val="11"/>
          <w:color w:val="auto"/>
        </w:rPr>
        <w:t>to 14.8% in 2009, compared to 16.2% in 2008. This decrease was primarily due to increased costs related to exception handling of some of our newer transactions for both existing and new customers, the completion and transition to our new Bethlehem, PA and Bangalore, India facilities and the continued new investments we are making in research and development.</w:t>
      </w:r>
    </w:p>
    <w:p>
      <w:pPr>
        <w:spacing w:after="0" w:line="31" w:lineRule="exact"/>
        <w:rPr>
          <w:sz w:val="20"/>
          <w:szCs w:val="20"/>
          <w:color w:val="auto"/>
        </w:rPr>
      </w:pPr>
    </w:p>
    <w:p>
      <w:pPr>
        <w:jc w:val="both"/>
        <w:ind w:left="680" w:firstLine="399"/>
        <w:spacing w:after="0" w:line="279" w:lineRule="auto"/>
        <w:rPr>
          <w:sz w:val="20"/>
          <w:szCs w:val="20"/>
          <w:color w:val="auto"/>
        </w:rPr>
      </w:pPr>
      <w:r>
        <w:rPr>
          <w:rFonts w:ascii="Arial" w:cs="Arial" w:eastAsia="Arial" w:hAnsi="Arial"/>
          <w:sz w:val="13"/>
          <w:szCs w:val="13"/>
          <w:i w:val="1"/>
          <w:iCs w:val="1"/>
          <w:color w:val="auto"/>
        </w:rPr>
        <w:t xml:space="preserve">Interest and other income. </w:t>
      </w:r>
      <w:r>
        <w:rPr>
          <w:rFonts w:ascii="Arial" w:cs="Arial" w:eastAsia="Arial" w:hAnsi="Arial"/>
          <w:sz w:val="13"/>
          <w:szCs w:val="13"/>
          <w:color w:val="auto"/>
        </w:rPr>
        <w:t>Interest and other income decreased $1.8 million to $526 in 2009, compared to 2008. Interest and other income decreased primarily due to lower effective</w:t>
      </w:r>
      <w:r>
        <w:rPr>
          <w:rFonts w:ascii="Arial" w:cs="Arial" w:eastAsia="Arial" w:hAnsi="Arial"/>
          <w:sz w:val="13"/>
          <w:szCs w:val="13"/>
          <w:i w:val="1"/>
          <w:iCs w:val="1"/>
          <w:color w:val="auto"/>
        </w:rPr>
        <w:t xml:space="preserve"> </w:t>
      </w:r>
      <w:r>
        <w:rPr>
          <w:rFonts w:ascii="Arial" w:cs="Arial" w:eastAsia="Arial" w:hAnsi="Arial"/>
          <w:sz w:val="13"/>
          <w:szCs w:val="13"/>
          <w:color w:val="auto"/>
        </w:rPr>
        <w:t>interest rates on our investments.</w:t>
      </w:r>
    </w:p>
    <w:p>
      <w:pPr>
        <w:spacing w:after="0" w:line="58"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Interest expense increased $645 to $741 in 2009, compared to 2008. Interest expense increased primarily due to the lease financing obligation related to our</w:t>
      </w:r>
      <w:r>
        <w:rPr>
          <w:rFonts w:ascii="Arial" w:cs="Arial" w:eastAsia="Arial" w:hAnsi="Arial"/>
          <w:sz w:val="13"/>
          <w:szCs w:val="13"/>
          <w:i w:val="1"/>
          <w:iCs w:val="1"/>
          <w:color w:val="auto"/>
        </w:rPr>
        <w:t xml:space="preserve"> </w:t>
      </w:r>
      <w:r>
        <w:rPr>
          <w:rFonts w:ascii="Arial" w:cs="Arial" w:eastAsia="Arial" w:hAnsi="Arial"/>
          <w:sz w:val="13"/>
          <w:szCs w:val="13"/>
          <w:color w:val="auto"/>
        </w:rPr>
        <w:t>Pennsylvania facility that began in April 2009 offset by lower expense related to the Wisor obligations that were ended in 2008. During 2009 we recognized approximately $674 of interest expense related to the facility lease.</w:t>
      </w:r>
    </w:p>
    <w:p>
      <w:pPr>
        <w:spacing w:after="0" w:line="67" w:lineRule="exact"/>
        <w:rPr>
          <w:sz w:val="20"/>
          <w:szCs w:val="20"/>
          <w:color w:val="auto"/>
        </w:rPr>
      </w:pPr>
    </w:p>
    <w:p>
      <w:pPr>
        <w:ind w:left="680" w:right="20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34.7% and 41.5% during 2009 and 2008, respectively. Our effective rate was lower in 2009 primarily due to the tax benefit</w:t>
      </w:r>
      <w:r>
        <w:rPr>
          <w:rFonts w:ascii="Arial" w:cs="Arial" w:eastAsia="Arial" w:hAnsi="Arial"/>
          <w:sz w:val="13"/>
          <w:szCs w:val="13"/>
          <w:i w:val="1"/>
          <w:iCs w:val="1"/>
          <w:color w:val="auto"/>
        </w:rPr>
        <w:t xml:space="preserve"> </w:t>
      </w:r>
      <w:r>
        <w:rPr>
          <w:rFonts w:ascii="Arial" w:cs="Arial" w:eastAsia="Arial" w:hAnsi="Arial"/>
          <w:sz w:val="13"/>
          <w:szCs w:val="13"/>
          <w:color w:val="auto"/>
        </w:rPr>
        <w:t>received from the amendment and disqualification of certain incentive stock options and an increase in our services being performed in foreign countries. During 2009 and 2008, we recognized approximately $6.5 million and $8.4 million in related tax expense, respectively.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2008, compared to the Year ended December 31, 2007</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an overview of our results of operations for the years ended December 31, 2008 and 2007.</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40" w:type="dxa"/>
            <w:vAlign w:val="bottom"/>
            <w:tcBorders>
              <w:bottom w:val="single" w:sz="8" w:color="auto"/>
            </w:tcBorders>
            <w:gridSpan w:val="6"/>
          </w:tcPr>
          <w:p>
            <w:pPr>
              <w:jc w:val="right"/>
              <w:ind w:right="713"/>
              <w:spacing w:after="0"/>
              <w:rPr>
                <w:sz w:val="20"/>
                <w:szCs w:val="20"/>
                <w:color w:val="auto"/>
              </w:rPr>
            </w:pPr>
            <w:r>
              <w:rPr>
                <w:rFonts w:ascii="Arial" w:cs="Arial" w:eastAsia="Arial" w:hAnsi="Arial"/>
                <w:sz w:val="11"/>
                <w:szCs w:val="11"/>
                <w:b w:val="1"/>
                <w:bCs w:val="1"/>
                <w:color w:val="auto"/>
                <w:w w:val="93"/>
              </w:rPr>
              <w:t>Year Ended December 31,</w:t>
            </w:r>
          </w:p>
        </w:tc>
        <w:tc>
          <w:tcPr>
            <w:tcW w:w="46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jc w:val="right"/>
              <w:ind w:right="200"/>
              <w:spacing w:after="0" w:line="99" w:lineRule="exact"/>
              <w:rPr>
                <w:sz w:val="20"/>
                <w:szCs w:val="20"/>
                <w:color w:val="auto"/>
              </w:rPr>
            </w:pPr>
            <w:r>
              <w:rPr>
                <w:rFonts w:ascii="Arial" w:cs="Arial" w:eastAsia="Arial" w:hAnsi="Arial"/>
                <w:sz w:val="11"/>
                <w:szCs w:val="11"/>
                <w:b w:val="1"/>
                <w:bCs w:val="1"/>
                <w:color w:val="auto"/>
              </w:rPr>
              <w:t>2008</w:t>
            </w:r>
          </w:p>
        </w:tc>
        <w:tc>
          <w:tcPr>
            <w:tcW w:w="5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gridSpan w:val="2"/>
          </w:tcPr>
          <w:p>
            <w:pPr>
              <w:ind w:left="520"/>
              <w:spacing w:after="0" w:line="99" w:lineRule="exact"/>
              <w:rPr>
                <w:sz w:val="20"/>
                <w:szCs w:val="20"/>
                <w:color w:val="auto"/>
              </w:rPr>
            </w:pPr>
            <w:r>
              <w:rPr>
                <w:rFonts w:ascii="Arial" w:cs="Arial" w:eastAsia="Arial" w:hAnsi="Arial"/>
                <w:sz w:val="11"/>
                <w:szCs w:val="11"/>
                <w:b w:val="1"/>
                <w:bCs w:val="1"/>
                <w:color w:val="auto"/>
              </w:rPr>
              <w:t>2007</w:t>
            </w:r>
          </w:p>
        </w:tc>
        <w:tc>
          <w:tcPr>
            <w:tcW w:w="4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vMerge w:val="restart"/>
          </w:tcPr>
          <w:p>
            <w:pPr>
              <w:jc w:val="right"/>
              <w:ind w:right="640"/>
              <w:spacing w:after="0"/>
              <w:rPr>
                <w:sz w:val="20"/>
                <w:szCs w:val="20"/>
                <w:color w:val="auto"/>
              </w:rPr>
            </w:pPr>
            <w:r>
              <w:rPr>
                <w:rFonts w:ascii="Arial" w:cs="Arial" w:eastAsia="Arial" w:hAnsi="Arial"/>
                <w:sz w:val="11"/>
                <w:szCs w:val="11"/>
                <w:b w:val="1"/>
                <w:bCs w:val="1"/>
                <w:color w:val="auto"/>
              </w:rPr>
              <w:t>2008 vs. 2007</w:t>
            </w: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jc w:val="right"/>
              <w:ind w:right="78"/>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jc w:val="right"/>
              <w:ind w:right="77"/>
              <w:spacing w:after="0" w:line="99" w:lineRule="exact"/>
              <w:rPr>
                <w:sz w:val="20"/>
                <w:szCs w:val="20"/>
                <w:color w:val="auto"/>
              </w:rPr>
            </w:pPr>
            <w:r>
              <w:rPr>
                <w:rFonts w:ascii="Arial" w:cs="Arial" w:eastAsia="Arial" w:hAnsi="Arial"/>
                <w:sz w:val="11"/>
                <w:szCs w:val="11"/>
                <w:b w:val="1"/>
                <w:bCs w:val="1"/>
                <w:color w:val="auto"/>
              </w:rPr>
              <w:t>% of</w:t>
            </w: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4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7"/>
              <w:spacing w:after="0" w:line="99" w:lineRule="exact"/>
              <w:rPr>
                <w:sz w:val="20"/>
                <w:szCs w:val="20"/>
                <w:color w:val="auto"/>
              </w:rPr>
            </w:pPr>
            <w:r>
              <w:rPr>
                <w:rFonts w:ascii="Arial" w:cs="Arial" w:eastAsia="Arial" w:hAnsi="Arial"/>
                <w:sz w:val="11"/>
                <w:szCs w:val="11"/>
                <w:b w:val="1"/>
                <w:bCs w:val="1"/>
                <w:color w:val="auto"/>
              </w:rPr>
              <w:t>$</w:t>
            </w:r>
          </w:p>
        </w:tc>
        <w:tc>
          <w:tcPr>
            <w:tcW w:w="400" w:type="dxa"/>
            <w:vAlign w:val="bottom"/>
          </w:tcPr>
          <w:p>
            <w:pPr>
              <w:spacing w:after="0"/>
              <w:rPr>
                <w:sz w:val="8"/>
                <w:szCs w:val="8"/>
                <w:color w:val="auto"/>
              </w:rPr>
            </w:pPr>
          </w:p>
        </w:tc>
        <w:tc>
          <w:tcPr>
            <w:tcW w:w="76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91"/>
              </w:rPr>
              <w:t>Revenue</w:t>
            </w: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jc w:val="right"/>
              <w:ind w:right="258"/>
              <w:spacing w:after="0" w:line="99" w:lineRule="exact"/>
              <w:rPr>
                <w:sz w:val="20"/>
                <w:szCs w:val="20"/>
                <w:color w:val="auto"/>
              </w:rPr>
            </w:pPr>
            <w:r>
              <w:rPr>
                <w:rFonts w:ascii="Arial" w:cs="Arial" w:eastAsia="Arial" w:hAnsi="Arial"/>
                <w:sz w:val="11"/>
                <w:szCs w:val="11"/>
                <w:b w:val="1"/>
                <w:bCs w:val="1"/>
                <w:color w:val="auto"/>
              </w:rPr>
              <w:t>$</w:t>
            </w:r>
          </w:p>
        </w:tc>
        <w:tc>
          <w:tcPr>
            <w:tcW w:w="440" w:type="dxa"/>
            <w:vAlign w:val="bottom"/>
            <w:vMerge w:val="restart"/>
          </w:tcPr>
          <w:p>
            <w:pPr>
              <w:spacing w:after="0"/>
              <w:rPr>
                <w:sz w:val="20"/>
                <w:szCs w:val="20"/>
                <w:color w:val="auto"/>
              </w:rPr>
            </w:pPr>
            <w:r>
              <w:rPr>
                <w:rFonts w:ascii="Arial" w:cs="Arial" w:eastAsia="Arial" w:hAnsi="Arial"/>
                <w:sz w:val="9"/>
                <w:szCs w:val="9"/>
                <w:b w:val="1"/>
                <w:bCs w:val="1"/>
                <w:color w:val="auto"/>
                <w:w w:val="82"/>
              </w:rPr>
              <w:t>thousands)</w:t>
            </w:r>
          </w:p>
        </w:tc>
        <w:tc>
          <w:tcPr>
            <w:tcW w:w="720" w:type="dxa"/>
            <w:vAlign w:val="bottom"/>
            <w:gridSpan w:val="2"/>
          </w:tcPr>
          <w:p>
            <w:pPr>
              <w:jc w:val="right"/>
              <w:ind w:right="320"/>
              <w:spacing w:after="0" w:line="99" w:lineRule="exact"/>
              <w:rPr>
                <w:sz w:val="20"/>
                <w:szCs w:val="20"/>
                <w:color w:val="auto"/>
              </w:rPr>
            </w:pPr>
            <w:r>
              <w:rPr>
                <w:rFonts w:ascii="Arial" w:cs="Arial" w:eastAsia="Arial" w:hAnsi="Arial"/>
                <w:sz w:val="11"/>
                <w:szCs w:val="11"/>
                <w:b w:val="1"/>
                <w:bCs w:val="1"/>
                <w:color w:val="auto"/>
                <w:w w:val="82"/>
              </w:rPr>
              <w:t>Revenue</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840" w:type="dxa"/>
            <w:vAlign w:val="bottom"/>
            <w:tcBorders>
              <w:top w:val="single" w:sz="8" w:color="auto"/>
            </w:tcBorders>
            <w:gridSpan w:val="2"/>
          </w:tcPr>
          <w:p>
            <w:pPr>
              <w:jc w:val="right"/>
              <w:ind w:right="480"/>
              <w:spacing w:after="0" w:line="99" w:lineRule="exact"/>
              <w:rPr>
                <w:sz w:val="20"/>
                <w:szCs w:val="20"/>
                <w:color w:val="auto"/>
              </w:rPr>
            </w:pPr>
            <w:r>
              <w:rPr>
                <w:rFonts w:ascii="Arial" w:cs="Arial" w:eastAsia="Arial" w:hAnsi="Arial"/>
                <w:sz w:val="11"/>
                <w:szCs w:val="11"/>
                <w:b w:val="1"/>
                <w:bCs w:val="1"/>
                <w:color w:val="auto"/>
                <w:w w:val="84"/>
              </w:rPr>
              <w:t>Change</w:t>
            </w:r>
          </w:p>
        </w:tc>
        <w:tc>
          <w:tcPr>
            <w:tcW w:w="580" w:type="dxa"/>
            <w:vAlign w:val="bottom"/>
            <w:tcBorders>
              <w:top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93"/>
              </w:rPr>
              <w:t>% Change</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38"/>
              <w:spacing w:after="0"/>
              <w:rPr>
                <w:sz w:val="20"/>
                <w:szCs w:val="20"/>
                <w:color w:val="auto"/>
              </w:rPr>
            </w:pPr>
            <w:r>
              <w:rPr>
                <w:rFonts w:ascii="Arial" w:cs="Arial" w:eastAsia="Arial" w:hAnsi="Arial"/>
                <w:sz w:val="11"/>
                <w:szCs w:val="11"/>
                <w:b w:val="1"/>
                <w:bCs w:val="1"/>
                <w:color w:val="auto"/>
              </w:rPr>
              <w:t>(In</w:t>
            </w:r>
          </w:p>
        </w:tc>
        <w:tc>
          <w:tcPr>
            <w:tcW w:w="440" w:type="dxa"/>
            <w:vAlign w:val="bottom"/>
            <w:vMerge w:val="continue"/>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4140" w:type="dxa"/>
            <w:vAlign w:val="bottom"/>
          </w:tcPr>
          <w:p>
            <w:pPr>
              <w:spacing w:after="0"/>
              <w:rPr>
                <w:sz w:val="20"/>
                <w:szCs w:val="20"/>
                <w:color w:val="auto"/>
              </w:rPr>
            </w:pPr>
            <w:r>
              <w:rPr>
                <w:rFonts w:ascii="Arial" w:cs="Arial" w:eastAsia="Arial" w:hAnsi="Arial"/>
                <w:sz w:val="13"/>
                <w:szCs w:val="13"/>
                <w:color w:val="auto"/>
              </w:rPr>
              <w:t>Net revenue</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110,982</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123,538</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100.0%</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(12,556)</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51"/>
        </w:trPr>
        <w:tc>
          <w:tcPr>
            <w:tcW w:w="4140" w:type="dxa"/>
            <w:vAlign w:val="bottom"/>
          </w:tcPr>
          <w:p>
            <w:pPr>
              <w:spacing w:after="0"/>
              <w:rPr>
                <w:sz w:val="20"/>
                <w:szCs w:val="20"/>
                <w:color w:val="auto"/>
              </w:rPr>
            </w:pPr>
            <w:r>
              <w:rPr>
                <w:rFonts w:ascii="Arial" w:cs="Arial" w:eastAsia="Arial" w:hAnsi="Arial"/>
                <w:sz w:val="13"/>
                <w:szCs w:val="13"/>
                <w:color w:val="auto"/>
                <w:w w:val="93"/>
              </w:rPr>
              <w:t>Cost of services ($0 and $0 were purchased from a related party in 2008 and</w:t>
            </w: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140" w:type="dxa"/>
            <w:vAlign w:val="bottom"/>
          </w:tcPr>
          <w:p>
            <w:pPr>
              <w:ind w:left="140"/>
              <w:spacing w:after="0"/>
              <w:rPr>
                <w:sz w:val="20"/>
                <w:szCs w:val="20"/>
                <w:color w:val="auto"/>
              </w:rPr>
            </w:pPr>
            <w:r>
              <w:rPr>
                <w:rFonts w:ascii="Arial" w:cs="Arial" w:eastAsia="Arial" w:hAnsi="Arial"/>
                <w:sz w:val="13"/>
                <w:szCs w:val="13"/>
                <w:color w:val="auto"/>
              </w:rPr>
              <w:t>2007, respectively)*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53,528</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48.2%</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55,305</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44.8%</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rPr>
              <w:t>(1,777)</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11,049</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10.0%</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10,629</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420</w:t>
            </w:r>
          </w:p>
        </w:tc>
        <w:tc>
          <w:tcPr>
            <w:tcW w:w="4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8"/>
        </w:trPr>
        <w:tc>
          <w:tcPr>
            <w:tcW w:w="4140" w:type="dxa"/>
            <w:vAlign w:val="bottom"/>
          </w:tcPr>
          <w:p>
            <w:pPr>
              <w:spacing w:after="0"/>
              <w:rPr>
                <w:sz w:val="20"/>
                <w:szCs w:val="20"/>
                <w:color w:val="auto"/>
              </w:rPr>
            </w:pPr>
            <w:r>
              <w:rPr>
                <w:rFonts w:ascii="Arial" w:cs="Arial" w:eastAsia="Arial" w:hAnsi="Arial"/>
                <w:sz w:val="13"/>
                <w:szCs w:val="13"/>
                <w:color w:val="auto"/>
              </w:rPr>
              <w:t>Selling, general and administrative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21,718</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19.6%</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18,531</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15.0%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3,187</w:t>
            </w:r>
          </w:p>
        </w:tc>
        <w:tc>
          <w:tcPr>
            <w:tcW w:w="40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17.2%</w:t>
            </w:r>
          </w:p>
        </w:tc>
        <w:tc>
          <w:tcPr>
            <w:tcW w:w="0" w:type="dxa"/>
            <w:vAlign w:val="bottom"/>
          </w:tcPr>
          <w:p>
            <w:pPr>
              <w:spacing w:after="0"/>
              <w:rPr>
                <w:sz w:val="1"/>
                <w:szCs w:val="1"/>
                <w:color w:val="auto"/>
              </w:rPr>
            </w:pPr>
          </w:p>
        </w:tc>
      </w:tr>
      <w:tr>
        <w:trPr>
          <w:trHeight w:val="166"/>
        </w:trPr>
        <w:tc>
          <w:tcPr>
            <w:tcW w:w="4140" w:type="dxa"/>
            <w:vAlign w:val="bottom"/>
          </w:tcPr>
          <w:p>
            <w:pPr>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6,656</w:t>
            </w:r>
          </w:p>
        </w:tc>
        <w:tc>
          <w:tcPr>
            <w:tcW w:w="4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6.0%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5,237</w:t>
            </w:r>
          </w:p>
        </w:tc>
        <w:tc>
          <w:tcPr>
            <w:tcW w:w="44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1,419</w:t>
            </w:r>
          </w:p>
        </w:tc>
        <w:tc>
          <w:tcPr>
            <w:tcW w:w="400" w:type="dxa"/>
            <w:vAlign w:val="bottom"/>
          </w:tcPr>
          <w:p>
            <w:pPr>
              <w:spacing w:after="0"/>
              <w:rPr>
                <w:sz w:val="14"/>
                <w:szCs w:val="1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92,951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83.8%</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89,702</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72.6%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3,249</w:t>
            </w:r>
          </w:p>
        </w:tc>
        <w:tc>
          <w:tcPr>
            <w:tcW w:w="4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3"/>
                <w:szCs w:val="13"/>
                <w:color w:val="auto"/>
              </w:rPr>
              <w:t>Income from operations</w:t>
            </w: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40" w:type="dxa"/>
            <w:vAlign w:val="bottom"/>
            <w:vMerge w:val="continue"/>
          </w:tcPr>
          <w:p>
            <w:pPr>
              <w:spacing w:after="0"/>
              <w:rPr>
                <w:sz w:val="13"/>
                <w:szCs w:val="13"/>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18,031</w:t>
            </w:r>
          </w:p>
        </w:tc>
        <w:tc>
          <w:tcPr>
            <w:tcW w:w="40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16.2%</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33,836</w:t>
            </w:r>
          </w:p>
        </w:tc>
        <w:tc>
          <w:tcPr>
            <w:tcW w:w="4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27.4%</w:t>
            </w:r>
          </w:p>
        </w:tc>
        <w:tc>
          <w:tcPr>
            <w:tcW w:w="3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3"/>
                <w:szCs w:val="13"/>
                <w:color w:val="auto"/>
                <w:w w:val="94"/>
              </w:rPr>
              <w:t>(15,805)</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(46.7)%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900" w:hanging="21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Cost of services excludes depreciation which is shown separately.</w:t>
      </w:r>
    </w:p>
    <w:p>
      <w:pPr>
        <w:spacing w:after="0" w:line="98" w:lineRule="exact"/>
        <w:rPr>
          <w:sz w:val="20"/>
          <w:szCs w:val="20"/>
          <w:color w:val="auto"/>
        </w:rPr>
      </w:pPr>
    </w:p>
    <w:p>
      <w:pPr>
        <w:ind w:left="680" w:right="80" w:firstLine="399"/>
        <w:spacing w:after="0" w:line="259" w:lineRule="auto"/>
        <w:rPr>
          <w:sz w:val="20"/>
          <w:szCs w:val="20"/>
          <w:color w:val="auto"/>
        </w:rPr>
      </w:pPr>
      <w:r>
        <w:rPr>
          <w:rFonts w:ascii="Arial" w:cs="Arial" w:eastAsia="Arial" w:hAnsi="Arial"/>
          <w:sz w:val="13"/>
          <w:szCs w:val="13"/>
          <w:i w:val="1"/>
          <w:iCs w:val="1"/>
          <w:color w:val="auto"/>
        </w:rPr>
        <w:t xml:space="preserve">Net Revenue. </w:t>
      </w:r>
      <w:r>
        <w:rPr>
          <w:rFonts w:ascii="Arial" w:cs="Arial" w:eastAsia="Arial" w:hAnsi="Arial"/>
          <w:sz w:val="13"/>
          <w:szCs w:val="13"/>
          <w:color w:val="auto"/>
        </w:rPr>
        <w:t>Net revenues decreased by $12.6 million to $111.0 million in 2008, compared to 2007. This decline was due primarily to decreased revenues associated with the</w:t>
      </w:r>
      <w:r>
        <w:rPr>
          <w:rFonts w:ascii="Arial" w:cs="Arial" w:eastAsia="Arial" w:hAnsi="Arial"/>
          <w:sz w:val="13"/>
          <w:szCs w:val="13"/>
          <w:i w:val="1"/>
          <w:iCs w:val="1"/>
          <w:color w:val="auto"/>
        </w:rPr>
        <w:t xml:space="preserve"> </w:t>
      </w:r>
      <w:r>
        <w:rPr>
          <w:rFonts w:ascii="Arial" w:cs="Arial" w:eastAsia="Arial" w:hAnsi="Arial"/>
          <w:sz w:val="13"/>
          <w:szCs w:val="13"/>
          <w:color w:val="auto"/>
        </w:rPr>
        <w:t>activation of iPhones on AT&amp;T’s network. Net revenues related to AT&amp;T decreased by $19.8 million to $74.7 million for 2008, compared to 2007. AT&amp;T represented 67.3% and 76.5% of our revenues for 2008 and 2007, respectively. Net revenues outside of our AT&amp;T relationship increased by $7.2 million in 2008 compared to 2007. Net revenues outside of AT&amp;T represented 32.7% and 23.5% of our revenues in 2008 and 2007, respectively. Transaction revenues recognized for the year ended December 31, 2008 represented 83.5% or $92.6 million and 84.6% or $104.6 million of net revenues, respectively. Professional service revenues as a percentage of sales were 15.6% or $17.3 million in 2008, compared to 14.6% or $18.0 million in 2007.</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Expense</w:t>
      </w:r>
    </w:p>
    <w:p>
      <w:pPr>
        <w:spacing w:after="0" w:line="98" w:lineRule="exact"/>
        <w:rPr>
          <w:sz w:val="20"/>
          <w:szCs w:val="20"/>
          <w:color w:val="auto"/>
        </w:rPr>
      </w:pPr>
    </w:p>
    <w:p>
      <w:pPr>
        <w:ind w:left="680" w:right="260" w:firstLine="399"/>
        <w:spacing w:after="0" w:line="260" w:lineRule="auto"/>
        <w:rPr>
          <w:sz w:val="20"/>
          <w:szCs w:val="20"/>
          <w:color w:val="auto"/>
        </w:rPr>
      </w:pPr>
      <w:r>
        <w:rPr>
          <w:rFonts w:ascii="Arial" w:cs="Arial" w:eastAsia="Arial" w:hAnsi="Arial"/>
          <w:sz w:val="13"/>
          <w:szCs w:val="13"/>
          <w:i w:val="1"/>
          <w:iCs w:val="1"/>
          <w:color w:val="auto"/>
        </w:rPr>
        <w:t xml:space="preserve">Cost of Services. </w:t>
      </w:r>
      <w:r>
        <w:rPr>
          <w:rFonts w:ascii="Arial" w:cs="Arial" w:eastAsia="Arial" w:hAnsi="Arial"/>
          <w:sz w:val="13"/>
          <w:szCs w:val="13"/>
          <w:color w:val="auto"/>
        </w:rPr>
        <w:t>Cost of services decreased $1.8 million to $53.5 million in 2008, compared to 2007. Personnel and related costs and third party consulting service costs for</w:t>
      </w:r>
      <w:r>
        <w:rPr>
          <w:rFonts w:ascii="Arial" w:cs="Arial" w:eastAsia="Arial" w:hAnsi="Arial"/>
          <w:sz w:val="13"/>
          <w:szCs w:val="13"/>
          <w:i w:val="1"/>
          <w:iCs w:val="1"/>
          <w:color w:val="auto"/>
        </w:rPr>
        <w:t xml:space="preserve"> </w:t>
      </w:r>
      <w:r>
        <w:rPr>
          <w:rFonts w:ascii="Arial" w:cs="Arial" w:eastAsia="Arial" w:hAnsi="Arial"/>
          <w:sz w:val="13"/>
          <w:szCs w:val="13"/>
          <w:color w:val="auto"/>
        </w:rPr>
        <w:t>management of exception handling decreased $3.8 million. This decrease in cost of services corresponds to the decrease in revenue for the period due primarily to the declining volume associated with activation of iPhones on AT&amp;T’s network. This decrease was partially offset by an increase in repairs and maintenance of $0.5 million and an increase in stock-based compensation expense of $0.9 million, compared to 2007. Cost of services as a percentage of net revenues increased 48.2% for 2008, as compared to 44.8% for 2007, due principally to fewer automated transactions as compared to the prior year.</w:t>
      </w:r>
    </w:p>
    <w:p>
      <w:pPr>
        <w:spacing w:after="0" w:line="70"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 increased approximately $0.4 million to $11.0 million for 2008, compared to 2007, due primarily to an increase in</w:t>
      </w:r>
      <w:r>
        <w:rPr>
          <w:rFonts w:ascii="Arial" w:cs="Arial" w:eastAsia="Arial" w:hAnsi="Arial"/>
          <w:sz w:val="13"/>
          <w:szCs w:val="13"/>
          <w:i w:val="1"/>
          <w:iCs w:val="1"/>
          <w:color w:val="auto"/>
        </w:rPr>
        <w:t xml:space="preserve"> </w:t>
      </w:r>
      <w:r>
        <w:rPr>
          <w:rFonts w:ascii="Arial" w:cs="Arial" w:eastAsia="Arial" w:hAnsi="Arial"/>
          <w:sz w:val="13"/>
          <w:szCs w:val="13"/>
          <w:color w:val="auto"/>
        </w:rPr>
        <w:t>stock-based compensation of $0.5 million. Research and development expense as a percentage of net revenues increased to 10.0% for 2008, compared to 8.6% in 2007. The percentage increase was due to expenses in 2008 being fairly consistent with 2007 but revenues decreased in 2008.</w:t>
      </w:r>
    </w:p>
    <w:p>
      <w:pPr>
        <w:spacing w:after="0" w:line="67" w:lineRule="exact"/>
        <w:rPr>
          <w:sz w:val="20"/>
          <w:szCs w:val="20"/>
          <w:color w:val="auto"/>
        </w:rPr>
      </w:pPr>
    </w:p>
    <w:p>
      <w:pPr>
        <w:jc w:val="both"/>
        <w:ind w:left="680" w:right="440" w:firstLine="399"/>
        <w:spacing w:after="0" w:line="266"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increased $3.2 million in 2008, compared to 2007, due primarily to increased stock-based</w:t>
      </w:r>
      <w:r>
        <w:rPr>
          <w:rFonts w:ascii="Arial" w:cs="Arial" w:eastAsia="Arial" w:hAnsi="Arial"/>
          <w:sz w:val="13"/>
          <w:szCs w:val="13"/>
          <w:i w:val="1"/>
          <w:iCs w:val="1"/>
          <w:color w:val="auto"/>
        </w:rPr>
        <w:t xml:space="preserve"> </w:t>
      </w:r>
      <w:r>
        <w:rPr>
          <w:rFonts w:ascii="Arial" w:cs="Arial" w:eastAsia="Arial" w:hAnsi="Arial"/>
          <w:sz w:val="13"/>
          <w:szCs w:val="13"/>
          <w:color w:val="auto"/>
        </w:rPr>
        <w:t>compensation of $2.5 million and increases in personnel and related costs totaling $0.6 million. As a result of these increases and lower revenues, selling, general and administrative expense as a percentage of net revenues increased to 19.6% for 2008, as compared to 15.0% for 2007.</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i w:val="1"/>
          <w:iCs w:val="1"/>
          <w:color w:val="auto"/>
        </w:rPr>
        <w:t xml:space="preserve">Depreciation and amortization. </w:t>
      </w:r>
      <w:r>
        <w:rPr>
          <w:rFonts w:ascii="Arial" w:cs="Arial" w:eastAsia="Arial" w:hAnsi="Arial"/>
          <w:sz w:val="13"/>
          <w:szCs w:val="13"/>
          <w:color w:val="auto"/>
        </w:rPr>
        <w:t>Depreciation and amortization expense increased $1.4 million to $6.7 million for 2008, compared to 2007, due to growth in the invested value of our</w:t>
      </w:r>
      <w:r>
        <w:rPr>
          <w:rFonts w:ascii="Arial" w:cs="Arial" w:eastAsia="Arial" w:hAnsi="Arial"/>
          <w:sz w:val="13"/>
          <w:szCs w:val="13"/>
          <w:i w:val="1"/>
          <w:iCs w:val="1"/>
          <w:color w:val="auto"/>
        </w:rPr>
        <w:t xml:space="preserve"> </w:t>
      </w:r>
      <w:r>
        <w:rPr>
          <w:rFonts w:ascii="Arial" w:cs="Arial" w:eastAsia="Arial" w:hAnsi="Arial"/>
          <w:sz w:val="13"/>
          <w:szCs w:val="13"/>
          <w:color w:val="auto"/>
        </w:rPr>
        <w:t>infrastructure in 2007 and the amortization of intangible assets acquired from Wisor. As a result of the amount of fixed assets purchased in 2007, depreciation and amortization expense as a percentage of net revenues increased to 6.0% for 2008, as compared to 4.2% for 2007.</w:t>
      </w:r>
    </w:p>
    <w:p>
      <w:pPr>
        <w:spacing w:after="0" w:line="67" w:lineRule="exact"/>
        <w:rPr>
          <w:sz w:val="20"/>
          <w:szCs w:val="20"/>
          <w:color w:val="auto"/>
        </w:rPr>
      </w:pPr>
    </w:p>
    <w:p>
      <w:pPr>
        <w:ind w:left="680" w:right="240" w:firstLine="399"/>
        <w:spacing w:after="0" w:line="266" w:lineRule="auto"/>
        <w:rPr>
          <w:sz w:val="20"/>
          <w:szCs w:val="20"/>
          <w:color w:val="auto"/>
        </w:rPr>
      </w:pPr>
      <w:r>
        <w:rPr>
          <w:rFonts w:ascii="Arial" w:cs="Arial" w:eastAsia="Arial" w:hAnsi="Arial"/>
          <w:sz w:val="13"/>
          <w:szCs w:val="13"/>
          <w:i w:val="1"/>
          <w:iCs w:val="1"/>
          <w:color w:val="auto"/>
        </w:rPr>
        <w:t xml:space="preserve">Income from Operations. </w:t>
      </w:r>
      <w:r>
        <w:rPr>
          <w:rFonts w:ascii="Arial" w:cs="Arial" w:eastAsia="Arial" w:hAnsi="Arial"/>
          <w:sz w:val="13"/>
          <w:szCs w:val="13"/>
          <w:color w:val="auto"/>
        </w:rPr>
        <w:t>Income from operations decreased $15.8 million to $18.0 million in 2008, compared to 2007. Income from operations decreased as a percentage of</w:t>
      </w:r>
      <w:r>
        <w:rPr>
          <w:rFonts w:ascii="Arial" w:cs="Arial" w:eastAsia="Arial" w:hAnsi="Arial"/>
          <w:sz w:val="13"/>
          <w:szCs w:val="13"/>
          <w:i w:val="1"/>
          <w:iCs w:val="1"/>
          <w:color w:val="auto"/>
        </w:rPr>
        <w:t xml:space="preserve"> </w:t>
      </w:r>
      <w:r>
        <w:rPr>
          <w:rFonts w:ascii="Arial" w:cs="Arial" w:eastAsia="Arial" w:hAnsi="Arial"/>
          <w:sz w:val="13"/>
          <w:szCs w:val="13"/>
          <w:color w:val="auto"/>
        </w:rPr>
        <w:t>revenues to 16.2% in 2008, compared to 27.4% in 2007. This decrease was primarily due to decreased revenues associated with the activation of iPhones on AT&amp;T’s network and lower gross profits due primarily to fewer automated transactions as compared to 2007.</w:t>
      </w:r>
    </w:p>
    <w:p>
      <w:pPr>
        <w:spacing w:after="0" w:line="67"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i w:val="1"/>
          <w:iCs w:val="1"/>
          <w:color w:val="auto"/>
        </w:rPr>
        <w:t xml:space="preserve">Income Tax. </w:t>
      </w:r>
      <w:r>
        <w:rPr>
          <w:rFonts w:ascii="Arial" w:cs="Arial" w:eastAsia="Arial" w:hAnsi="Arial"/>
          <w:sz w:val="13"/>
          <w:szCs w:val="13"/>
          <w:color w:val="auto"/>
        </w:rPr>
        <w:t>Our effective tax rate was approximately 41.5% and approximately 37.1% during 2008 and 2007, respectively. Our effective rate was lower last year due to the</w:t>
      </w:r>
      <w:r>
        <w:rPr>
          <w:rFonts w:ascii="Arial" w:cs="Arial" w:eastAsia="Arial" w:hAnsi="Arial"/>
          <w:sz w:val="13"/>
          <w:szCs w:val="13"/>
          <w:i w:val="1"/>
          <w:iCs w:val="1"/>
          <w:color w:val="auto"/>
        </w:rPr>
        <w:t xml:space="preserve"> </w:t>
      </w:r>
      <w:r>
        <w:rPr>
          <w:rFonts w:ascii="Arial" w:cs="Arial" w:eastAsia="Arial" w:hAnsi="Arial"/>
          <w:sz w:val="13"/>
          <w:szCs w:val="13"/>
          <w:color w:val="auto"/>
        </w:rPr>
        <w:t>recognition of a net cumulative R&amp;D tax credit of approximately $1.2 million during 2007. Exclusive of this item, the effective tax rate for 2007 would have been 40.2%. During 2008 and 2007, we recognized approximately $8.4 million and $14.0 million in related tax expense, respectively.</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Unaudited Quarterly Results of Operations</w:t>
      </w:r>
    </w:p>
    <w:p>
      <w:pPr>
        <w:spacing w:after="0" w:line="103"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1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2"/>
          </w:tcPr>
          <w:p>
            <w:pPr>
              <w:jc w:val="right"/>
              <w:ind w:right="627"/>
              <w:spacing w:after="0"/>
              <w:rPr>
                <w:sz w:val="20"/>
                <w:szCs w:val="20"/>
                <w:color w:val="auto"/>
              </w:rPr>
            </w:pPr>
            <w:r>
              <w:rPr>
                <w:rFonts w:ascii="Arial" w:cs="Arial" w:eastAsia="Arial" w:hAnsi="Arial"/>
                <w:sz w:val="11"/>
                <w:szCs w:val="11"/>
                <w:b w:val="1"/>
                <w:bCs w:val="1"/>
                <w:color w:val="auto"/>
                <w:w w:val="91"/>
              </w:rPr>
              <w:t>Quarter Ended</w:t>
            </w:r>
          </w:p>
        </w:tc>
        <w:tc>
          <w:tcPr>
            <w:tcW w:w="2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r>
        <w:trPr>
          <w:trHeight w:val="99"/>
        </w:trPr>
        <w:tc>
          <w:tcPr>
            <w:tcW w:w="5120" w:type="dxa"/>
            <w:vAlign w:val="bottom"/>
          </w:tcPr>
          <w:p>
            <w:pPr>
              <w:spacing w:after="0"/>
              <w:rPr>
                <w:sz w:val="8"/>
                <w:szCs w:val="8"/>
                <w:color w:val="auto"/>
              </w:rPr>
            </w:pPr>
          </w:p>
        </w:tc>
        <w:tc>
          <w:tcPr>
            <w:tcW w:w="90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March 31</w:t>
            </w:r>
          </w:p>
        </w:tc>
        <w:tc>
          <w:tcPr>
            <w:tcW w:w="260" w:type="dxa"/>
            <w:vAlign w:val="bottom"/>
          </w:tcPr>
          <w:p>
            <w:pPr>
              <w:spacing w:after="0"/>
              <w:rPr>
                <w:sz w:val="8"/>
                <w:szCs w:val="8"/>
                <w:color w:val="auto"/>
              </w:rPr>
            </w:pPr>
          </w:p>
        </w:tc>
        <w:tc>
          <w:tcPr>
            <w:tcW w:w="900" w:type="dxa"/>
            <w:vAlign w:val="bottom"/>
            <w:tcBorders>
              <w:bottom w:val="single" w:sz="8" w:color="auto"/>
            </w:tcBorders>
          </w:tcPr>
          <w:p>
            <w:pPr>
              <w:jc w:val="right"/>
              <w:ind w:right="227"/>
              <w:spacing w:after="0" w:line="99" w:lineRule="exact"/>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8"/>
                <w:szCs w:val="8"/>
                <w:color w:val="auto"/>
              </w:rPr>
            </w:pPr>
          </w:p>
        </w:tc>
        <w:tc>
          <w:tcPr>
            <w:tcW w:w="1140" w:type="dxa"/>
            <w:vAlign w:val="bottom"/>
            <w:tcBorders>
              <w:bottom w:val="single" w:sz="8" w:color="auto"/>
            </w:tcBorders>
          </w:tcPr>
          <w:p>
            <w:pPr>
              <w:jc w:val="right"/>
              <w:ind w:right="207"/>
              <w:spacing w:after="0" w:line="99" w:lineRule="exact"/>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8"/>
                <w:szCs w:val="8"/>
                <w:color w:val="auto"/>
              </w:rPr>
            </w:pPr>
          </w:p>
        </w:tc>
        <w:tc>
          <w:tcPr>
            <w:tcW w:w="1120" w:type="dxa"/>
            <w:vAlign w:val="bottom"/>
            <w:tcBorders>
              <w:bottom w:val="single" w:sz="8" w:color="auto"/>
            </w:tcBorders>
          </w:tcPr>
          <w:p>
            <w:pPr>
              <w:jc w:val="right"/>
              <w:ind w:right="227"/>
              <w:spacing w:after="0" w:line="99" w:lineRule="exact"/>
              <w:rPr>
                <w:sz w:val="20"/>
                <w:szCs w:val="20"/>
                <w:color w:val="auto"/>
              </w:rPr>
            </w:pPr>
            <w:r>
              <w:rPr>
                <w:rFonts w:ascii="Arial" w:cs="Arial" w:eastAsia="Arial" w:hAnsi="Arial"/>
                <w:sz w:val="11"/>
                <w:szCs w:val="11"/>
                <w:b w:val="1"/>
                <w:bCs w:val="1"/>
                <w:color w:val="auto"/>
              </w:rPr>
              <w:t>December 31</w:t>
            </w:r>
          </w:p>
        </w:tc>
      </w:tr>
      <w:tr>
        <w:trPr>
          <w:trHeight w:val="179"/>
        </w:trPr>
        <w:tc>
          <w:tcPr>
            <w:tcW w:w="5120" w:type="dxa"/>
            <w:vAlign w:val="bottom"/>
          </w:tcPr>
          <w:p>
            <w:pPr>
              <w:spacing w:after="0"/>
              <w:rPr>
                <w:sz w:val="20"/>
                <w:szCs w:val="20"/>
                <w:color w:val="auto"/>
              </w:rPr>
            </w:pPr>
            <w:r>
              <w:rPr>
                <w:rFonts w:ascii="Arial" w:cs="Arial" w:eastAsia="Arial" w:hAnsi="Arial"/>
                <w:sz w:val="13"/>
                <w:szCs w:val="13"/>
                <w:b w:val="1"/>
                <w:bCs w:val="1"/>
                <w:color w:val="auto"/>
              </w:rPr>
              <w:t>2009</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Net revenues</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$29,553</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$30,554</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$33,097</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$35,601</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Gross profit(2)</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14,354</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15,364</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16,307</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18,325</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Net income(3)</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2,105</w:t>
            </w:r>
          </w:p>
        </w:tc>
        <w:tc>
          <w:tcPr>
            <w:tcW w:w="1160" w:type="dxa"/>
            <w:vAlign w:val="bottom"/>
            <w:gridSpan w:val="2"/>
          </w:tcPr>
          <w:p>
            <w:pPr>
              <w:jc w:val="right"/>
              <w:ind w:right="227"/>
              <w:spacing w:after="0"/>
              <w:rPr>
                <w:sz w:val="20"/>
                <w:szCs w:val="20"/>
                <w:color w:val="auto"/>
              </w:rPr>
            </w:pPr>
            <w:r>
              <w:rPr>
                <w:rFonts w:ascii="Arial" w:cs="Arial" w:eastAsia="Arial" w:hAnsi="Arial"/>
                <w:sz w:val="13"/>
                <w:szCs w:val="13"/>
                <w:color w:val="auto"/>
              </w:rPr>
              <w:t>2,557</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3,129</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4,506</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Basic net income per common share(1)</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0.07</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0.08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0.10</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0.15</w:t>
            </w:r>
          </w:p>
        </w:tc>
      </w:tr>
      <w:tr>
        <w:trPr>
          <w:trHeight w:val="165"/>
        </w:trPr>
        <w:tc>
          <w:tcPr>
            <w:tcW w:w="5120" w:type="dxa"/>
            <w:vAlign w:val="bottom"/>
          </w:tcPr>
          <w:p>
            <w:pPr>
              <w:spacing w:after="0"/>
              <w:rPr>
                <w:sz w:val="20"/>
                <w:szCs w:val="20"/>
                <w:color w:val="auto"/>
              </w:rPr>
            </w:pPr>
            <w:r>
              <w:rPr>
                <w:rFonts w:ascii="Arial" w:cs="Arial" w:eastAsia="Arial" w:hAnsi="Arial"/>
                <w:sz w:val="13"/>
                <w:szCs w:val="13"/>
                <w:color w:val="auto"/>
              </w:rPr>
              <w:t>Diluted net income per common share(1)</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0.07</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0.08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0.10</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0.14</w:t>
            </w:r>
          </w:p>
        </w:tc>
      </w:tr>
      <w:tr>
        <w:trPr>
          <w:trHeight w:val="288"/>
        </w:trPr>
        <w:tc>
          <w:tcPr>
            <w:tcW w:w="5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627"/>
              <w:spacing w:after="0"/>
              <w:rPr>
                <w:sz w:val="20"/>
                <w:szCs w:val="20"/>
                <w:color w:val="auto"/>
              </w:rPr>
            </w:pPr>
            <w:r>
              <w:rPr>
                <w:rFonts w:ascii="Arial" w:cs="Arial" w:eastAsia="Arial" w:hAnsi="Arial"/>
                <w:sz w:val="11"/>
                <w:szCs w:val="11"/>
                <w:b w:val="1"/>
                <w:bCs w:val="1"/>
                <w:color w:val="auto"/>
                <w:w w:val="91"/>
              </w:rPr>
              <w:t>Quarter Ended</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99"/>
        </w:trPr>
        <w:tc>
          <w:tcPr>
            <w:tcW w:w="5120" w:type="dxa"/>
            <w:vAlign w:val="bottom"/>
          </w:tcPr>
          <w:p>
            <w:pPr>
              <w:spacing w:after="0"/>
              <w:rPr>
                <w:sz w:val="8"/>
                <w:szCs w:val="8"/>
                <w:color w:val="auto"/>
              </w:rPr>
            </w:pPr>
          </w:p>
        </w:tc>
        <w:tc>
          <w:tcPr>
            <w:tcW w:w="90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March 31</w:t>
            </w:r>
          </w:p>
        </w:tc>
        <w:tc>
          <w:tcPr>
            <w:tcW w:w="260" w:type="dxa"/>
            <w:vAlign w:val="bottom"/>
          </w:tcPr>
          <w:p>
            <w:pPr>
              <w:spacing w:after="0"/>
              <w:rPr>
                <w:sz w:val="8"/>
                <w:szCs w:val="8"/>
                <w:color w:val="auto"/>
              </w:rPr>
            </w:pPr>
          </w:p>
        </w:tc>
        <w:tc>
          <w:tcPr>
            <w:tcW w:w="900" w:type="dxa"/>
            <w:vAlign w:val="bottom"/>
            <w:tcBorders>
              <w:bottom w:val="single" w:sz="8" w:color="auto"/>
            </w:tcBorders>
          </w:tcPr>
          <w:p>
            <w:pPr>
              <w:jc w:val="right"/>
              <w:ind w:right="227"/>
              <w:spacing w:after="0" w:line="99" w:lineRule="exact"/>
              <w:rPr>
                <w:sz w:val="20"/>
                <w:szCs w:val="20"/>
                <w:color w:val="auto"/>
              </w:rPr>
            </w:pPr>
            <w:r>
              <w:rPr>
                <w:rFonts w:ascii="Arial" w:cs="Arial" w:eastAsia="Arial" w:hAnsi="Arial"/>
                <w:sz w:val="11"/>
                <w:szCs w:val="11"/>
                <w:b w:val="1"/>
                <w:bCs w:val="1"/>
                <w:color w:val="auto"/>
              </w:rPr>
              <w:t>June 30</w:t>
            </w:r>
          </w:p>
        </w:tc>
        <w:tc>
          <w:tcPr>
            <w:tcW w:w="260" w:type="dxa"/>
            <w:vAlign w:val="bottom"/>
          </w:tcPr>
          <w:p>
            <w:pPr>
              <w:spacing w:after="0"/>
              <w:rPr>
                <w:sz w:val="8"/>
                <w:szCs w:val="8"/>
                <w:color w:val="auto"/>
              </w:rPr>
            </w:pPr>
          </w:p>
        </w:tc>
        <w:tc>
          <w:tcPr>
            <w:tcW w:w="1140" w:type="dxa"/>
            <w:vAlign w:val="bottom"/>
            <w:tcBorders>
              <w:bottom w:val="single" w:sz="8" w:color="auto"/>
            </w:tcBorders>
          </w:tcPr>
          <w:p>
            <w:pPr>
              <w:jc w:val="right"/>
              <w:ind w:right="207"/>
              <w:spacing w:after="0" w:line="99" w:lineRule="exact"/>
              <w:rPr>
                <w:sz w:val="20"/>
                <w:szCs w:val="20"/>
                <w:color w:val="auto"/>
              </w:rPr>
            </w:pPr>
            <w:r>
              <w:rPr>
                <w:rFonts w:ascii="Arial" w:cs="Arial" w:eastAsia="Arial" w:hAnsi="Arial"/>
                <w:sz w:val="11"/>
                <w:szCs w:val="11"/>
                <w:b w:val="1"/>
                <w:bCs w:val="1"/>
                <w:color w:val="auto"/>
              </w:rPr>
              <w:t>September 30</w:t>
            </w:r>
          </w:p>
        </w:tc>
        <w:tc>
          <w:tcPr>
            <w:tcW w:w="280" w:type="dxa"/>
            <w:vAlign w:val="bottom"/>
          </w:tcPr>
          <w:p>
            <w:pPr>
              <w:spacing w:after="0"/>
              <w:rPr>
                <w:sz w:val="8"/>
                <w:szCs w:val="8"/>
                <w:color w:val="auto"/>
              </w:rPr>
            </w:pPr>
          </w:p>
        </w:tc>
        <w:tc>
          <w:tcPr>
            <w:tcW w:w="1120" w:type="dxa"/>
            <w:vAlign w:val="bottom"/>
            <w:tcBorders>
              <w:bottom w:val="single" w:sz="8" w:color="auto"/>
            </w:tcBorders>
          </w:tcPr>
          <w:p>
            <w:pPr>
              <w:jc w:val="right"/>
              <w:ind w:right="227"/>
              <w:spacing w:after="0" w:line="99" w:lineRule="exact"/>
              <w:rPr>
                <w:sz w:val="20"/>
                <w:szCs w:val="20"/>
                <w:color w:val="auto"/>
              </w:rPr>
            </w:pPr>
            <w:r>
              <w:rPr>
                <w:rFonts w:ascii="Arial" w:cs="Arial" w:eastAsia="Arial" w:hAnsi="Arial"/>
                <w:sz w:val="11"/>
                <w:szCs w:val="11"/>
                <w:b w:val="1"/>
                <w:bCs w:val="1"/>
                <w:color w:val="auto"/>
              </w:rPr>
              <w:t>December 31</w:t>
            </w:r>
          </w:p>
        </w:tc>
      </w:tr>
      <w:tr>
        <w:trPr>
          <w:trHeight w:val="179"/>
        </w:trPr>
        <w:tc>
          <w:tcPr>
            <w:tcW w:w="5120" w:type="dxa"/>
            <w:vAlign w:val="bottom"/>
          </w:tcPr>
          <w:p>
            <w:pPr>
              <w:spacing w:after="0"/>
              <w:rPr>
                <w:sz w:val="20"/>
                <w:szCs w:val="20"/>
                <w:color w:val="auto"/>
              </w:rPr>
            </w:pPr>
            <w:r>
              <w:rPr>
                <w:rFonts w:ascii="Arial" w:cs="Arial" w:eastAsia="Arial" w:hAnsi="Arial"/>
                <w:sz w:val="13"/>
                <w:szCs w:val="13"/>
                <w:b w:val="1"/>
                <w:bCs w:val="1"/>
                <w:color w:val="auto"/>
              </w:rPr>
              <w:t>2008</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Net revenues</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$29,110</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$24,315</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$26,335</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$31,222</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Gross profit(2)</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15,703</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12,450</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12,788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16,513</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Net income</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4,306</w:t>
            </w:r>
          </w:p>
        </w:tc>
        <w:tc>
          <w:tcPr>
            <w:tcW w:w="1160" w:type="dxa"/>
            <w:vAlign w:val="bottom"/>
            <w:gridSpan w:val="2"/>
          </w:tcPr>
          <w:p>
            <w:pPr>
              <w:jc w:val="right"/>
              <w:ind w:right="227"/>
              <w:spacing w:after="0"/>
              <w:rPr>
                <w:sz w:val="20"/>
                <w:szCs w:val="20"/>
                <w:color w:val="auto"/>
              </w:rPr>
            </w:pPr>
            <w:r>
              <w:rPr>
                <w:rFonts w:ascii="Arial" w:cs="Arial" w:eastAsia="Arial" w:hAnsi="Arial"/>
                <w:sz w:val="13"/>
                <w:szCs w:val="13"/>
                <w:color w:val="auto"/>
              </w:rPr>
              <w:t>2,555</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2,339</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2,680</w:t>
            </w:r>
          </w:p>
        </w:tc>
      </w:tr>
      <w:tr>
        <w:trPr>
          <w:trHeight w:val="158"/>
        </w:trPr>
        <w:tc>
          <w:tcPr>
            <w:tcW w:w="5120" w:type="dxa"/>
            <w:vAlign w:val="bottom"/>
          </w:tcPr>
          <w:p>
            <w:pPr>
              <w:spacing w:after="0"/>
              <w:rPr>
                <w:sz w:val="20"/>
                <w:szCs w:val="20"/>
                <w:color w:val="auto"/>
              </w:rPr>
            </w:pPr>
            <w:r>
              <w:rPr>
                <w:rFonts w:ascii="Arial" w:cs="Arial" w:eastAsia="Arial" w:hAnsi="Arial"/>
                <w:sz w:val="13"/>
                <w:szCs w:val="13"/>
                <w:color w:val="auto"/>
              </w:rPr>
              <w:t>Basic net income per common share(1)</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0.13</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0.08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0.08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0.09</w:t>
            </w:r>
          </w:p>
        </w:tc>
      </w:tr>
      <w:tr>
        <w:trPr>
          <w:trHeight w:val="165"/>
        </w:trPr>
        <w:tc>
          <w:tcPr>
            <w:tcW w:w="5120" w:type="dxa"/>
            <w:vAlign w:val="bottom"/>
          </w:tcPr>
          <w:p>
            <w:pPr>
              <w:spacing w:after="0"/>
              <w:rPr>
                <w:sz w:val="20"/>
                <w:szCs w:val="20"/>
                <w:color w:val="auto"/>
              </w:rPr>
            </w:pPr>
            <w:r>
              <w:rPr>
                <w:rFonts w:ascii="Arial" w:cs="Arial" w:eastAsia="Arial" w:hAnsi="Arial"/>
                <w:sz w:val="13"/>
                <w:szCs w:val="13"/>
                <w:color w:val="auto"/>
              </w:rPr>
              <w:t>Diluted net income per common share(1)</w:t>
            </w:r>
          </w:p>
        </w:tc>
        <w:tc>
          <w:tcPr>
            <w:tcW w:w="900" w:type="dxa"/>
            <w:vAlign w:val="bottom"/>
          </w:tcPr>
          <w:p>
            <w:pPr>
              <w:jc w:val="right"/>
              <w:ind w:right="216"/>
              <w:spacing w:after="0"/>
              <w:rPr>
                <w:sz w:val="20"/>
                <w:szCs w:val="20"/>
                <w:color w:val="auto"/>
              </w:rPr>
            </w:pPr>
            <w:r>
              <w:rPr>
                <w:rFonts w:ascii="Arial" w:cs="Arial" w:eastAsia="Arial" w:hAnsi="Arial"/>
                <w:sz w:val="13"/>
                <w:szCs w:val="13"/>
                <w:color w:val="auto"/>
              </w:rPr>
              <w:t>0.13</w:t>
            </w:r>
          </w:p>
        </w:tc>
        <w:tc>
          <w:tcPr>
            <w:tcW w:w="1160" w:type="dxa"/>
            <w:vAlign w:val="bottom"/>
            <w:gridSpan w:val="2"/>
          </w:tcPr>
          <w:p>
            <w:pPr>
              <w:jc w:val="right"/>
              <w:ind w:right="207"/>
              <w:spacing w:after="0"/>
              <w:rPr>
                <w:sz w:val="20"/>
                <w:szCs w:val="20"/>
                <w:color w:val="auto"/>
              </w:rPr>
            </w:pPr>
            <w:r>
              <w:rPr>
                <w:rFonts w:ascii="Arial" w:cs="Arial" w:eastAsia="Arial" w:hAnsi="Arial"/>
                <w:sz w:val="13"/>
                <w:szCs w:val="13"/>
                <w:color w:val="auto"/>
              </w:rPr>
              <w:t>0.08</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0.07</w:t>
            </w:r>
          </w:p>
        </w:tc>
        <w:tc>
          <w:tcPr>
            <w:tcW w:w="1400" w:type="dxa"/>
            <w:vAlign w:val="bottom"/>
            <w:gridSpan w:val="2"/>
          </w:tcPr>
          <w:p>
            <w:pPr>
              <w:jc w:val="right"/>
              <w:ind w:right="327"/>
              <w:spacing w:after="0"/>
              <w:rPr>
                <w:sz w:val="20"/>
                <w:szCs w:val="20"/>
                <w:color w:val="auto"/>
              </w:rPr>
            </w:pPr>
            <w:r>
              <w:rPr>
                <w:rFonts w:ascii="Arial" w:cs="Arial" w:eastAsia="Arial" w:hAnsi="Arial"/>
                <w:sz w:val="13"/>
                <w:szCs w:val="13"/>
                <w:color w:val="auto"/>
              </w:rPr>
              <w:t>0.09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jc w:val="both"/>
        <w:ind w:left="1000" w:right="160" w:hanging="259"/>
        <w:spacing w:after="0" w:line="337" w:lineRule="auto"/>
        <w:tabs>
          <w:tab w:leader="none" w:pos="1000" w:val="left"/>
        </w:tabs>
        <w:numPr>
          <w:ilvl w:val="0"/>
          <w:numId w:val="20"/>
        </w:numPr>
        <w:rPr>
          <w:rFonts w:ascii="Arial" w:cs="Arial" w:eastAsia="Arial" w:hAnsi="Arial"/>
          <w:sz w:val="11"/>
          <w:szCs w:val="11"/>
          <w:color w:val="auto"/>
        </w:rPr>
      </w:pPr>
      <w:r>
        <w:rPr>
          <w:rFonts w:ascii="Arial" w:cs="Arial" w:eastAsia="Arial" w:hAnsi="Arial"/>
          <w:sz w:val="11"/>
          <w:szCs w:val="11"/>
          <w:color w:val="auto"/>
        </w:rPr>
        <w:t>Per common share amounts for the quarters and full year have been calculated separately. Accordingly, quarterly amounts do not add to the annual amount because of differences in the weighted-average common shares outstanding during each period principally due to the effect of the Company’s issuing shares of its common stock and options during the year.</w:t>
      </w:r>
    </w:p>
    <w:p>
      <w:pPr>
        <w:ind w:left="1000" w:hanging="259"/>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Gross profit is defined as net revenues less cost of services and excludes depreciation and amortization expense.</w:t>
      </w:r>
    </w:p>
    <w:p>
      <w:pPr>
        <w:spacing w:after="0" w:line="48" w:lineRule="exact"/>
        <w:rPr>
          <w:rFonts w:ascii="Arial" w:cs="Arial" w:eastAsia="Arial" w:hAnsi="Arial"/>
          <w:sz w:val="13"/>
          <w:szCs w:val="13"/>
          <w:color w:val="auto"/>
        </w:rPr>
      </w:pPr>
    </w:p>
    <w:p>
      <w:pPr>
        <w:ind w:left="1000" w:hanging="259"/>
        <w:spacing w:after="0"/>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Net income for the quarter ended December 31, 2009 included a tax benefit resulting from the amendment of 401,962 shares of the Company’s incentive stock options.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2" w:lineRule="exact"/>
        <w:rPr>
          <w:sz w:val="20"/>
          <w:szCs w:val="20"/>
          <w:color w:val="auto"/>
        </w:rPr>
      </w:pPr>
    </w:p>
    <w:p>
      <w:pPr>
        <w:ind w:left="680" w:right="120" w:firstLine="399"/>
        <w:spacing w:after="0" w:line="337" w:lineRule="auto"/>
        <w:rPr>
          <w:sz w:val="20"/>
          <w:szCs w:val="20"/>
          <w:color w:val="auto"/>
        </w:rPr>
      </w:pPr>
      <w:r>
        <w:rPr>
          <w:rFonts w:ascii="Arial" w:cs="Arial" w:eastAsia="Arial" w:hAnsi="Arial"/>
          <w:sz w:val="11"/>
          <w:szCs w:val="11"/>
          <w:color w:val="auto"/>
        </w:rPr>
        <w:t>Our principal source of liquidity has been cash provided by operations. Our cash, cash equivalents and marketable securities balance was $97.7 million at December 31, 2009, an increase of $18.9 million as compared to the end of 2008. This increase was due to cash provided by operations offset by acquisitions of fixed assets associated with our new facilities. We anticipate that our principal uses of cash in the future will be to fund the expansion of our business through both organic growth as well as possible acquisition activities and to expand our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customer base internationally. Uses of cash will also include facility expansion, capital expenditures and working capital.</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May 2008, we initiated a stock repurchase program that, as of December 31, 2008, repurchased 2 million shares for an aggregate purchase price of approximately $23.7 million.</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purchases were funded from available working capital. There were no shares repurchased for year ended December 31, 2009.</w:t>
      </w:r>
    </w:p>
    <w:p>
      <w:pPr>
        <w:spacing w:after="0" w:line="90" w:lineRule="exact"/>
        <w:rPr>
          <w:sz w:val="20"/>
          <w:szCs w:val="20"/>
          <w:color w:val="auto"/>
        </w:rPr>
      </w:pPr>
    </w:p>
    <w:p>
      <w:pPr>
        <w:ind w:left="680" w:right="20" w:firstLine="399"/>
        <w:spacing w:after="0" w:line="281" w:lineRule="auto"/>
        <w:rPr>
          <w:sz w:val="20"/>
          <w:szCs w:val="20"/>
          <w:color w:val="auto"/>
        </w:rPr>
      </w:pPr>
      <w:r>
        <w:rPr>
          <w:rFonts w:ascii="Arial" w:cs="Arial" w:eastAsia="Arial" w:hAnsi="Arial"/>
          <w:sz w:val="12"/>
          <w:szCs w:val="12"/>
          <w:color w:val="auto"/>
        </w:rPr>
        <w:t>In May 2008, we entered into an agreement to lease space for our Pennsylvania offices and data center in a newly constructed facility. The lease has a term of 10 years and 5 months with an option to extend the term of the lease for two consecutive five year periods. In August 2008, we amended the lease whereby we agreed to reimburse the landlord for certain leasehold improvements we had requested. The construction phase of the building was complete as of June 30, 2009. Since the tenant improvements, under the lease amendment, are considered structural in nature and we are responsible for reimbursement to the landlord for the cost of these improvements we are considered to be the owner of the construction project for accounting purposes. We recorded assets on our balance sheet for all of the costs paid by the lessor to construct the Pennsylvania facility through December 31, 2009, along with corresponding financing liabilities for amounts equal to these lessor-paid construction costs through December 31, 2009. Post construction-period accounting requires determination of a portion of the monthly lease payments to be construed as interest, depreciation, and principal payments. At December 31, 2009, we had recorded $8.8 million of construction costs funded by the landlord, with an offsetting amount recorded as financing liabilities. The lease did not qualify for a sale lease back treatment and therefore the lease was treated as a financing lease. For the year ended December 31, 2009, we recorded $0.7 million and $0.2 million of interest expense and depreciation expense, respectively, related to the lease agreement.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Discussion of Cash Flows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2009, compared to the Year ended December 31, 2008</w:t>
      </w:r>
    </w:p>
    <w:p>
      <w:pPr>
        <w:spacing w:after="0" w:line="98" w:lineRule="exact"/>
        <w:rPr>
          <w:sz w:val="20"/>
          <w:szCs w:val="20"/>
          <w:color w:val="auto"/>
        </w:rPr>
      </w:pPr>
    </w:p>
    <w:p>
      <w:pPr>
        <w:ind w:left="680" w:right="60" w:firstLine="399"/>
        <w:spacing w:after="0" w:line="287" w:lineRule="auto"/>
        <w:rPr>
          <w:sz w:val="20"/>
          <w:szCs w:val="20"/>
          <w:color w:val="auto"/>
        </w:rPr>
      </w:pPr>
      <w:r>
        <w:rPr>
          <w:rFonts w:ascii="Arial" w:cs="Arial" w:eastAsia="Arial" w:hAnsi="Arial"/>
          <w:sz w:val="12"/>
          <w:szCs w:val="12"/>
          <w:i w:val="1"/>
          <w:iCs w:val="1"/>
          <w:color w:val="auto"/>
        </w:rPr>
        <w:t xml:space="preserve">Cash flows from operations. </w:t>
      </w:r>
      <w:r>
        <w:rPr>
          <w:rFonts w:ascii="Arial" w:cs="Arial" w:eastAsia="Arial" w:hAnsi="Arial"/>
          <w:sz w:val="12"/>
          <w:szCs w:val="12"/>
          <w:color w:val="auto"/>
        </w:rPr>
        <w:t>Net cash provided by operating activities for the year ended December 31, 2009 was $29.7 million, compared to $26.4 million for the year ended</w:t>
      </w:r>
      <w:r>
        <w:rPr>
          <w:rFonts w:ascii="Arial" w:cs="Arial" w:eastAsia="Arial" w:hAnsi="Arial"/>
          <w:sz w:val="12"/>
          <w:szCs w:val="12"/>
          <w:i w:val="1"/>
          <w:iCs w:val="1"/>
          <w:color w:val="auto"/>
        </w:rPr>
        <w:t xml:space="preserve"> </w:t>
      </w:r>
      <w:r>
        <w:rPr>
          <w:rFonts w:ascii="Arial" w:cs="Arial" w:eastAsia="Arial" w:hAnsi="Arial"/>
          <w:sz w:val="12"/>
          <w:szCs w:val="12"/>
          <w:color w:val="auto"/>
        </w:rPr>
        <w:t>December 31, 2008. The increase of $3.3 million is primarily due to an increase to net income, accounts payable and accrued expenses and deferred revenue balance partially offset by an increase to accounts receivable and prepaid expenses and other current assets. The accounts payable and accrued expenses accounts grew partially due to increased expenses necessary to support higher revenues as well as the up-front costs associated with the design, business process flow and planning related to the on-boarding of new business channels within our existing customers. Deferred revenue increased primarily due to increased set-up fees associated with new customer contracts.</w:t>
      </w:r>
    </w:p>
    <w:p>
      <w:pPr>
        <w:spacing w:after="0" w:line="55"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i w:val="1"/>
          <w:iCs w:val="1"/>
          <w:color w:val="auto"/>
        </w:rPr>
        <w:t xml:space="preserve">Cash flows from investing. </w:t>
      </w:r>
      <w:r>
        <w:rPr>
          <w:rFonts w:ascii="Arial" w:cs="Arial" w:eastAsia="Arial" w:hAnsi="Arial"/>
          <w:sz w:val="13"/>
          <w:szCs w:val="13"/>
          <w:color w:val="auto"/>
        </w:rPr>
        <w:t>Net cash used in investing activities in 2009 was $13.3 million, compared to net cash used of $25.4 million in 2008. The decrease was primarily due to</w:t>
      </w:r>
      <w:r>
        <w:rPr>
          <w:rFonts w:ascii="Arial" w:cs="Arial" w:eastAsia="Arial" w:hAnsi="Arial"/>
          <w:sz w:val="13"/>
          <w:szCs w:val="13"/>
          <w:i w:val="1"/>
          <w:iCs w:val="1"/>
          <w:color w:val="auto"/>
        </w:rPr>
        <w:t xml:space="preserve"> </w:t>
      </w:r>
      <w:r>
        <w:rPr>
          <w:rFonts w:ascii="Arial" w:cs="Arial" w:eastAsia="Arial" w:hAnsi="Arial"/>
          <w:sz w:val="13"/>
          <w:szCs w:val="13"/>
          <w:color w:val="auto"/>
        </w:rPr>
        <w:t>the acquisition of Wisor in 2008 offset by a net increase in leasehold improvements and fixed asset acquisitions in 2009 primarily associated with the move to our new facilities in Pennsylvania and Bangalore, India</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Cash flows from financing. </w:t>
      </w:r>
      <w:r>
        <w:rPr>
          <w:rFonts w:ascii="Arial" w:cs="Arial" w:eastAsia="Arial" w:hAnsi="Arial"/>
          <w:sz w:val="12"/>
          <w:szCs w:val="12"/>
          <w:color w:val="auto"/>
        </w:rPr>
        <w:t>Net cash provided by financing activities for the year ended December 31, 2009 was $1.3 million compared to cash used by financing activities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$21.5 million for the year ended December 31, 2008. In May 2008, we initiated a stock repurchase program and during the year ended December 31, 2008, repurchased 2 million shares for</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1"/>
          <w:szCs w:val="11"/>
          <w:color w:val="auto"/>
        </w:rPr>
        <w:t>an aggregate purchase price of approximately $23.7 million. There were no shares repurchased during the year ended December 31, 2009. The remaining difference was due to increased net</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2"/>
          <w:szCs w:val="12"/>
          <w:color w:val="auto"/>
        </w:rPr>
        <w:t>proceeds from the issuance of common stock of $0.7 million through the exercise of stock options, increased tax benefits received from the exercise of stock options and the amendment of</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certain incentive stock options of $1.2 million offset by increased payments of the long term lease obligations associated with the Pennsylvania facility of approximately $0.3 million.</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We believe that our existing cash and cash equivalents and cash generated from our operations will be sufficient to fund our operations for the next twelve months.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Year ended December 31, 2008, compared to the Year ended December 31, 2007</w:t>
      </w:r>
    </w:p>
    <w:p>
      <w:pPr>
        <w:spacing w:after="0" w:line="98" w:lineRule="exact"/>
        <w:rPr>
          <w:sz w:val="20"/>
          <w:szCs w:val="20"/>
          <w:color w:val="auto"/>
        </w:rPr>
      </w:pPr>
    </w:p>
    <w:p>
      <w:pPr>
        <w:ind w:left="680" w:right="180" w:firstLine="399"/>
        <w:spacing w:after="0" w:line="266" w:lineRule="auto"/>
        <w:rPr>
          <w:sz w:val="20"/>
          <w:szCs w:val="20"/>
          <w:color w:val="auto"/>
        </w:rPr>
      </w:pPr>
      <w:r>
        <w:rPr>
          <w:rFonts w:ascii="Arial" w:cs="Arial" w:eastAsia="Arial" w:hAnsi="Arial"/>
          <w:sz w:val="13"/>
          <w:szCs w:val="13"/>
          <w:i w:val="1"/>
          <w:iCs w:val="1"/>
          <w:color w:val="auto"/>
        </w:rPr>
        <w:t xml:space="preserve">Cash flows from operations. </w:t>
      </w:r>
      <w:r>
        <w:rPr>
          <w:rFonts w:ascii="Arial" w:cs="Arial" w:eastAsia="Arial" w:hAnsi="Arial"/>
          <w:sz w:val="13"/>
          <w:szCs w:val="13"/>
          <w:color w:val="auto"/>
        </w:rPr>
        <w:t>Net cash provided by operating activities for the year ended December 31, 2008 was $26.4 million, compared to $23.5 million for the year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2007. The increase of $2.9 million is primarily due to a decrease to accounts receivable of $13.6 million due to lower revenues in 2008 and partially offset by a decrease to accrued expenses, a decrease to accounts payable and a decrease to net income of $11.9 million from 2007.</w:t>
      </w:r>
    </w:p>
    <w:p>
      <w:pPr>
        <w:spacing w:after="0" w:line="67"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i w:val="1"/>
          <w:iCs w:val="1"/>
          <w:color w:val="auto"/>
        </w:rPr>
        <w:t xml:space="preserve">Cash flows from investing. </w:t>
      </w:r>
      <w:r>
        <w:rPr>
          <w:rFonts w:ascii="Arial" w:cs="Arial" w:eastAsia="Arial" w:hAnsi="Arial"/>
          <w:sz w:val="13"/>
          <w:szCs w:val="13"/>
          <w:color w:val="auto"/>
        </w:rPr>
        <w:t>Net cash used in investing activities in 2008 was $25.4 million, compared to net cash used of $8.5 million in 2007. The increase of $16.9 million was</w:t>
      </w:r>
      <w:r>
        <w:rPr>
          <w:rFonts w:ascii="Arial" w:cs="Arial" w:eastAsia="Arial" w:hAnsi="Arial"/>
          <w:sz w:val="13"/>
          <w:szCs w:val="13"/>
          <w:i w:val="1"/>
          <w:iCs w:val="1"/>
          <w:color w:val="auto"/>
        </w:rPr>
        <w:t xml:space="preserve"> </w:t>
      </w:r>
      <w:r>
        <w:rPr>
          <w:rFonts w:ascii="Arial" w:cs="Arial" w:eastAsia="Arial" w:hAnsi="Arial"/>
          <w:sz w:val="13"/>
          <w:szCs w:val="13"/>
          <w:color w:val="auto"/>
        </w:rPr>
        <w:t>primarily due to the $17.6 million net cash outflow for the acquisition of Wisor and a net change in investments of marketable securities of $5.4 million partially offset by decreased purchases of fixed assets of $6.0 million. Expenditures related to fixed assets in 2007 were higher than 2008 due to increased spending to support customer initiatives that required a higher volume of transactions.</w:t>
      </w:r>
    </w:p>
    <w:p>
      <w:pPr>
        <w:spacing w:after="0" w:line="69" w:lineRule="exact"/>
        <w:rPr>
          <w:sz w:val="20"/>
          <w:szCs w:val="20"/>
          <w:color w:val="auto"/>
        </w:rPr>
      </w:pPr>
    </w:p>
    <w:p>
      <w:pPr>
        <w:jc w:val="both"/>
        <w:ind w:left="680" w:right="20" w:firstLine="399"/>
        <w:spacing w:after="0" w:line="262" w:lineRule="auto"/>
        <w:rPr>
          <w:sz w:val="20"/>
          <w:szCs w:val="20"/>
          <w:color w:val="auto"/>
        </w:rPr>
      </w:pPr>
      <w:r>
        <w:rPr>
          <w:rFonts w:ascii="Arial" w:cs="Arial" w:eastAsia="Arial" w:hAnsi="Arial"/>
          <w:sz w:val="13"/>
          <w:szCs w:val="13"/>
          <w:i w:val="1"/>
          <w:iCs w:val="1"/>
          <w:color w:val="auto"/>
        </w:rPr>
        <w:t xml:space="preserve">Cash flows from financing. </w:t>
      </w:r>
      <w:r>
        <w:rPr>
          <w:rFonts w:ascii="Arial" w:cs="Arial" w:eastAsia="Arial" w:hAnsi="Arial"/>
          <w:sz w:val="13"/>
          <w:szCs w:val="13"/>
          <w:color w:val="auto"/>
        </w:rPr>
        <w:t>Net cash used in financing activities in 2008 was $21.5 million, compared to cash provided by financing activities of $3.9 million in 2007. In May 2008,</w:t>
      </w:r>
      <w:r>
        <w:rPr>
          <w:rFonts w:ascii="Arial" w:cs="Arial" w:eastAsia="Arial" w:hAnsi="Arial"/>
          <w:sz w:val="13"/>
          <w:szCs w:val="13"/>
          <w:i w:val="1"/>
          <w:iCs w:val="1"/>
          <w:color w:val="auto"/>
        </w:rPr>
        <w:t xml:space="preserve"> </w:t>
      </w:r>
      <w:r>
        <w:rPr>
          <w:rFonts w:ascii="Arial" w:cs="Arial" w:eastAsia="Arial" w:hAnsi="Arial"/>
          <w:sz w:val="13"/>
          <w:szCs w:val="13"/>
          <w:color w:val="auto"/>
        </w:rPr>
        <w:t>we initiated a stock repurchase program and repurchased 2.0 million shares for an aggregate purchase price of approximately $23.7 million. The remaining difference was due to decreased net proceeds from the issuance of common stock of $0.8 million through the exercise of stock options, decreased tax benefits received from the exercise of stock options of $1.6 million and decreased repayments of an equipment loan of approximately $0.7 million.</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Effect of Inflation</w:t>
      </w:r>
    </w:p>
    <w:p>
      <w:pPr>
        <w:spacing w:after="0" w:line="10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Although inflation generally affects us by increasing our cost of labor and equipment, we do not believe that inflation has had any material effect on our results of operations during 2009, 2008 and 2007.</w:t>
      </w:r>
    </w:p>
    <w:p>
      <w:pPr>
        <w:spacing w:after="0" w:line="13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2" w:lineRule="exact"/>
        <w:rPr>
          <w:sz w:val="20"/>
          <w:szCs w:val="20"/>
          <w:color w:val="auto"/>
        </w:rPr>
      </w:pPr>
    </w:p>
    <w:p>
      <w:pPr>
        <w:ind w:left="680" w:right="160" w:firstLine="399"/>
        <w:spacing w:after="0" w:line="279" w:lineRule="auto"/>
        <w:rPr>
          <w:sz w:val="20"/>
          <w:szCs w:val="20"/>
          <w:color w:val="auto"/>
        </w:rPr>
      </w:pPr>
      <w:r>
        <w:rPr>
          <w:rFonts w:ascii="Arial" w:cs="Arial" w:eastAsia="Arial" w:hAnsi="Arial"/>
          <w:sz w:val="13"/>
          <w:szCs w:val="13"/>
          <w:color w:val="auto"/>
        </w:rPr>
        <w:t>Our commitments consist of obligations under leases for office space, automobiles, computer equipment and furniture and fixtures. The following table summarizes our long-term contractual obligations as of December 31, 2009 (in thousands).</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3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4"/>
          </w:tcPr>
          <w:p>
            <w:pPr>
              <w:ind w:left="380"/>
              <w:spacing w:after="0"/>
              <w:rPr>
                <w:sz w:val="20"/>
                <w:szCs w:val="20"/>
                <w:color w:val="auto"/>
              </w:rPr>
            </w:pPr>
            <w:r>
              <w:rPr>
                <w:rFonts w:ascii="Arial" w:cs="Arial" w:eastAsia="Arial" w:hAnsi="Arial"/>
                <w:sz w:val="11"/>
                <w:szCs w:val="11"/>
                <w:b w:val="1"/>
                <w:bCs w:val="1"/>
                <w:color w:val="auto"/>
                <w:w w:val="88"/>
              </w:rPr>
              <w:t>Payments Due by Period</w:t>
            </w: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82"/>
        </w:trPr>
        <w:tc>
          <w:tcPr>
            <w:tcW w:w="312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39"/>
              <w:spacing w:after="0" w:line="82" w:lineRule="exact"/>
              <w:rPr>
                <w:sz w:val="20"/>
                <w:szCs w:val="20"/>
                <w:color w:val="auto"/>
              </w:rPr>
            </w:pPr>
            <w:r>
              <w:rPr>
                <w:rFonts w:ascii="Arial" w:cs="Arial" w:eastAsia="Arial" w:hAnsi="Arial"/>
                <w:sz w:val="9"/>
                <w:szCs w:val="9"/>
                <w:b w:val="1"/>
                <w:bCs w:val="1"/>
                <w:color w:val="auto"/>
              </w:rPr>
              <w:t>Less Than</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jc w:val="right"/>
              <w:ind w:right="79"/>
              <w:spacing w:after="0" w:line="82" w:lineRule="exact"/>
              <w:rPr>
                <w:sz w:val="20"/>
                <w:szCs w:val="20"/>
                <w:color w:val="auto"/>
              </w:rPr>
            </w:pPr>
            <w:r>
              <w:rPr>
                <w:rFonts w:ascii="Arial" w:cs="Arial" w:eastAsia="Arial" w:hAnsi="Arial"/>
                <w:sz w:val="9"/>
                <w:szCs w:val="9"/>
                <w:b w:val="1"/>
                <w:bCs w:val="1"/>
                <w:color w:val="auto"/>
              </w:rPr>
              <w:t>More Than</w:t>
            </w:r>
          </w:p>
        </w:tc>
      </w:tr>
      <w:tr>
        <w:trPr>
          <w:trHeight w:val="126"/>
        </w:trPr>
        <w:tc>
          <w:tcPr>
            <w:tcW w:w="3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37"/>
              <w:spacing w:after="0"/>
              <w:rPr>
                <w:sz w:val="20"/>
                <w:szCs w:val="20"/>
                <w:color w:val="auto"/>
              </w:rPr>
            </w:pPr>
            <w:r>
              <w:rPr>
                <w:rFonts w:ascii="Arial" w:cs="Arial" w:eastAsia="Arial" w:hAnsi="Arial"/>
                <w:sz w:val="11"/>
                <w:szCs w:val="11"/>
                <w:b w:val="1"/>
                <w:bCs w:val="1"/>
                <w:color w:val="auto"/>
                <w:w w:val="98"/>
              </w:rPr>
              <w:t>Total</w:t>
            </w:r>
          </w:p>
        </w:tc>
        <w:tc>
          <w:tcPr>
            <w:tcW w:w="4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1"/>
                <w:szCs w:val="11"/>
                <w:b w:val="1"/>
                <w:bCs w:val="1"/>
                <w:color w:val="auto"/>
              </w:rPr>
              <w:t>1 Year</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1"/>
                <w:szCs w:val="11"/>
                <w:b w:val="1"/>
                <w:bCs w:val="1"/>
                <w:color w:val="auto"/>
                <w:w w:val="86"/>
              </w:rPr>
              <w:t>1 — 3 Years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1"/>
                <w:szCs w:val="11"/>
                <w:b w:val="1"/>
                <w:bCs w:val="1"/>
                <w:color w:val="auto"/>
                <w:w w:val="89"/>
              </w:rPr>
              <w:t>4 — 5 Years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1"/>
                <w:szCs w:val="11"/>
                <w:b w:val="1"/>
                <w:bCs w:val="1"/>
                <w:color w:val="auto"/>
              </w:rPr>
              <w:t>5 Years</w:t>
            </w:r>
          </w:p>
        </w:tc>
      </w:tr>
      <w:tr>
        <w:trPr>
          <w:trHeight w:val="179"/>
        </w:trPr>
        <w:tc>
          <w:tcPr>
            <w:tcW w:w="3120" w:type="dxa"/>
            <w:vAlign w:val="bottom"/>
          </w:tcPr>
          <w:p>
            <w:pPr>
              <w:spacing w:after="0"/>
              <w:rPr>
                <w:sz w:val="20"/>
                <w:szCs w:val="20"/>
                <w:color w:val="auto"/>
              </w:rPr>
            </w:pPr>
            <w:r>
              <w:rPr>
                <w:rFonts w:ascii="Arial" w:cs="Arial" w:eastAsia="Arial" w:hAnsi="Arial"/>
                <w:sz w:val="13"/>
                <w:szCs w:val="13"/>
                <w:color w:val="auto"/>
              </w:rPr>
              <w:t>Long-term lease obligations(1)</w:t>
            </w: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12,516</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1,313</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2,694</w:t>
            </w:r>
          </w:p>
        </w:tc>
        <w:tc>
          <w:tcPr>
            <w:tcW w:w="340" w:type="dxa"/>
            <w:vAlign w:val="bottom"/>
          </w:tcPr>
          <w:p>
            <w:pPr>
              <w:spacing w:after="0"/>
              <w:rPr>
                <w:sz w:val="15"/>
                <w:szCs w:val="15"/>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2,788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5,721</w:t>
            </w:r>
          </w:p>
        </w:tc>
      </w:tr>
      <w:tr>
        <w:trPr>
          <w:trHeight w:val="158"/>
        </w:trPr>
        <w:tc>
          <w:tcPr>
            <w:tcW w:w="3120" w:type="dxa"/>
            <w:vAlign w:val="bottom"/>
          </w:tcPr>
          <w:p>
            <w:pPr>
              <w:spacing w:after="0"/>
              <w:rPr>
                <w:sz w:val="20"/>
                <w:szCs w:val="20"/>
                <w:color w:val="auto"/>
              </w:rPr>
            </w:pPr>
            <w:r>
              <w:rPr>
                <w:rFonts w:ascii="Arial" w:cs="Arial" w:eastAsia="Arial" w:hAnsi="Arial"/>
                <w:sz w:val="13"/>
                <w:szCs w:val="13"/>
                <w:color w:val="auto"/>
              </w:rPr>
              <w:t>Operating lease obligations</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5,040</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1,549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2,471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1,020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3120" w:type="dxa"/>
            <w:vAlign w:val="bottom"/>
          </w:tcPr>
          <w:p>
            <w:pPr>
              <w:spacing w:after="0"/>
              <w:rPr>
                <w:sz w:val="20"/>
                <w:szCs w:val="20"/>
                <w:color w:val="auto"/>
              </w:rPr>
            </w:pPr>
            <w:r>
              <w:rPr>
                <w:rFonts w:ascii="Arial" w:cs="Arial" w:eastAsia="Arial" w:hAnsi="Arial"/>
                <w:sz w:val="13"/>
                <w:szCs w:val="13"/>
                <w:color w:val="auto"/>
              </w:rPr>
              <w:t>Other long-term liabilities(2)</w:t>
            </w:r>
          </w:p>
        </w:tc>
        <w:tc>
          <w:tcPr>
            <w:tcW w:w="1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994</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58"/>
        </w:trPr>
        <w:tc>
          <w:tcPr>
            <w:tcW w:w="3120" w:type="dxa"/>
            <w:vAlign w:val="bottom"/>
          </w:tcPr>
          <w:p>
            <w:pPr>
              <w:spacing w:after="0"/>
              <w:rPr>
                <w:sz w:val="20"/>
                <w:szCs w:val="20"/>
                <w:color w:val="auto"/>
              </w:rPr>
            </w:pPr>
            <w:r>
              <w:rPr>
                <w:rFonts w:ascii="Arial" w:cs="Arial" w:eastAsia="Arial" w:hAnsi="Arial"/>
                <w:sz w:val="13"/>
                <w:szCs w:val="13"/>
                <w:color w:val="auto"/>
              </w:rPr>
              <w:t>Total</w:t>
            </w:r>
          </w:p>
        </w:tc>
        <w:tc>
          <w:tcPr>
            <w:tcW w:w="16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18,550</w:t>
            </w:r>
          </w:p>
        </w:tc>
        <w:tc>
          <w:tcPr>
            <w:tcW w:w="5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2,862</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6,159</w:t>
            </w:r>
          </w:p>
        </w:tc>
        <w:tc>
          <w:tcPr>
            <w:tcW w:w="340" w:type="dxa"/>
            <w:vAlign w:val="bottom"/>
          </w:tcPr>
          <w:p>
            <w:pPr>
              <w:spacing w:after="0"/>
              <w:rPr>
                <w:sz w:val="13"/>
                <w:szCs w:val="13"/>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3,808</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000" w:hanging="259"/>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Amount represents obligation associated with the Pennsylvania facility lease.</w:t>
      </w:r>
    </w:p>
    <w:p>
      <w:pPr>
        <w:spacing w:after="0" w:line="48" w:lineRule="exact"/>
        <w:rPr>
          <w:rFonts w:ascii="Arial" w:cs="Arial" w:eastAsia="Arial" w:hAnsi="Arial"/>
          <w:sz w:val="13"/>
          <w:szCs w:val="13"/>
          <w:color w:val="auto"/>
        </w:rPr>
      </w:pPr>
    </w:p>
    <w:p>
      <w:pPr>
        <w:ind w:left="1000" w:hanging="259"/>
        <w:spacing w:after="0"/>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Amount represents unrecognized tax positions recorded in our balance sheet. Although the timing of the settlement is uncertain, we believe this amount will be settled within 3 years.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Impact of Recently Issued Accounting Standards</w:t>
      </w:r>
    </w:p>
    <w:p>
      <w:pPr>
        <w:spacing w:after="0" w:line="102"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In October 2009, the FASB issued Accounting Standard Update (“ASU”) No. 2009-13 “Multiple Deliverable Revenue Arrangements — a consensus of the FASB Emerging Issues Task Force.” This standard provides principles for allocation of consideration among its multiple-elements, allowing more flexibility in identifying and accounting for separate deliverables under an arrangement. ASU No. 2009-13 introduces an estimated selling price method for valuing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Alternatively, adoption may be on a retrospective basis, and early application is</w:t>
      </w:r>
    </w:p>
    <w:p>
      <w:pPr>
        <w:spacing w:after="0" w:line="25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permitted. We do not expect the adoption of this statement to have a material effect on our consolidated financial statements or disclosures.</w:t>
      </w:r>
    </w:p>
    <w:p>
      <w:pPr>
        <w:spacing w:after="0" w:line="173"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had no off-balance sheet arrangements as of December 31, 2009 and December 31, 2008.</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2"/>
          <w:szCs w:val="12"/>
          <w:b w:val="1"/>
          <w:bCs w:val="1"/>
          <w:i w:val="1"/>
          <w:iCs w:val="1"/>
          <w:color w:val="auto"/>
        </w:rPr>
        <w:t>QUANTITATIVE AND QUALITATIVE DISCLOSURES ABOUT MARKET RISK</w:t>
      </w:r>
    </w:p>
    <w:p>
      <w:pPr>
        <w:spacing w:after="0" w:line="9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Market Risk</w:t>
      </w:r>
    </w:p>
    <w:p>
      <w:pPr>
        <w:spacing w:after="0" w:line="102" w:lineRule="exact"/>
        <w:rPr>
          <w:sz w:val="20"/>
          <w:szCs w:val="20"/>
          <w:color w:val="auto"/>
        </w:rPr>
      </w:pPr>
    </w:p>
    <w:p>
      <w:pPr>
        <w:ind w:left="680" w:right="940" w:firstLine="399"/>
        <w:spacing w:after="0" w:line="291" w:lineRule="auto"/>
        <w:rPr>
          <w:sz w:val="20"/>
          <w:szCs w:val="20"/>
          <w:color w:val="auto"/>
        </w:rPr>
      </w:pPr>
      <w:r>
        <w:rPr>
          <w:rFonts w:ascii="Arial" w:cs="Arial" w:eastAsia="Arial" w:hAnsi="Arial"/>
          <w:sz w:val="12"/>
          <w:szCs w:val="12"/>
          <w:color w:val="auto"/>
        </w:rPr>
        <w:t>The following discussion about market risk disclosures involves forward-looking statements. Actual results could differ materially from those projected in the forward-looking statements. We deposit our excess cash in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We do not expect the current rate of inflation to have a material impact on our business. These investments are denominated in United States dollars.</w:t>
      </w:r>
    </w:p>
    <w:p>
      <w:pPr>
        <w:spacing w:after="0" w:line="53" w:lineRule="exact"/>
        <w:rPr>
          <w:sz w:val="20"/>
          <w:szCs w:val="20"/>
          <w:color w:val="auto"/>
        </w:rPr>
      </w:pPr>
    </w:p>
    <w:p>
      <w:pPr>
        <w:ind w:left="680" w:right="980" w:firstLine="399"/>
        <w:spacing w:after="0" w:line="324" w:lineRule="auto"/>
        <w:rPr>
          <w:sz w:val="20"/>
          <w:szCs w:val="20"/>
          <w:color w:val="auto"/>
        </w:rPr>
      </w:pPr>
      <w:r>
        <w:rPr>
          <w:rFonts w:ascii="Arial" w:cs="Arial" w:eastAsia="Arial" w:hAnsi="Arial"/>
          <w:sz w:val="11"/>
          <w:szCs w:val="11"/>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debt securities. Our cash, cash equivalents and marketable securities at December 31, 2009 and 2008 were invested in liquid money market accounts and certificates of deposit. All market-risk sensitive instruments were entered into for non-trading purposes.</w:t>
      </w:r>
    </w:p>
    <w:p>
      <w:pPr>
        <w:spacing w:after="0" w:line="39" w:lineRule="exact"/>
        <w:rPr>
          <w:sz w:val="20"/>
          <w:szCs w:val="20"/>
          <w:color w:val="auto"/>
        </w:rPr>
      </w:pPr>
    </w:p>
    <w:p>
      <w:pPr>
        <w:ind w:left="680" w:right="900" w:firstLine="399"/>
        <w:spacing w:after="0" w:line="284" w:lineRule="auto"/>
        <w:rPr>
          <w:sz w:val="20"/>
          <w:szCs w:val="20"/>
          <w:color w:val="auto"/>
        </w:rPr>
      </w:pPr>
      <w:r>
        <w:rPr>
          <w:rFonts w:ascii="Arial" w:cs="Arial" w:eastAsia="Arial" w:hAnsi="Arial"/>
          <w:sz w:val="12"/>
          <w:szCs w:val="12"/>
          <w:color w:val="auto"/>
        </w:rPr>
        <w:t>The year 2009 began amidst the backdrop of unprecedented significant economic disruptions in the financial markets and challenging economic conditions that have adversely affected the United States and world economies. Investors in many industry sectors have experienced substantial decreases in asset valuations and uncertain market liquidity. Furthermore, credit rating authorities have, in many cases, been slow to respond to the rapid changes in the underlying value of certain securities and pervasive market illiquidity, regarding these securities. There can be no assurances that the issues surrounding the financial markets will not worsen or potentially impact the determination of the fair value of financial instruments or possibly require impairments in the future should the value of certain investments suffer a decline in value which is determined to be other than temporary. We currently do not believe any change in the market value of our money market funds or other investments to be material or warrant a change in valuation.</w:t>
      </w:r>
    </w:p>
    <w:p>
      <w:pPr>
        <w:spacing w:after="0" w:line="134"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2"/>
          <w:szCs w:val="12"/>
          <w:b w:val="1"/>
          <w:bCs w:val="1"/>
          <w:i w:val="1"/>
          <w:iCs w:val="1"/>
          <w:color w:val="auto"/>
        </w:rPr>
        <w:t>FINANCIAL STATEMENTS AND SUPPLEMENTARY DATA</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160" w:type="dxa"/>
            <w:vAlign w:val="bottom"/>
            <w:gridSpan w:val="5"/>
          </w:tcPr>
          <w:p>
            <w:pPr>
              <w:jc w:val="center"/>
              <w:ind w:right="1360"/>
              <w:spacing w:after="0"/>
              <w:rPr>
                <w:sz w:val="20"/>
                <w:szCs w:val="20"/>
                <w:color w:val="auto"/>
              </w:rPr>
            </w:pPr>
            <w:r>
              <w:rPr>
                <w:rFonts w:ascii="Arial" w:cs="Arial" w:eastAsia="Arial" w:hAnsi="Arial"/>
                <w:sz w:val="13"/>
                <w:szCs w:val="13"/>
                <w:b w:val="1"/>
                <w:bCs w:val="1"/>
                <w:color w:val="auto"/>
              </w:rPr>
              <w:t>INDEX TO CONSOLIDATED FINANCIAL STATEMENTS</w:t>
            </w:r>
          </w:p>
        </w:tc>
        <w:tc>
          <w:tcPr>
            <w:tcW w:w="2520" w:type="dxa"/>
            <w:vAlign w:val="bottom"/>
          </w:tcPr>
          <w:p>
            <w:pPr>
              <w:spacing w:after="0"/>
              <w:rPr>
                <w:sz w:val="14"/>
                <w:szCs w:val="14"/>
                <w:color w:val="auto"/>
              </w:rPr>
            </w:pPr>
          </w:p>
        </w:tc>
      </w:tr>
      <w:tr>
        <w:trPr>
          <w:trHeight w:val="308"/>
        </w:trPr>
        <w:tc>
          <w:tcPr>
            <w:tcW w:w="680" w:type="dxa"/>
            <w:vAlign w:val="bottom"/>
          </w:tcPr>
          <w:p>
            <w:pPr>
              <w:spacing w:after="0"/>
              <w:rPr>
                <w:sz w:val="24"/>
                <w:szCs w:val="24"/>
                <w:color w:val="auto"/>
              </w:rPr>
            </w:pPr>
          </w:p>
        </w:tc>
        <w:tc>
          <w:tcPr>
            <w:tcW w:w="3100" w:type="dxa"/>
            <w:vAlign w:val="bottom"/>
            <w:tcBorders>
              <w:bottom w:val="single" w:sz="8" w:color="0000EE"/>
            </w:tcBorders>
            <w:gridSpan w:val="2"/>
          </w:tcPr>
          <w:p>
            <w:pPr>
              <w:spacing w:after="0"/>
              <w:rPr>
                <w:rFonts w:ascii="Arial" w:cs="Arial" w:eastAsia="Arial" w:hAnsi="Arial"/>
                <w:sz w:val="13"/>
                <w:szCs w:val="13"/>
                <w:color w:val="0000EE"/>
                <w:w w:val="92"/>
              </w:rPr>
            </w:pPr>
            <w:hyperlink w:anchor="page43">
              <w:r>
                <w:rPr>
                  <w:rFonts w:ascii="Arial" w:cs="Arial" w:eastAsia="Arial" w:hAnsi="Arial"/>
                  <w:sz w:val="13"/>
                  <w:szCs w:val="13"/>
                  <w:color w:val="0000EE"/>
                  <w:w w:val="92"/>
                </w:rPr>
                <w:t>Report of Independent Registered Public Accounting Firm</w:t>
              </w:r>
            </w:hyperlink>
          </w:p>
        </w:tc>
        <w:tc>
          <w:tcPr>
            <w:tcW w:w="5160" w:type="dxa"/>
            <w:vAlign w:val="bottom"/>
            <w:gridSpan w:val="5"/>
          </w:tcPr>
          <w:p>
            <w:pPr>
              <w:spacing w:after="0"/>
              <w:rPr>
                <w:sz w:val="24"/>
                <w:szCs w:val="24"/>
                <w:color w:val="auto"/>
              </w:rPr>
            </w:pPr>
          </w:p>
        </w:tc>
        <w:tc>
          <w:tcPr>
            <w:tcW w:w="2520" w:type="dxa"/>
            <w:vAlign w:val="bottom"/>
          </w:tcPr>
          <w:p>
            <w:pPr>
              <w:jc w:val="right"/>
              <w:ind w:right="774"/>
              <w:spacing w:after="0"/>
              <w:rPr>
                <w:sz w:val="20"/>
                <w:szCs w:val="20"/>
                <w:color w:val="auto"/>
              </w:rPr>
            </w:pPr>
            <w:r>
              <w:rPr>
                <w:rFonts w:ascii="Arial" w:cs="Arial" w:eastAsia="Arial" w:hAnsi="Arial"/>
                <w:sz w:val="13"/>
                <w:szCs w:val="13"/>
                <w:color w:val="auto"/>
              </w:rPr>
              <w:t>42</w:t>
            </w:r>
          </w:p>
        </w:tc>
      </w:tr>
      <w:tr>
        <w:trPr>
          <w:trHeight w:val="138"/>
        </w:trPr>
        <w:tc>
          <w:tcPr>
            <w:tcW w:w="680" w:type="dxa"/>
            <w:vAlign w:val="bottom"/>
          </w:tcPr>
          <w:p>
            <w:pPr>
              <w:spacing w:after="0"/>
              <w:rPr>
                <w:sz w:val="12"/>
                <w:szCs w:val="12"/>
                <w:color w:val="auto"/>
              </w:rPr>
            </w:pPr>
          </w:p>
        </w:tc>
        <w:tc>
          <w:tcPr>
            <w:tcW w:w="342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44">
              <w:r>
                <w:rPr>
                  <w:rFonts w:ascii="Arial" w:cs="Arial" w:eastAsia="Arial" w:hAnsi="Arial"/>
                  <w:sz w:val="13"/>
                  <w:szCs w:val="13"/>
                  <w:color w:val="0000EE"/>
                  <w:w w:val="89"/>
                </w:rPr>
                <w:t>Consolidated Balance Sheets as of December 31, 2009 and 2008</w:t>
              </w:r>
            </w:hyperlink>
          </w:p>
        </w:tc>
        <w:tc>
          <w:tcPr>
            <w:tcW w:w="4840" w:type="dxa"/>
            <w:vAlign w:val="bottom"/>
            <w:gridSpan w:val="4"/>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43</w:t>
            </w:r>
          </w:p>
        </w:tc>
      </w:tr>
      <w:tr>
        <w:trPr>
          <w:trHeight w:val="138"/>
        </w:trPr>
        <w:tc>
          <w:tcPr>
            <w:tcW w:w="680" w:type="dxa"/>
            <w:vAlign w:val="bottom"/>
          </w:tcPr>
          <w:p>
            <w:pPr>
              <w:spacing w:after="0"/>
              <w:rPr>
                <w:sz w:val="12"/>
                <w:szCs w:val="12"/>
                <w:color w:val="auto"/>
              </w:rPr>
            </w:pPr>
          </w:p>
        </w:tc>
        <w:tc>
          <w:tcPr>
            <w:tcW w:w="8260" w:type="dxa"/>
            <w:vAlign w:val="bottom"/>
            <w:gridSpan w:val="7"/>
          </w:tcPr>
          <w:p>
            <w:pPr>
              <w:spacing w:after="0" w:line="138" w:lineRule="exact"/>
              <w:rPr>
                <w:rFonts w:ascii="Arial" w:cs="Arial" w:eastAsia="Arial" w:hAnsi="Arial"/>
                <w:sz w:val="13"/>
                <w:szCs w:val="13"/>
                <w:color w:val="0000EE"/>
              </w:rPr>
            </w:pPr>
            <w:hyperlink w:anchor="page45">
              <w:r>
                <w:rPr>
                  <w:rFonts w:ascii="Arial" w:cs="Arial" w:eastAsia="Arial" w:hAnsi="Arial"/>
                  <w:sz w:val="13"/>
                  <w:szCs w:val="13"/>
                  <w:color w:val="0000EE"/>
                </w:rPr>
                <w:t>Consolidated Statements of Income for the years ended December 31, 2009, 2008 and 2007</w:t>
              </w:r>
            </w:hyperlink>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44</w:t>
            </w:r>
          </w:p>
        </w:tc>
      </w:tr>
      <w:tr>
        <w:trPr>
          <w:trHeight w:val="20"/>
        </w:trPr>
        <w:tc>
          <w:tcPr>
            <w:tcW w:w="68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38"/>
        </w:trPr>
        <w:tc>
          <w:tcPr>
            <w:tcW w:w="680" w:type="dxa"/>
            <w:vAlign w:val="bottom"/>
          </w:tcPr>
          <w:p>
            <w:pPr>
              <w:spacing w:after="0"/>
              <w:rPr>
                <w:sz w:val="12"/>
                <w:szCs w:val="12"/>
                <w:color w:val="auto"/>
              </w:rPr>
            </w:pPr>
          </w:p>
        </w:tc>
        <w:tc>
          <w:tcPr>
            <w:tcW w:w="5560" w:type="dxa"/>
            <w:vAlign w:val="bottom"/>
            <w:tcBorders>
              <w:bottom w:val="single" w:sz="8" w:color="0000EE"/>
            </w:tcBorders>
            <w:gridSpan w:val="6"/>
          </w:tcPr>
          <w:p>
            <w:pPr>
              <w:spacing w:after="0" w:line="138" w:lineRule="exact"/>
              <w:rPr>
                <w:rFonts w:ascii="Arial" w:cs="Arial" w:eastAsia="Arial" w:hAnsi="Arial"/>
                <w:sz w:val="13"/>
                <w:szCs w:val="13"/>
                <w:color w:val="0000EE"/>
                <w:w w:val="91"/>
              </w:rPr>
            </w:pPr>
            <w:hyperlink w:anchor="page46">
              <w:r>
                <w:rPr>
                  <w:rFonts w:ascii="Arial" w:cs="Arial" w:eastAsia="Arial" w:hAnsi="Arial"/>
                  <w:sz w:val="13"/>
                  <w:szCs w:val="13"/>
                  <w:color w:val="0000EE"/>
                  <w:w w:val="91"/>
                </w:rPr>
                <w:t>Consolidated Statements of Stockholders’ Equity for the years ended December 31, 2009, 2008 and 2007</w:t>
              </w:r>
            </w:hyperlink>
          </w:p>
        </w:tc>
        <w:tc>
          <w:tcPr>
            <w:tcW w:w="2700" w:type="dxa"/>
            <w:vAlign w:val="bottom"/>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45</w:t>
            </w:r>
          </w:p>
        </w:tc>
      </w:tr>
      <w:tr>
        <w:trPr>
          <w:trHeight w:val="138"/>
        </w:trPr>
        <w:tc>
          <w:tcPr>
            <w:tcW w:w="680" w:type="dxa"/>
            <w:vAlign w:val="bottom"/>
          </w:tcPr>
          <w:p>
            <w:pPr>
              <w:spacing w:after="0"/>
              <w:rPr>
                <w:sz w:val="12"/>
                <w:szCs w:val="12"/>
                <w:color w:val="auto"/>
              </w:rPr>
            </w:pPr>
          </w:p>
        </w:tc>
        <w:tc>
          <w:tcPr>
            <w:tcW w:w="8260" w:type="dxa"/>
            <w:vAlign w:val="bottom"/>
            <w:gridSpan w:val="7"/>
          </w:tcPr>
          <w:p>
            <w:pPr>
              <w:spacing w:after="0" w:line="138" w:lineRule="exact"/>
              <w:rPr>
                <w:rFonts w:ascii="Arial" w:cs="Arial" w:eastAsia="Arial" w:hAnsi="Arial"/>
                <w:sz w:val="13"/>
                <w:szCs w:val="13"/>
                <w:color w:val="0000EE"/>
              </w:rPr>
            </w:pPr>
            <w:hyperlink w:anchor="page47">
              <w:r>
                <w:rPr>
                  <w:rFonts w:ascii="Arial" w:cs="Arial" w:eastAsia="Arial" w:hAnsi="Arial"/>
                  <w:sz w:val="13"/>
                  <w:szCs w:val="13"/>
                  <w:color w:val="0000EE"/>
                </w:rPr>
                <w:t>Consolidated Statements of Cash Flows for the years ended December 31, 2009, 2008 and 2007</w:t>
              </w:r>
            </w:hyperlink>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46</w:t>
            </w:r>
          </w:p>
        </w:tc>
      </w:tr>
      <w:tr>
        <w:trPr>
          <w:trHeight w:val="138"/>
        </w:trPr>
        <w:tc>
          <w:tcPr>
            <w:tcW w:w="680" w:type="dxa"/>
            <w:vAlign w:val="bottom"/>
          </w:tcPr>
          <w:p>
            <w:pPr>
              <w:spacing w:after="0"/>
              <w:rPr>
                <w:sz w:val="12"/>
                <w:szCs w:val="12"/>
                <w:color w:val="auto"/>
              </w:rPr>
            </w:pPr>
          </w:p>
        </w:tc>
        <w:tc>
          <w:tcPr>
            <w:tcW w:w="2320" w:type="dxa"/>
            <w:vAlign w:val="bottom"/>
            <w:tcBorders>
              <w:top w:val="single" w:sz="8" w:color="0000EE"/>
              <w:bottom w:val="single" w:sz="8" w:color="0000EE"/>
            </w:tcBorders>
          </w:tcPr>
          <w:p>
            <w:pPr>
              <w:spacing w:after="0" w:line="138" w:lineRule="exact"/>
              <w:rPr>
                <w:rFonts w:ascii="Arial" w:cs="Arial" w:eastAsia="Arial" w:hAnsi="Arial"/>
                <w:sz w:val="13"/>
                <w:szCs w:val="13"/>
                <w:color w:val="0000EE"/>
                <w:w w:val="90"/>
              </w:rPr>
            </w:pPr>
            <w:hyperlink w:anchor="page48">
              <w:r>
                <w:rPr>
                  <w:rFonts w:ascii="Arial" w:cs="Arial" w:eastAsia="Arial" w:hAnsi="Arial"/>
                  <w:sz w:val="13"/>
                  <w:szCs w:val="13"/>
                  <w:color w:val="0000EE"/>
                  <w:w w:val="90"/>
                </w:rPr>
                <w:t>Notes to Consolidated Financial Statements</w:t>
              </w:r>
            </w:hyperlink>
          </w:p>
        </w:tc>
        <w:tc>
          <w:tcPr>
            <w:tcW w:w="2740" w:type="dxa"/>
            <w:vAlign w:val="bottom"/>
            <w:tcBorders>
              <w:top w:val="single" w:sz="8" w:color="0000EE"/>
            </w:tcBorders>
            <w:gridSpan w:val="4"/>
          </w:tcPr>
          <w:p>
            <w:pPr>
              <w:spacing w:after="0"/>
              <w:rPr>
                <w:sz w:val="12"/>
                <w:szCs w:val="12"/>
                <w:color w:val="auto"/>
              </w:rPr>
            </w:pPr>
          </w:p>
        </w:tc>
        <w:tc>
          <w:tcPr>
            <w:tcW w:w="3200" w:type="dxa"/>
            <w:vAlign w:val="bottom"/>
            <w:gridSpan w:val="2"/>
          </w:tcPr>
          <w:p>
            <w:pPr>
              <w:spacing w:after="0"/>
              <w:rPr>
                <w:sz w:val="12"/>
                <w:szCs w:val="12"/>
                <w:color w:val="auto"/>
              </w:rPr>
            </w:pPr>
          </w:p>
        </w:tc>
        <w:tc>
          <w:tcPr>
            <w:tcW w:w="2520" w:type="dxa"/>
            <w:vAlign w:val="bottom"/>
          </w:tcPr>
          <w:p>
            <w:pPr>
              <w:jc w:val="right"/>
              <w:ind w:right="774"/>
              <w:spacing w:after="0" w:line="138" w:lineRule="exact"/>
              <w:rPr>
                <w:sz w:val="20"/>
                <w:szCs w:val="20"/>
                <w:color w:val="auto"/>
              </w:rPr>
            </w:pPr>
            <w:r>
              <w:rPr>
                <w:rFonts w:ascii="Arial" w:cs="Arial" w:eastAsia="Arial" w:hAnsi="Arial"/>
                <w:sz w:val="13"/>
                <w:szCs w:val="13"/>
                <w:color w:val="auto"/>
              </w:rPr>
              <w:t>47</w:t>
            </w:r>
          </w:p>
        </w:tc>
      </w:tr>
      <w:tr>
        <w:trPr>
          <w:trHeight w:val="463"/>
        </w:trPr>
        <w:tc>
          <w:tcPr>
            <w:tcW w:w="5740" w:type="dxa"/>
            <w:vAlign w:val="bottom"/>
            <w:gridSpan w:val="6"/>
          </w:tcPr>
          <w:p>
            <w:pPr>
              <w:jc w:val="right"/>
              <w:spacing w:after="0"/>
              <w:rPr>
                <w:sz w:val="20"/>
                <w:szCs w:val="20"/>
                <w:color w:val="auto"/>
              </w:rPr>
            </w:pPr>
            <w:r>
              <w:rPr>
                <w:rFonts w:ascii="Arial" w:cs="Arial" w:eastAsia="Arial" w:hAnsi="Arial"/>
                <w:sz w:val="13"/>
                <w:szCs w:val="13"/>
                <w:color w:val="auto"/>
              </w:rPr>
              <w:t>41</w:t>
            </w: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65"/>
        </w:trPr>
        <w:tc>
          <w:tcPr>
            <w:tcW w:w="680" w:type="dxa"/>
            <w:vAlign w:val="bottom"/>
            <w:tcBorders>
              <w:bottom w:val="single" w:sz="8" w:color="808080"/>
            </w:tcBorders>
          </w:tcPr>
          <w:p>
            <w:pPr>
              <w:spacing w:after="0"/>
              <w:rPr>
                <w:sz w:val="14"/>
                <w:szCs w:val="14"/>
                <w:color w:val="auto"/>
              </w:rPr>
            </w:pPr>
          </w:p>
        </w:tc>
        <w:tc>
          <w:tcPr>
            <w:tcW w:w="23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252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34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Synchronoss Technologies, Inc.</w:t>
      </w:r>
    </w:p>
    <w:p>
      <w:pPr>
        <w:spacing w:after="0" w:line="90"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We have audited the accompanying consolidated balance sheets of Synchronoss Technologies, Inc. and Subsidiaries as of December 31, 2009 and 2008, and the related consolidated statements of income, stockholders’ equity, and cash flows for each of the three years in the period ended December 31, 2009. Our audits also included the financial statement schedule listed in Item 15(a)(2). These financial statements are the responsibility of the Company’s management. Our responsibility is to express an opinion on these financial statements based on our audits.</w:t>
      </w:r>
    </w:p>
    <w:p>
      <w:pPr>
        <w:spacing w:after="0" w:line="69"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9" w:lineRule="exact"/>
        <w:rPr>
          <w:sz w:val="20"/>
          <w:szCs w:val="20"/>
          <w:color w:val="auto"/>
        </w:rPr>
      </w:pPr>
    </w:p>
    <w:p>
      <w:pPr>
        <w:ind w:left="680" w:right="160" w:firstLine="399"/>
        <w:spacing w:after="0" w:line="262" w:lineRule="auto"/>
        <w:rPr>
          <w:sz w:val="20"/>
          <w:szCs w:val="20"/>
          <w:color w:val="auto"/>
        </w:rPr>
      </w:pPr>
      <w:r>
        <w:rPr>
          <w:rFonts w:ascii="Arial" w:cs="Arial" w:eastAsia="Arial" w:hAnsi="Arial"/>
          <w:sz w:val="13"/>
          <w:szCs w:val="13"/>
          <w:color w:val="auto"/>
        </w:rPr>
        <w:t>In our opinion, the financial statements referred to above present fairly, in all material respects, the consolidated financial position of Synchronoss Technologies, Inc. and Subsidiaries at December 31, 2009 and 2008, and the consolidated results of their operations and their cash flows for each of the three years in the period ended December 31, 2009,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69" w:lineRule="exact"/>
        <w:rPr>
          <w:sz w:val="20"/>
          <w:szCs w:val="20"/>
          <w:color w:val="auto"/>
        </w:rPr>
      </w:pPr>
    </w:p>
    <w:p>
      <w:pPr>
        <w:jc w:val="both"/>
        <w:ind w:left="680" w:right="40" w:firstLine="399"/>
        <w:spacing w:after="0" w:line="266"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Synchronoss Technologies, Inc.’s internal control over financial reporting as of December 31, 2009, based on criteria established in </w:t>
      </w:r>
      <w:r>
        <w:rPr>
          <w:rFonts w:ascii="Arial" w:cs="Arial" w:eastAsia="Arial" w:hAnsi="Arial"/>
          <w:sz w:val="13"/>
          <w:szCs w:val="13"/>
          <w:i w:val="1"/>
          <w:iCs w:val="1"/>
          <w:color w:val="auto"/>
        </w:rPr>
        <w:t>Internal Control-Integrated Framework</w:t>
      </w:r>
      <w:r>
        <w:rPr>
          <w:rFonts w:ascii="Arial" w:cs="Arial" w:eastAsia="Arial" w:hAnsi="Arial"/>
          <w:sz w:val="13"/>
          <w:szCs w:val="13"/>
          <w:color w:val="auto"/>
        </w:rPr>
        <w:t xml:space="preserve"> issued by the Committee of Sponsoring Organizations of the Treadway Commission and our report dated March 9, 2010 expressed an unqualified opinion thereon.</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9, 2010</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BALANCE SHEETS</w:t>
      </w:r>
    </w:p>
    <w:p>
      <w:pPr>
        <w:spacing w:after="0" w:line="16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right"/>
              <w:ind w:right="247"/>
              <w:spacing w:after="0"/>
              <w:rPr>
                <w:sz w:val="20"/>
                <w:szCs w:val="20"/>
                <w:color w:val="auto"/>
              </w:rPr>
            </w:pPr>
            <w:r>
              <w:rPr>
                <w:rFonts w:ascii="Arial" w:cs="Arial" w:eastAsia="Arial" w:hAnsi="Arial"/>
                <w:sz w:val="11"/>
                <w:szCs w:val="11"/>
                <w:b w:val="1"/>
                <w:bCs w:val="1"/>
                <w:color w:val="auto"/>
                <w:w w:val="89"/>
              </w:rPr>
              <w:t>December 31,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6"/>
              </w:rPr>
              <w:t>December 31,</w:t>
            </w:r>
          </w:p>
        </w:tc>
        <w:tc>
          <w:tcPr>
            <w:tcW w:w="0" w:type="dxa"/>
            <w:vAlign w:val="bottom"/>
          </w:tcPr>
          <w:p>
            <w:pPr>
              <w:spacing w:after="0"/>
              <w:rPr>
                <w:sz w:val="1"/>
                <w:szCs w:val="1"/>
                <w:color w:val="auto"/>
              </w:rPr>
            </w:pPr>
          </w:p>
        </w:tc>
      </w:tr>
      <w:tr>
        <w:trPr>
          <w:trHeight w:val="126"/>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2009</w:t>
            </w:r>
          </w:p>
        </w:tc>
        <w:tc>
          <w:tcPr>
            <w:tcW w:w="300" w:type="dxa"/>
            <w:vAlign w:val="bottom"/>
            <w:gridSpan w:val="2"/>
            <w:vMerge w:val="restart"/>
          </w:tcPr>
          <w:p>
            <w:pPr>
              <w:spacing w:after="0"/>
              <w:rPr>
                <w:sz w:val="20"/>
                <w:szCs w:val="20"/>
                <w:color w:val="auto"/>
              </w:rPr>
            </w:pPr>
            <w:r>
              <w:rPr>
                <w:rFonts w:ascii="Arial" w:cs="Arial" w:eastAsia="Arial" w:hAnsi="Arial"/>
                <w:sz w:val="11"/>
                <w:szCs w:val="11"/>
                <w:b w:val="1"/>
                <w:bCs w:val="1"/>
                <w:color w:val="auto"/>
                <w:w w:val="80"/>
              </w:rPr>
              <w:t>except</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1"/>
                <w:szCs w:val="11"/>
                <w:b w:val="1"/>
                <w:bCs w:val="1"/>
                <w:color w:val="auto"/>
              </w:rPr>
              <w:t>2008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5" w:lineRule="exact"/>
              <w:rPr>
                <w:sz w:val="20"/>
                <w:szCs w:val="20"/>
                <w:color w:val="auto"/>
              </w:rPr>
            </w:pPr>
            <w:r>
              <w:rPr>
                <w:rFonts w:ascii="Arial" w:cs="Arial" w:eastAsia="Arial" w:hAnsi="Arial"/>
                <w:sz w:val="11"/>
                <w:szCs w:val="11"/>
                <w:b w:val="1"/>
                <w:bCs w:val="1"/>
                <w:color w:val="auto"/>
                <w:w w:val="98"/>
              </w:rPr>
              <w:t>(In thousands,</w:t>
            </w:r>
          </w:p>
        </w:tc>
        <w:tc>
          <w:tcPr>
            <w:tcW w:w="300" w:type="dxa"/>
            <w:vAlign w:val="bottom"/>
            <w:gridSpan w:val="2"/>
            <w:vMerge w:val="continue"/>
          </w:tcPr>
          <w:p>
            <w:pPr>
              <w:spacing w:after="0"/>
              <w:rPr>
                <w:sz w:val="10"/>
                <w:szCs w:val="10"/>
                <w:color w:val="auto"/>
              </w:rPr>
            </w:pPr>
          </w:p>
        </w:tc>
        <w:tc>
          <w:tcPr>
            <w:tcW w:w="88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per share data)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800" w:type="dxa"/>
            <w:vAlign w:val="bottom"/>
          </w:tcPr>
          <w:p>
            <w:pPr>
              <w:ind w:left="4760"/>
              <w:spacing w:after="0"/>
              <w:rPr>
                <w:sz w:val="20"/>
                <w:szCs w:val="20"/>
                <w:color w:val="auto"/>
              </w:rPr>
            </w:pPr>
            <w:r>
              <w:rPr>
                <w:rFonts w:ascii="Arial" w:cs="Arial" w:eastAsia="Arial" w:hAnsi="Arial"/>
                <w:sz w:val="13"/>
                <w:szCs w:val="13"/>
                <w:b w:val="1"/>
                <w:bCs w:val="1"/>
                <w:color w:val="auto"/>
              </w:rPr>
              <w:t>ASSETS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Current assets: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89,924</w:t>
            </w:r>
          </w:p>
        </w:tc>
        <w:tc>
          <w:tcPr>
            <w:tcW w:w="160" w:type="dxa"/>
            <w:vAlign w:val="bottom"/>
          </w:tcPr>
          <w:p>
            <w:pPr>
              <w:spacing w:after="0"/>
              <w:rPr>
                <w:sz w:val="13"/>
                <w:szCs w:val="13"/>
                <w:color w:val="auto"/>
              </w:rPr>
            </w:pP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72,203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2,558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2,277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 of $830 and $193 at December 31, 2009 and 2008,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25,939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25,296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4,069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3,337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Deferred tax 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1,065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0" w:type="dxa"/>
            <w:vAlign w:val="bottom"/>
          </w:tcPr>
          <w:p>
            <w:pPr>
              <w:spacing w:after="0"/>
              <w:rPr>
                <w:sz w:val="20"/>
                <w:szCs w:val="20"/>
                <w:color w:val="auto"/>
              </w:rPr>
            </w:pPr>
            <w:r>
              <w:rPr>
                <w:rFonts w:ascii="Arial" w:cs="Arial" w:eastAsia="Arial" w:hAnsi="Arial"/>
                <w:sz w:val="13"/>
                <w:szCs w:val="13"/>
                <w:color w:val="auto"/>
              </w:rPr>
              <w:t>Total current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123,952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104,178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5,202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4,283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Property and equipment,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23,735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17,280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6,911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6,862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Intangible assets, net</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2,727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3,580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8,992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8,505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0" w:type="dxa"/>
            <w:vAlign w:val="bottom"/>
          </w:tcPr>
          <w:p>
            <w:pPr>
              <w:spacing w:after="0"/>
              <w:rPr>
                <w:sz w:val="20"/>
                <w:szCs w:val="20"/>
                <w:color w:val="auto"/>
              </w:rPr>
            </w:pPr>
            <w:r>
              <w:rPr>
                <w:rFonts w:ascii="Arial" w:cs="Arial" w:eastAsia="Arial" w:hAnsi="Arial"/>
                <w:sz w:val="13"/>
                <w:szCs w:val="13"/>
                <w:color w:val="auto"/>
              </w:rPr>
              <w:t>Other assets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80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172,559</w:t>
            </w:r>
          </w:p>
        </w:tc>
        <w:tc>
          <w:tcPr>
            <w:tcW w:w="160" w:type="dxa"/>
            <w:vAlign w:val="bottom"/>
          </w:tcPr>
          <w:p>
            <w:pPr>
              <w:spacing w:after="0"/>
              <w:rPr>
                <w:sz w:val="14"/>
                <w:szCs w:val="14"/>
                <w:color w:val="auto"/>
              </w:rPr>
            </w:pP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145,319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7800" w:type="dxa"/>
            <w:vAlign w:val="bottom"/>
          </w:tcPr>
          <w:p>
            <w:pPr>
              <w:ind w:left="3560"/>
              <w:spacing w:after="0"/>
              <w:rPr>
                <w:sz w:val="20"/>
                <w:szCs w:val="20"/>
                <w:color w:val="auto"/>
              </w:rPr>
            </w:pPr>
            <w:r>
              <w:rPr>
                <w:rFonts w:ascii="Arial" w:cs="Arial" w:eastAsia="Arial" w:hAnsi="Arial"/>
                <w:sz w:val="13"/>
                <w:szCs w:val="13"/>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Current liabilities: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5,171</w:t>
            </w:r>
          </w:p>
        </w:tc>
        <w:tc>
          <w:tcPr>
            <w:tcW w:w="160" w:type="dxa"/>
            <w:vAlign w:val="bottom"/>
          </w:tcPr>
          <w:p>
            <w:pPr>
              <w:spacing w:after="0"/>
              <w:rPr>
                <w:sz w:val="13"/>
                <w:szCs w:val="13"/>
                <w:color w:val="auto"/>
              </w:rPr>
            </w:pP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2,838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Accrued expenses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8,640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Deferred revenues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3,095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7800" w:type="dxa"/>
            <w:vAlign w:val="bottom"/>
          </w:tcPr>
          <w:p>
            <w:pPr>
              <w:spacing w:after="0"/>
              <w:rPr>
                <w:sz w:val="20"/>
                <w:szCs w:val="20"/>
                <w:color w:val="auto"/>
              </w:rPr>
            </w:pPr>
            <w:r>
              <w:rPr>
                <w:rFonts w:ascii="Arial" w:cs="Arial" w:eastAsia="Arial" w:hAnsi="Arial"/>
                <w:sz w:val="13"/>
                <w:szCs w:val="13"/>
                <w:color w:val="auto"/>
              </w:rPr>
              <w:t>Total current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15,616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12,930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Lease financing obligation — long-term</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9,150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Other liabilities</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1,329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1,366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w w:val="95"/>
              </w:rPr>
              <w:t>Preferred stock, $0.0001 par value; 10,000 shares authorized, 0 shares issued and Outstanding at December 31, 2009 and 2008, respectively</w:t>
            </w:r>
          </w:p>
        </w:tc>
        <w:tc>
          <w:tcPr>
            <w:tcW w:w="100" w:type="dxa"/>
            <w:vAlign w:val="bottom"/>
          </w:tcPr>
          <w:p>
            <w:pPr>
              <w:spacing w:after="0"/>
              <w:rPr>
                <w:sz w:val="13"/>
                <w:szCs w:val="13"/>
                <w:color w:val="auto"/>
              </w:rPr>
            </w:pPr>
          </w:p>
        </w:tc>
        <w:tc>
          <w:tcPr>
            <w:tcW w:w="960" w:type="dxa"/>
            <w:vAlign w:val="bottom"/>
            <w:gridSpan w:val="2"/>
          </w:tcPr>
          <w:p>
            <w:pPr>
              <w:jc w:val="right"/>
              <w:ind w:right="10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Common stock, $0.0001 par value; 100,000 shares authorized, 33,104 and 32,878 shares issued; 31,104 and 30,878 outstanding at</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December 31, 2009 and 2008, respectively</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Treasury stock, at cost (2,000 shares at December 31, 2009 and 2008)</w:t>
            </w:r>
          </w:p>
        </w:tc>
        <w:tc>
          <w:tcPr>
            <w:tcW w:w="100" w:type="dxa"/>
            <w:vAlign w:val="bottom"/>
          </w:tcPr>
          <w:p>
            <w:pPr>
              <w:spacing w:after="0"/>
              <w:rPr>
                <w:sz w:val="13"/>
                <w:szCs w:val="13"/>
                <w:color w:val="auto"/>
              </w:rPr>
            </w:pPr>
          </w:p>
        </w:tc>
        <w:tc>
          <w:tcPr>
            <w:tcW w:w="960" w:type="dxa"/>
            <w:vAlign w:val="bottom"/>
            <w:gridSpan w:val="2"/>
          </w:tcPr>
          <w:p>
            <w:pPr>
              <w:jc w:val="right"/>
              <w:ind w:right="67"/>
              <w:spacing w:after="0"/>
              <w:rPr>
                <w:sz w:val="20"/>
                <w:szCs w:val="20"/>
                <w:color w:val="auto"/>
              </w:rPr>
            </w:pPr>
            <w:r>
              <w:rPr>
                <w:rFonts w:ascii="Arial" w:cs="Arial" w:eastAsia="Arial" w:hAnsi="Arial"/>
                <w:sz w:val="13"/>
                <w:szCs w:val="13"/>
                <w:color w:val="auto"/>
              </w:rPr>
              <w:t>(23,713)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(23,713)</w:t>
            </w: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117,797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107,895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800" w:type="dxa"/>
            <w:vAlign w:val="bottom"/>
          </w:tcPr>
          <w:p>
            <w:pPr>
              <w:ind w:left="140"/>
              <w:spacing w:after="0"/>
              <w:rPr>
                <w:sz w:val="20"/>
                <w:szCs w:val="20"/>
                <w:color w:val="auto"/>
              </w:rPr>
            </w:pPr>
            <w:r>
              <w:rPr>
                <w:rFonts w:ascii="Arial" w:cs="Arial" w:eastAsia="Arial" w:hAnsi="Arial"/>
                <w:sz w:val="13"/>
                <w:szCs w:val="13"/>
                <w:color w:val="auto"/>
              </w:rPr>
              <w:t>Accumulated other comprehensive (loss) income</w:t>
            </w:r>
          </w:p>
        </w:tc>
        <w:tc>
          <w:tcPr>
            <w:tcW w:w="100" w:type="dxa"/>
            <w:vAlign w:val="bottom"/>
          </w:tcPr>
          <w:p>
            <w:pPr>
              <w:spacing w:after="0"/>
              <w:rPr>
                <w:sz w:val="13"/>
                <w:szCs w:val="13"/>
                <w:color w:val="auto"/>
              </w:rPr>
            </w:pPr>
          </w:p>
        </w:tc>
        <w:tc>
          <w:tcPr>
            <w:tcW w:w="960" w:type="dxa"/>
            <w:vAlign w:val="bottom"/>
            <w:gridSpan w:val="2"/>
          </w:tcPr>
          <w:p>
            <w:pPr>
              <w:jc w:val="right"/>
              <w:ind w:right="67"/>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800" w:type="dxa"/>
            <w:vAlign w:val="bottom"/>
          </w:tcPr>
          <w:p>
            <w:pPr>
              <w:ind w:left="140"/>
              <w:spacing w:after="0"/>
              <w:rPr>
                <w:sz w:val="20"/>
                <w:szCs w:val="20"/>
                <w:color w:val="auto"/>
              </w:rPr>
            </w:pPr>
            <w:r>
              <w:rPr>
                <w:rFonts w:ascii="Arial" w:cs="Arial" w:eastAsia="Arial" w:hAnsi="Arial"/>
                <w:sz w:val="13"/>
                <w:szCs w:val="13"/>
                <w:color w:val="auto"/>
              </w:rPr>
              <w:t>Retained earnings</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52,384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40,087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800" w:type="dxa"/>
            <w:vAlign w:val="bottom"/>
          </w:tcPr>
          <w:p>
            <w:pPr>
              <w:spacing w:after="0"/>
              <w:rPr>
                <w:sz w:val="20"/>
                <w:szCs w:val="20"/>
                <w:color w:val="auto"/>
              </w:rPr>
            </w:pPr>
            <w:r>
              <w:rPr>
                <w:rFonts w:ascii="Arial" w:cs="Arial" w:eastAsia="Arial" w:hAnsi="Arial"/>
                <w:sz w:val="13"/>
                <w:szCs w:val="13"/>
                <w:color w:val="auto"/>
              </w:rPr>
              <w:t>Total stockholders’ equity</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146,464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124,338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7800" w:type="dxa"/>
            <w:vAlign w:val="bottom"/>
          </w:tcPr>
          <w:p>
            <w:pPr>
              <w:spacing w:after="0"/>
              <w:rPr>
                <w:sz w:val="20"/>
                <w:szCs w:val="20"/>
                <w:color w:val="auto"/>
              </w:rPr>
            </w:pPr>
            <w:r>
              <w:rPr>
                <w:rFonts w:ascii="Arial" w:cs="Arial" w:eastAsia="Arial" w:hAnsi="Arial"/>
                <w:sz w:val="13"/>
                <w:szCs w:val="13"/>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172,559</w:t>
            </w:r>
          </w:p>
        </w:tc>
        <w:tc>
          <w:tcPr>
            <w:tcW w:w="160" w:type="dxa"/>
            <w:vAlign w:val="bottom"/>
          </w:tcPr>
          <w:p>
            <w:pPr>
              <w:spacing w:after="0"/>
              <w:rPr>
                <w:sz w:val="13"/>
                <w:szCs w:val="13"/>
                <w:color w:val="auto"/>
              </w:rPr>
            </w:pPr>
          </w:p>
        </w:tc>
        <w:tc>
          <w:tcPr>
            <w:tcW w:w="240" w:type="dxa"/>
            <w:vAlign w:val="bottom"/>
            <w:gridSpan w:val="2"/>
          </w:tcPr>
          <w:p>
            <w:pPr>
              <w:ind w:left="1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145,319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STATEMENTS OF INCOME</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5"/>
          </w:tcPr>
          <w:p>
            <w:pPr>
              <w:ind w:left="20"/>
              <w:spacing w:after="0"/>
              <w:rPr>
                <w:sz w:val="20"/>
                <w:szCs w:val="20"/>
                <w:color w:val="auto"/>
              </w:rPr>
            </w:pPr>
            <w:r>
              <w:rPr>
                <w:rFonts w:ascii="Arial" w:cs="Arial" w:eastAsia="Arial" w:hAnsi="Arial"/>
                <w:sz w:val="11"/>
                <w:szCs w:val="11"/>
                <w:b w:val="1"/>
                <w:bCs w:val="1"/>
                <w:color w:val="auto"/>
                <w:w w:val="90"/>
              </w:rPr>
              <w:t>Year Ended December 31,</w:t>
            </w:r>
          </w:p>
        </w:tc>
        <w:tc>
          <w:tcPr>
            <w:tcW w:w="5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2009</w:t>
            </w:r>
          </w:p>
        </w:tc>
        <w:tc>
          <w:tcPr>
            <w:tcW w:w="100" w:type="dxa"/>
            <w:vAlign w:val="bottom"/>
          </w:tcPr>
          <w:p>
            <w:pPr>
              <w:spacing w:after="0"/>
              <w:rPr>
                <w:sz w:val="8"/>
                <w:szCs w:val="8"/>
                <w:color w:val="auto"/>
              </w:rPr>
            </w:pPr>
          </w:p>
        </w:tc>
        <w:tc>
          <w:tcPr>
            <w:tcW w:w="3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w:t>
            </w: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2008</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2007</w:t>
            </w: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w w:val="83"/>
              </w:rPr>
              <w:t>thousands, except</w:t>
            </w:r>
          </w:p>
        </w:tc>
        <w:tc>
          <w:tcPr>
            <w:tcW w:w="1100" w:type="dxa"/>
            <w:vAlign w:val="bottom"/>
            <w:gridSpan w:val="4"/>
          </w:tcPr>
          <w:p>
            <w:pPr>
              <w:jc w:val="center"/>
              <w:ind w:right="195"/>
              <w:spacing w:after="0"/>
              <w:rPr>
                <w:sz w:val="20"/>
                <w:szCs w:val="20"/>
                <w:color w:val="auto"/>
              </w:rPr>
            </w:pPr>
            <w:r>
              <w:rPr>
                <w:rFonts w:ascii="Arial" w:cs="Arial" w:eastAsia="Arial" w:hAnsi="Arial"/>
                <w:sz w:val="11"/>
                <w:szCs w:val="11"/>
                <w:b w:val="1"/>
                <w:bCs w:val="1"/>
                <w:color w:val="auto"/>
                <w:w w:val="86"/>
              </w:rPr>
              <w:t>per share data)</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540" w:type="dxa"/>
            <w:vAlign w:val="bottom"/>
            <w:gridSpan w:val="3"/>
          </w:tcPr>
          <w:p>
            <w:pPr>
              <w:spacing w:after="0"/>
              <w:rPr>
                <w:sz w:val="20"/>
                <w:szCs w:val="20"/>
                <w:color w:val="auto"/>
              </w:rPr>
            </w:pPr>
            <w:r>
              <w:rPr>
                <w:rFonts w:ascii="Arial" w:cs="Arial" w:eastAsia="Arial" w:hAnsi="Arial"/>
                <w:sz w:val="13"/>
                <w:szCs w:val="13"/>
                <w:color w:val="auto"/>
              </w:rPr>
              <w:t>Net revenues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128,805</w:t>
            </w: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110,982</w:t>
            </w:r>
          </w:p>
        </w:tc>
        <w:tc>
          <w:tcPr>
            <w:tcW w:w="2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123,538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40" w:type="dxa"/>
            <w:vAlign w:val="bottom"/>
            <w:gridSpan w:val="3"/>
          </w:tcPr>
          <w:p>
            <w:pPr>
              <w:spacing w:after="0"/>
              <w:rPr>
                <w:sz w:val="20"/>
                <w:szCs w:val="20"/>
                <w:color w:val="auto"/>
              </w:rPr>
            </w:pPr>
            <w:r>
              <w:rPr>
                <w:rFonts w:ascii="Arial" w:cs="Arial" w:eastAsia="Arial" w:hAnsi="Arial"/>
                <w:sz w:val="13"/>
                <w:szCs w:val="13"/>
                <w:color w:val="auto"/>
              </w:rPr>
              <w:t>Costs and expenses: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Cost of services*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64,455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53,528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55,305</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13,153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11,049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10,629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Selling, general and administrative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23,650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21,718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18,531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Depreciation and amortization</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8,499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6,656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5,237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540" w:type="dxa"/>
            <w:vAlign w:val="bottom"/>
            <w:gridSpan w:val="3"/>
          </w:tcPr>
          <w:p>
            <w:pPr>
              <w:spacing w:after="0"/>
              <w:rPr>
                <w:sz w:val="20"/>
                <w:szCs w:val="20"/>
                <w:color w:val="auto"/>
              </w:rPr>
            </w:pPr>
            <w:r>
              <w:rPr>
                <w:rFonts w:ascii="Arial" w:cs="Arial" w:eastAsia="Arial" w:hAnsi="Arial"/>
                <w:sz w:val="13"/>
                <w:szCs w:val="13"/>
                <w:color w:val="auto"/>
              </w:rPr>
              <w:t>Total costs and expenses</w:t>
            </w:r>
          </w:p>
        </w:tc>
        <w:tc>
          <w:tcPr>
            <w:tcW w:w="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109,757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92,951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89,702</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540" w:type="dxa"/>
            <w:vAlign w:val="bottom"/>
            <w:gridSpan w:val="3"/>
          </w:tcPr>
          <w:p>
            <w:pPr>
              <w:spacing w:after="0"/>
              <w:rPr>
                <w:sz w:val="20"/>
                <w:szCs w:val="20"/>
                <w:color w:val="auto"/>
              </w:rPr>
            </w:pPr>
            <w:r>
              <w:rPr>
                <w:rFonts w:ascii="Arial" w:cs="Arial" w:eastAsia="Arial" w:hAnsi="Arial"/>
                <w:sz w:val="13"/>
                <w:szCs w:val="13"/>
                <w:color w:val="auto"/>
              </w:rPr>
              <w:t>Income from operations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19,048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18,031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33,836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Interest and other income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2,369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3,974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(741)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7"/>
              <w:spacing w:after="0"/>
              <w:rPr>
                <w:sz w:val="20"/>
                <w:szCs w:val="20"/>
                <w:color w:val="auto"/>
              </w:rPr>
            </w:pPr>
            <w:r>
              <w:rPr>
                <w:rFonts w:ascii="Arial" w:cs="Arial" w:eastAsia="Arial" w:hAnsi="Arial"/>
                <w:sz w:val="13"/>
                <w:szCs w:val="13"/>
                <w:color w:val="auto"/>
              </w:rPr>
              <w:t>(96)</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1"/>
        </w:trPr>
        <w:tc>
          <w:tcPr>
            <w:tcW w:w="6540" w:type="dxa"/>
            <w:vAlign w:val="bottom"/>
            <w:gridSpan w:val="3"/>
          </w:tcPr>
          <w:p>
            <w:pPr>
              <w:spacing w:after="0"/>
              <w:rPr>
                <w:sz w:val="20"/>
                <w:szCs w:val="20"/>
                <w:color w:val="auto"/>
              </w:rPr>
            </w:pPr>
            <w:r>
              <w:rPr>
                <w:rFonts w:ascii="Arial" w:cs="Arial" w:eastAsia="Arial" w:hAnsi="Arial"/>
                <w:sz w:val="13"/>
                <w:szCs w:val="13"/>
                <w:color w:val="auto"/>
              </w:rPr>
              <w:t>Income before income tax expense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18,833</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20,304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37,744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Income tax expense</w:t>
            </w:r>
          </w:p>
        </w:tc>
        <w:tc>
          <w:tcPr>
            <w:tcW w:w="160" w:type="dxa"/>
            <w:vAlign w:val="bottom"/>
          </w:tcPr>
          <w:p>
            <w:pPr>
              <w:spacing w:after="0"/>
              <w:rPr>
                <w:sz w:val="14"/>
                <w:szCs w:val="14"/>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(6,536)</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127"/>
              <w:spacing w:after="0"/>
              <w:rPr>
                <w:sz w:val="20"/>
                <w:szCs w:val="20"/>
                <w:color w:val="auto"/>
              </w:rPr>
            </w:pPr>
            <w:r>
              <w:rPr>
                <w:rFonts w:ascii="Arial" w:cs="Arial" w:eastAsia="Arial" w:hAnsi="Arial"/>
                <w:sz w:val="13"/>
                <w:szCs w:val="13"/>
                <w:color w:val="auto"/>
              </w:rPr>
              <w:t>(8,424)</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3"/>
                <w:szCs w:val="13"/>
                <w:color w:val="auto"/>
              </w:rPr>
              <w:t>(13,988)</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3"/>
                <w:szCs w:val="13"/>
                <w:color w:val="auto"/>
              </w:rPr>
              <w:t>Net income attributable to common stockholders</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540" w:type="dxa"/>
            <w:vAlign w:val="bottom"/>
            <w:gridSpan w:val="3"/>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12,297</w:t>
            </w: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11,880</w:t>
            </w:r>
          </w:p>
        </w:tc>
        <w:tc>
          <w:tcPr>
            <w:tcW w:w="2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23,756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540" w:type="dxa"/>
            <w:vAlign w:val="bottom"/>
            <w:gridSpan w:val="3"/>
          </w:tcPr>
          <w:p>
            <w:pPr>
              <w:spacing w:after="0"/>
              <w:rPr>
                <w:sz w:val="20"/>
                <w:szCs w:val="20"/>
                <w:color w:val="auto"/>
              </w:rPr>
            </w:pPr>
            <w:r>
              <w:rPr>
                <w:rFonts w:ascii="Arial" w:cs="Arial" w:eastAsia="Arial" w:hAnsi="Arial"/>
                <w:sz w:val="13"/>
                <w:szCs w:val="13"/>
                <w:color w:val="auto"/>
              </w:rPr>
              <w:t>Net income attributable to common stockholders per Common share:</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0.40</w:t>
            </w: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0.38</w:t>
            </w:r>
          </w:p>
        </w:tc>
        <w:tc>
          <w:tcPr>
            <w:tcW w:w="2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0.74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120"/>
              <w:spacing w:after="0"/>
              <w:rPr>
                <w:sz w:val="20"/>
                <w:szCs w:val="20"/>
                <w:color w:val="auto"/>
              </w:rPr>
            </w:pPr>
            <w:r>
              <w:rPr>
                <w:rFonts w:ascii="Arial" w:cs="Arial" w:eastAsia="Arial" w:hAnsi="Arial"/>
                <w:sz w:val="13"/>
                <w:szCs w:val="13"/>
                <w:color w:val="auto"/>
              </w:rPr>
              <w:t>Diluted</w:t>
            </w: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520" w:type="dxa"/>
            <w:vAlign w:val="bottom"/>
            <w:gridSpan w:val="2"/>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0.39</w:t>
            </w:r>
          </w:p>
        </w:tc>
        <w:tc>
          <w:tcPr>
            <w:tcW w:w="100" w:type="dxa"/>
            <w:vAlign w:val="bottom"/>
          </w:tcPr>
          <w:p>
            <w:pPr>
              <w:spacing w:after="0"/>
              <w:rPr>
                <w:sz w:val="14"/>
                <w:szCs w:val="14"/>
                <w:color w:val="auto"/>
              </w:rPr>
            </w:pPr>
          </w:p>
        </w:tc>
        <w:tc>
          <w:tcPr>
            <w:tcW w:w="4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0.37</w:t>
            </w:r>
          </w:p>
        </w:tc>
        <w:tc>
          <w:tcPr>
            <w:tcW w:w="220" w:type="dxa"/>
            <w:vAlign w:val="bottom"/>
          </w:tcPr>
          <w:p>
            <w:pPr>
              <w:spacing w:after="0"/>
              <w:rPr>
                <w:sz w:val="14"/>
                <w:szCs w:val="14"/>
                <w:color w:val="auto"/>
              </w:rPr>
            </w:pPr>
          </w:p>
        </w:tc>
        <w:tc>
          <w:tcPr>
            <w:tcW w:w="360" w:type="dxa"/>
            <w:vAlign w:val="bottom"/>
            <w:gridSpan w:val="2"/>
          </w:tcPr>
          <w:p>
            <w:pPr>
              <w:jc w:val="center"/>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0.71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6540" w:type="dxa"/>
            <w:vAlign w:val="bottom"/>
            <w:gridSpan w:val="3"/>
          </w:tcPr>
          <w:p>
            <w:pPr>
              <w:spacing w:after="0"/>
              <w:rPr>
                <w:sz w:val="20"/>
                <w:szCs w:val="20"/>
                <w:color w:val="auto"/>
              </w:rPr>
            </w:pPr>
            <w:r>
              <w:rPr>
                <w:rFonts w:ascii="Arial" w:cs="Arial" w:eastAsia="Arial" w:hAnsi="Arial"/>
                <w:sz w:val="13"/>
                <w:szCs w:val="13"/>
                <w:color w:val="auto"/>
              </w:rPr>
              <w:t>Weighted-average common shares outstanding:</w:t>
            </w:r>
          </w:p>
        </w:tc>
        <w:tc>
          <w:tcPr>
            <w:tcW w:w="1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Basic</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30,813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31,619</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32,215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20" w:type="dxa"/>
            <w:vAlign w:val="bottom"/>
            <w:gridSpan w:val="2"/>
          </w:tcPr>
          <w:p>
            <w:pPr>
              <w:ind w:left="120"/>
              <w:spacing w:after="0"/>
              <w:rPr>
                <w:sz w:val="20"/>
                <w:szCs w:val="20"/>
                <w:color w:val="auto"/>
              </w:rPr>
            </w:pPr>
            <w:r>
              <w:rPr>
                <w:rFonts w:ascii="Arial" w:cs="Arial" w:eastAsia="Arial" w:hAnsi="Arial"/>
                <w:sz w:val="13"/>
                <w:szCs w:val="13"/>
                <w:color w:val="auto"/>
              </w:rPr>
              <w:t>Diluted</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31,145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680"/>
        <w:spacing w:after="0"/>
        <w:tabs>
          <w:tab w:leader="none" w:pos="880" w:val="left"/>
        </w:tabs>
        <w:rPr>
          <w:sz w:val="20"/>
          <w:szCs w:val="20"/>
          <w:color w:val="auto"/>
        </w:rPr>
      </w:pPr>
      <w:r>
        <w:rPr>
          <w:rFonts w:ascii="Arial" w:cs="Arial" w:eastAsia="Arial" w:hAnsi="Arial"/>
          <w:sz w:val="13"/>
          <w:szCs w:val="13"/>
          <w:color w:val="auto"/>
        </w:rPr>
        <w:t>*</w:t>
        <w:tab/>
        <w:t>Cost of services excludes depreciation which is shown separately.</w:t>
      </w:r>
    </w:p>
    <w:p>
      <w:pPr>
        <w:spacing w:after="0" w:line="58"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CONSOLIDATED STATEMENTS OF STOCKHOLDERS’ EQUITY</w:t>
      </w:r>
    </w:p>
    <w:p>
      <w:pPr>
        <w:spacing w:after="0" w:line="187" w:lineRule="exact"/>
        <w:rPr>
          <w:sz w:val="20"/>
          <w:szCs w:val="20"/>
          <w:color w:val="auto"/>
        </w:rPr>
      </w:pPr>
    </w:p>
    <w:tbl>
      <w:tblPr>
        <w:tblLayout w:type="fixed"/>
        <w:tblInd w:w="680" w:type="dxa"/>
        <w:tblCellMar>
          <w:top w:w="0" w:type="dxa"/>
          <w:left w:w="0" w:type="dxa"/>
          <w:bottom w:w="0" w:type="dxa"/>
          <w:right w:w="0" w:type="dxa"/>
        </w:tblCellMar>
      </w:tblPr>
      <w:tr>
        <w:trPr>
          <w:trHeight w:val="92"/>
        </w:trPr>
        <w:tc>
          <w:tcPr>
            <w:tcW w:w="4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87"/>
              </w:rPr>
              <w:t>Accumulated</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420" w:type="dxa"/>
            <w:vAlign w:val="bottom"/>
          </w:tcPr>
          <w:p>
            <w:pPr>
              <w:spacing w:after="0"/>
              <w:rPr>
                <w:sz w:val="8"/>
                <w:szCs w:val="8"/>
                <w:color w:val="auto"/>
              </w:rPr>
            </w:pPr>
          </w:p>
        </w:tc>
        <w:tc>
          <w:tcPr>
            <w:tcW w:w="740" w:type="dxa"/>
            <w:vAlign w:val="bottom"/>
            <w:gridSpan w:val="4"/>
            <w:vMerge w:val="restart"/>
          </w:tcPr>
          <w:p>
            <w:pPr>
              <w:ind w:left="180"/>
              <w:spacing w:after="0"/>
              <w:rPr>
                <w:sz w:val="20"/>
                <w:szCs w:val="20"/>
                <w:color w:val="auto"/>
              </w:rPr>
            </w:pPr>
            <w:r>
              <w:rPr>
                <w:rFonts w:ascii="Arial" w:cs="Arial" w:eastAsia="Arial" w:hAnsi="Arial"/>
                <w:sz w:val="8"/>
                <w:szCs w:val="8"/>
                <w:b w:val="1"/>
                <w:bCs w:val="1"/>
                <w:color w:val="auto"/>
                <w:w w:val="91"/>
              </w:rPr>
              <w:t>Common Stock</w:t>
            </w: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20" w:type="dxa"/>
            <w:vAlign w:val="bottom"/>
            <w:gridSpan w:val="6"/>
            <w:vMerge w:val="restart"/>
          </w:tcPr>
          <w:p>
            <w:pPr>
              <w:jc w:val="right"/>
              <w:ind w:right="460"/>
              <w:spacing w:after="0"/>
              <w:rPr>
                <w:sz w:val="20"/>
                <w:szCs w:val="20"/>
                <w:color w:val="auto"/>
              </w:rPr>
            </w:pPr>
            <w:r>
              <w:rPr>
                <w:rFonts w:ascii="Arial" w:cs="Arial" w:eastAsia="Arial" w:hAnsi="Arial"/>
                <w:sz w:val="8"/>
                <w:szCs w:val="8"/>
                <w:b w:val="1"/>
                <w:bCs w:val="1"/>
                <w:color w:val="auto"/>
              </w:rPr>
              <w:t>Treasury Stock</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jc w:val="right"/>
              <w:ind w:right="63"/>
              <w:spacing w:after="0"/>
              <w:rPr>
                <w:sz w:val="20"/>
                <w:szCs w:val="20"/>
                <w:color w:val="auto"/>
              </w:rPr>
            </w:pPr>
            <w:r>
              <w:rPr>
                <w:rFonts w:ascii="Arial" w:cs="Arial" w:eastAsia="Arial" w:hAnsi="Arial"/>
                <w:sz w:val="8"/>
                <w:szCs w:val="8"/>
                <w:b w:val="1"/>
                <w:bCs w:val="1"/>
                <w:color w:val="auto"/>
                <w:w w:val="97"/>
              </w:rPr>
              <w:t>Additional</w:t>
            </w:r>
          </w:p>
        </w:tc>
        <w:tc>
          <w:tcPr>
            <w:tcW w:w="260" w:type="dxa"/>
            <w:vAlign w:val="bottom"/>
          </w:tcPr>
          <w:p>
            <w:pPr>
              <w:spacing w:after="0"/>
              <w:rPr>
                <w:sz w:val="8"/>
                <w:szCs w:val="8"/>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8"/>
                <w:szCs w:val="8"/>
                <w:b w:val="1"/>
                <w:bCs w:val="1"/>
                <w:color w:val="auto"/>
                <w:w w:val="93"/>
              </w:rPr>
              <w:t>Total</w:t>
            </w:r>
          </w:p>
        </w:tc>
        <w:tc>
          <w:tcPr>
            <w:tcW w:w="0" w:type="dxa"/>
            <w:vAlign w:val="bottom"/>
          </w:tcPr>
          <w:p>
            <w:pPr>
              <w:spacing w:after="0"/>
              <w:rPr>
                <w:sz w:val="1"/>
                <w:szCs w:val="1"/>
                <w:color w:val="auto"/>
              </w:rPr>
            </w:pPr>
          </w:p>
        </w:tc>
      </w:tr>
      <w:tr>
        <w:trPr>
          <w:trHeight w:val="88"/>
        </w:trPr>
        <w:tc>
          <w:tcPr>
            <w:tcW w:w="4420" w:type="dxa"/>
            <w:vAlign w:val="bottom"/>
          </w:tcPr>
          <w:p>
            <w:pPr>
              <w:spacing w:after="0"/>
              <w:rPr>
                <w:sz w:val="7"/>
                <w:szCs w:val="7"/>
                <w:color w:val="auto"/>
              </w:rPr>
            </w:pPr>
          </w:p>
        </w:tc>
        <w:tc>
          <w:tcPr>
            <w:tcW w:w="74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2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right"/>
              <w:ind w:right="123"/>
              <w:spacing w:after="0" w:line="89" w:lineRule="exact"/>
              <w:rPr>
                <w:sz w:val="20"/>
                <w:szCs w:val="20"/>
                <w:color w:val="auto"/>
              </w:rPr>
            </w:pPr>
            <w:r>
              <w:rPr>
                <w:rFonts w:ascii="Arial" w:cs="Arial" w:eastAsia="Arial" w:hAnsi="Arial"/>
                <w:sz w:val="8"/>
                <w:szCs w:val="8"/>
                <w:b w:val="1"/>
                <w:bCs w:val="1"/>
                <w:color w:val="auto"/>
              </w:rPr>
              <w:t>Paid-In</w:t>
            </w:r>
          </w:p>
        </w:tc>
        <w:tc>
          <w:tcPr>
            <w:tcW w:w="260" w:type="dxa"/>
            <w:vAlign w:val="bottom"/>
          </w:tcPr>
          <w:p>
            <w:pPr>
              <w:spacing w:after="0"/>
              <w:rPr>
                <w:sz w:val="7"/>
                <w:szCs w:val="7"/>
                <w:color w:val="auto"/>
              </w:rPr>
            </w:pPr>
          </w:p>
        </w:tc>
        <w:tc>
          <w:tcPr>
            <w:tcW w:w="740" w:type="dxa"/>
            <w:vAlign w:val="bottom"/>
            <w:gridSpan w:val="2"/>
          </w:tcPr>
          <w:p>
            <w:pPr>
              <w:jc w:val="center"/>
              <w:ind w:right="180"/>
              <w:spacing w:after="0" w:line="89" w:lineRule="exact"/>
              <w:rPr>
                <w:sz w:val="20"/>
                <w:szCs w:val="20"/>
                <w:color w:val="auto"/>
              </w:rPr>
            </w:pPr>
            <w:r>
              <w:rPr>
                <w:rFonts w:ascii="Arial" w:cs="Arial" w:eastAsia="Arial" w:hAnsi="Arial"/>
                <w:sz w:val="8"/>
                <w:szCs w:val="8"/>
                <w:b w:val="1"/>
                <w:bCs w:val="1"/>
                <w:color w:val="auto"/>
                <w:w w:val="86"/>
              </w:rPr>
              <w:t>Comprehensive</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jc w:val="right"/>
              <w:ind w:right="42"/>
              <w:spacing w:after="0" w:line="89" w:lineRule="exact"/>
              <w:rPr>
                <w:sz w:val="20"/>
                <w:szCs w:val="20"/>
                <w:color w:val="auto"/>
              </w:rPr>
            </w:pPr>
            <w:r>
              <w:rPr>
                <w:rFonts w:ascii="Arial" w:cs="Arial" w:eastAsia="Arial" w:hAnsi="Arial"/>
                <w:sz w:val="8"/>
                <w:szCs w:val="8"/>
                <w:b w:val="1"/>
                <w:bCs w:val="1"/>
                <w:color w:val="auto"/>
                <w:w w:val="88"/>
              </w:rPr>
              <w:t>Retained</w:t>
            </w:r>
          </w:p>
        </w:tc>
        <w:tc>
          <w:tcPr>
            <w:tcW w:w="260" w:type="dxa"/>
            <w:vAlign w:val="bottom"/>
          </w:tcPr>
          <w:p>
            <w:pPr>
              <w:spacing w:after="0"/>
              <w:rPr>
                <w:sz w:val="7"/>
                <w:szCs w:val="7"/>
                <w:color w:val="auto"/>
              </w:rPr>
            </w:pPr>
          </w:p>
        </w:tc>
        <w:tc>
          <w:tcPr>
            <w:tcW w:w="560" w:type="dxa"/>
            <w:vAlign w:val="bottom"/>
            <w:gridSpan w:val="2"/>
          </w:tcPr>
          <w:p>
            <w:pPr>
              <w:jc w:val="center"/>
              <w:ind w:right="100"/>
              <w:spacing w:after="0" w:line="89" w:lineRule="exact"/>
              <w:rPr>
                <w:sz w:val="20"/>
                <w:szCs w:val="20"/>
                <w:color w:val="auto"/>
              </w:rPr>
            </w:pPr>
            <w:r>
              <w:rPr>
                <w:rFonts w:ascii="Arial" w:cs="Arial" w:eastAsia="Arial" w:hAnsi="Arial"/>
                <w:sz w:val="8"/>
                <w:szCs w:val="8"/>
                <w:b w:val="1"/>
                <w:bCs w:val="1"/>
                <w:color w:val="auto"/>
                <w:w w:val="86"/>
              </w:rPr>
              <w:t>Stockholders’</w:t>
            </w:r>
          </w:p>
        </w:tc>
        <w:tc>
          <w:tcPr>
            <w:tcW w:w="0" w:type="dxa"/>
            <w:vAlign w:val="bottom"/>
          </w:tcPr>
          <w:p>
            <w:pPr>
              <w:spacing w:after="0"/>
              <w:rPr>
                <w:sz w:val="1"/>
                <w:szCs w:val="1"/>
                <w:color w:val="auto"/>
              </w:rPr>
            </w:pPr>
          </w:p>
        </w:tc>
      </w:tr>
      <w:tr>
        <w:trPr>
          <w:trHeight w:val="79"/>
        </w:trPr>
        <w:tc>
          <w:tcPr>
            <w:tcW w:w="4420" w:type="dxa"/>
            <w:vAlign w:val="bottom"/>
          </w:tcPr>
          <w:p>
            <w:pPr>
              <w:spacing w:after="0"/>
              <w:rPr>
                <w:sz w:val="6"/>
                <w:szCs w:val="6"/>
                <w:color w:val="auto"/>
              </w:rPr>
            </w:pPr>
          </w:p>
        </w:tc>
        <w:tc>
          <w:tcPr>
            <w:tcW w:w="420" w:type="dxa"/>
            <w:vAlign w:val="bottom"/>
            <w:tcBorders>
              <w:top w:val="single" w:sz="8" w:color="auto"/>
              <w:bottom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rPr>
              <w:t>Shares</w:t>
            </w: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00" w:type="dxa"/>
            <w:vAlign w:val="bottom"/>
            <w:tcBorders>
              <w:top w:val="single" w:sz="8" w:color="auto"/>
              <w:bottom w:val="single" w:sz="8" w:color="auto"/>
            </w:tcBorders>
            <w:gridSpan w:val="2"/>
          </w:tcPr>
          <w:p>
            <w:pPr>
              <w:spacing w:after="0" w:line="79" w:lineRule="exact"/>
              <w:rPr>
                <w:sz w:val="20"/>
                <w:szCs w:val="20"/>
                <w:color w:val="auto"/>
              </w:rPr>
            </w:pPr>
            <w:r>
              <w:rPr>
                <w:rFonts w:ascii="Arial" w:cs="Arial" w:eastAsia="Arial" w:hAnsi="Arial"/>
                <w:sz w:val="8"/>
                <w:szCs w:val="8"/>
                <w:b w:val="1"/>
                <w:bCs w:val="1"/>
                <w:color w:val="auto"/>
                <w:w w:val="92"/>
              </w:rPr>
              <w:t>Amount</w:t>
            </w:r>
          </w:p>
        </w:tc>
        <w:tc>
          <w:tcPr>
            <w:tcW w:w="180" w:type="dxa"/>
            <w:vAlign w:val="bottom"/>
          </w:tcPr>
          <w:p>
            <w:pPr>
              <w:spacing w:after="0"/>
              <w:rPr>
                <w:sz w:val="6"/>
                <w:szCs w:val="6"/>
                <w:color w:val="auto"/>
              </w:rPr>
            </w:pPr>
          </w:p>
        </w:tc>
        <w:tc>
          <w:tcPr>
            <w:tcW w:w="420" w:type="dxa"/>
            <w:vAlign w:val="bottom"/>
            <w:tcBorders>
              <w:top w:val="single" w:sz="8" w:color="auto"/>
              <w:bottom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rPr>
              <w:t>Shares</w:t>
            </w: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80" w:type="dxa"/>
            <w:vAlign w:val="bottom"/>
            <w:tcBorders>
              <w:top w:val="single" w:sz="8" w:color="auto"/>
              <w:bottom w:val="single" w:sz="8" w:color="auto"/>
            </w:tcBorders>
          </w:tcPr>
          <w:p>
            <w:pPr>
              <w:jc w:val="right"/>
              <w:ind w:right="101"/>
              <w:spacing w:after="0" w:line="79" w:lineRule="exact"/>
              <w:rPr>
                <w:sz w:val="20"/>
                <w:szCs w:val="20"/>
                <w:color w:val="auto"/>
              </w:rPr>
            </w:pPr>
            <w:r>
              <w:rPr>
                <w:rFonts w:ascii="Arial" w:cs="Arial" w:eastAsia="Arial" w:hAnsi="Arial"/>
                <w:sz w:val="8"/>
                <w:szCs w:val="8"/>
                <w:b w:val="1"/>
                <w:bCs w:val="1"/>
                <w:color w:val="auto"/>
                <w:w w:val="99"/>
              </w:rPr>
              <w:t>Amount</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jc w:val="right"/>
              <w:ind w:right="123"/>
              <w:spacing w:after="0" w:line="79" w:lineRule="exact"/>
              <w:rPr>
                <w:sz w:val="20"/>
                <w:szCs w:val="20"/>
                <w:color w:val="auto"/>
              </w:rPr>
            </w:pPr>
            <w:r>
              <w:rPr>
                <w:rFonts w:ascii="Arial" w:cs="Arial" w:eastAsia="Arial" w:hAnsi="Arial"/>
                <w:sz w:val="8"/>
                <w:szCs w:val="8"/>
                <w:b w:val="1"/>
                <w:bCs w:val="1"/>
                <w:color w:val="auto"/>
              </w:rPr>
              <w:t>Capital</w:t>
            </w:r>
          </w:p>
        </w:tc>
        <w:tc>
          <w:tcPr>
            <w:tcW w:w="260" w:type="dxa"/>
            <w:vAlign w:val="bottom"/>
          </w:tcPr>
          <w:p>
            <w:pPr>
              <w:spacing w:after="0"/>
              <w:rPr>
                <w:sz w:val="6"/>
                <w:szCs w:val="6"/>
                <w:color w:val="auto"/>
              </w:rPr>
            </w:pPr>
          </w:p>
        </w:tc>
        <w:tc>
          <w:tcPr>
            <w:tcW w:w="620" w:type="dxa"/>
            <w:vAlign w:val="bottom"/>
            <w:tcBorders>
              <w:bottom w:val="single" w:sz="8" w:color="auto"/>
            </w:tcBorders>
          </w:tcPr>
          <w:p>
            <w:pPr>
              <w:jc w:val="center"/>
              <w:ind w:right="3"/>
              <w:spacing w:after="0" w:line="79" w:lineRule="exact"/>
              <w:rPr>
                <w:sz w:val="20"/>
                <w:szCs w:val="20"/>
                <w:color w:val="auto"/>
              </w:rPr>
            </w:pPr>
            <w:r>
              <w:rPr>
                <w:rFonts w:ascii="Arial" w:cs="Arial" w:eastAsia="Arial" w:hAnsi="Arial"/>
                <w:sz w:val="8"/>
                <w:szCs w:val="8"/>
                <w:b w:val="1"/>
                <w:bCs w:val="1"/>
                <w:color w:val="auto"/>
                <w:w w:val="88"/>
              </w:rPr>
              <w:t>Income (Loss)</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jc w:val="right"/>
              <w:ind w:right="42"/>
              <w:spacing w:after="0" w:line="79" w:lineRule="exact"/>
              <w:rPr>
                <w:sz w:val="20"/>
                <w:szCs w:val="20"/>
                <w:color w:val="auto"/>
              </w:rPr>
            </w:pPr>
            <w:r>
              <w:rPr>
                <w:rFonts w:ascii="Arial" w:cs="Arial" w:eastAsia="Arial" w:hAnsi="Arial"/>
                <w:sz w:val="8"/>
                <w:szCs w:val="8"/>
                <w:b w:val="1"/>
                <w:bCs w:val="1"/>
                <w:color w:val="auto"/>
                <w:w w:val="87"/>
              </w:rPr>
              <w:t>Earnings</w:t>
            </w:r>
          </w:p>
        </w:tc>
        <w:tc>
          <w:tcPr>
            <w:tcW w:w="260" w:type="dxa"/>
            <w:vAlign w:val="bottom"/>
          </w:tcPr>
          <w:p>
            <w:pPr>
              <w:spacing w:after="0"/>
              <w:rPr>
                <w:sz w:val="6"/>
                <w:szCs w:val="6"/>
                <w:color w:val="auto"/>
              </w:rPr>
            </w:pPr>
          </w:p>
        </w:tc>
        <w:tc>
          <w:tcPr>
            <w:tcW w:w="520" w:type="dxa"/>
            <w:vAlign w:val="bottom"/>
            <w:tcBorders>
              <w:bottom w:val="single" w:sz="8" w:color="auto"/>
            </w:tcBorders>
          </w:tcPr>
          <w:p>
            <w:pPr>
              <w:jc w:val="center"/>
              <w:ind w:right="3"/>
              <w:spacing w:after="0" w:line="79" w:lineRule="exact"/>
              <w:rPr>
                <w:sz w:val="20"/>
                <w:szCs w:val="20"/>
                <w:color w:val="auto"/>
              </w:rPr>
            </w:pPr>
            <w:r>
              <w:rPr>
                <w:rFonts w:ascii="Arial" w:cs="Arial" w:eastAsia="Arial" w:hAnsi="Arial"/>
                <w:sz w:val="8"/>
                <w:szCs w:val="8"/>
                <w:b w:val="1"/>
                <w:bCs w:val="1"/>
                <w:color w:val="auto"/>
                <w:w w:val="89"/>
              </w:rPr>
              <w:t>Equity</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20"/>
                <w:szCs w:val="20"/>
                <w:color w:val="auto"/>
              </w:rPr>
            </w:pPr>
            <w:r>
              <w:rPr>
                <w:rFonts w:ascii="Arial" w:cs="Arial" w:eastAsia="Arial" w:hAnsi="Arial"/>
                <w:sz w:val="12"/>
                <w:szCs w:val="12"/>
                <w:color w:val="auto"/>
              </w:rPr>
              <w:t>Balance at December 31, 2006</w:t>
            </w:r>
          </w:p>
        </w:tc>
        <w:tc>
          <w:tcPr>
            <w:tcW w:w="420" w:type="dxa"/>
            <w:vAlign w:val="bottom"/>
          </w:tcPr>
          <w:p>
            <w:pPr>
              <w:jc w:val="right"/>
              <w:spacing w:after="0"/>
              <w:rPr>
                <w:sz w:val="20"/>
                <w:szCs w:val="20"/>
                <w:color w:val="auto"/>
              </w:rPr>
            </w:pPr>
            <w:r>
              <w:rPr>
                <w:rFonts w:ascii="Arial" w:cs="Arial" w:eastAsia="Arial" w:hAnsi="Arial"/>
                <w:sz w:val="12"/>
                <w:szCs w:val="12"/>
                <w:color w:val="auto"/>
              </w:rPr>
              <w:t>32,250</w:t>
            </w:r>
          </w:p>
        </w:tc>
        <w:tc>
          <w:tcPr>
            <w:tcW w:w="12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(96)</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(19)</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90,844</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(6)</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4,451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95,273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Stock-based compensation</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2,608</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2,608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restricted stock</w:t>
            </w:r>
          </w:p>
        </w:tc>
        <w:tc>
          <w:tcPr>
            <w:tcW w:w="420" w:type="dxa"/>
            <w:vAlign w:val="bottom"/>
          </w:tcPr>
          <w:p>
            <w:pPr>
              <w:jc w:val="right"/>
              <w:spacing w:after="0"/>
              <w:rPr>
                <w:sz w:val="20"/>
                <w:szCs w:val="20"/>
                <w:color w:val="auto"/>
              </w:rPr>
            </w:pPr>
            <w:r>
              <w:rPr>
                <w:rFonts w:ascii="Arial" w:cs="Arial" w:eastAsia="Arial" w:hAnsi="Arial"/>
                <w:sz w:val="12"/>
                <w:szCs w:val="12"/>
                <w:color w:val="auto"/>
              </w:rPr>
              <w:t>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619</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common stock on exercise of options and warrant</w:t>
            </w:r>
          </w:p>
        </w:tc>
        <w:tc>
          <w:tcPr>
            <w:tcW w:w="420" w:type="dxa"/>
            <w:vAlign w:val="bottom"/>
          </w:tcPr>
          <w:p>
            <w:pPr>
              <w:jc w:val="right"/>
              <w:spacing w:after="0"/>
              <w:rPr>
                <w:sz w:val="20"/>
                <w:szCs w:val="20"/>
                <w:color w:val="auto"/>
              </w:rPr>
            </w:pPr>
            <w:r>
              <w:rPr>
                <w:rFonts w:ascii="Arial" w:cs="Arial" w:eastAsia="Arial" w:hAnsi="Arial"/>
                <w:sz w:val="12"/>
                <w:szCs w:val="12"/>
                <w:color w:val="auto"/>
              </w:rPr>
              <w:t>416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1,565</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1,565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Comprehensive income: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23,756</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Unrealized gain on investments in marketable securities net of tax</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20" w:type="dxa"/>
            <w:vAlign w:val="bottom"/>
          </w:tcPr>
          <w:p>
            <w:pPr>
              <w:ind w:left="120"/>
              <w:spacing w:after="0"/>
              <w:rPr>
                <w:sz w:val="20"/>
                <w:szCs w:val="20"/>
                <w:color w:val="auto"/>
              </w:rPr>
            </w:pPr>
            <w:r>
              <w:rPr>
                <w:rFonts w:ascii="Arial" w:cs="Arial" w:eastAsia="Arial" w:hAnsi="Arial"/>
                <w:sz w:val="12"/>
                <w:szCs w:val="12"/>
                <w:color w:val="auto"/>
              </w:rPr>
              <w:t>Total comprehensive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23,766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Tax benefit from stock option exercise</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2,960</w:t>
            </w:r>
          </w:p>
        </w:tc>
        <w:tc>
          <w:tcPr>
            <w:tcW w:w="2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December 31, 2007</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32,726</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80" w:type="dxa"/>
            <w:vAlign w:val="bottom"/>
          </w:tcPr>
          <w:p>
            <w:pPr>
              <w:spacing w:after="0"/>
              <w:rPr>
                <w:sz w:val="14"/>
                <w:szCs w:val="14"/>
                <w:color w:val="auto"/>
              </w:rPr>
            </w:pPr>
          </w:p>
        </w:tc>
        <w:tc>
          <w:tcPr>
            <w:tcW w:w="5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(19)</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98,596</w:t>
            </w:r>
          </w:p>
        </w:tc>
        <w:tc>
          <w:tcPr>
            <w:tcW w:w="26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28,207</w:t>
            </w:r>
          </w:p>
        </w:tc>
        <w:tc>
          <w:tcPr>
            <w:tcW w:w="26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126,791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20" w:type="dxa"/>
            <w:vAlign w:val="bottom"/>
          </w:tcPr>
          <w:p>
            <w:pPr>
              <w:ind w:left="120"/>
              <w:spacing w:after="0"/>
              <w:rPr>
                <w:sz w:val="20"/>
                <w:szCs w:val="20"/>
                <w:color w:val="auto"/>
              </w:rPr>
            </w:pPr>
            <w:r>
              <w:rPr>
                <w:rFonts w:ascii="Arial" w:cs="Arial" w:eastAsia="Arial" w:hAnsi="Arial"/>
                <w:sz w:val="12"/>
                <w:szCs w:val="12"/>
                <w:color w:val="auto"/>
              </w:rPr>
              <w:t>Stock based compensation</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6,151</w:t>
            </w: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6,151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restricted stock</w:t>
            </w:r>
          </w:p>
        </w:tc>
        <w:tc>
          <w:tcPr>
            <w:tcW w:w="420" w:type="dxa"/>
            <w:vAlign w:val="bottom"/>
          </w:tcPr>
          <w:p>
            <w:pPr>
              <w:jc w:val="right"/>
              <w:spacing w:after="0"/>
              <w:rPr>
                <w:sz w:val="20"/>
                <w:szCs w:val="20"/>
                <w:color w:val="auto"/>
              </w:rPr>
            </w:pPr>
            <w:r>
              <w:rPr>
                <w:rFonts w:ascii="Arial" w:cs="Arial" w:eastAsia="Arial" w:hAnsi="Arial"/>
                <w:sz w:val="12"/>
                <w:szCs w:val="12"/>
                <w:color w:val="auto"/>
              </w:rPr>
              <w:t>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980</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980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Repurchase of treasury stock</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(2,000)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(23,694)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(23,694)</w:t>
            </w: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Retirement of treasury stock</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common stock on exercise of options</w:t>
            </w:r>
          </w:p>
        </w:tc>
        <w:tc>
          <w:tcPr>
            <w:tcW w:w="420" w:type="dxa"/>
            <w:vAlign w:val="bottom"/>
          </w:tcPr>
          <w:p>
            <w:pPr>
              <w:jc w:val="right"/>
              <w:spacing w:after="0"/>
              <w:rPr>
                <w:sz w:val="20"/>
                <w:szCs w:val="20"/>
                <w:color w:val="auto"/>
              </w:rPr>
            </w:pPr>
            <w:r>
              <w:rPr>
                <w:rFonts w:ascii="Arial" w:cs="Arial" w:eastAsia="Arial" w:hAnsi="Arial"/>
                <w:sz w:val="12"/>
                <w:szCs w:val="12"/>
                <w:color w:val="auto"/>
              </w:rPr>
              <w:t>161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784</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784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Comprehensive income: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11,880</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11,880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Foreign currency translation</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Unrealized gain on investments in marketable securities, net of tax</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20" w:type="dxa"/>
            <w:vAlign w:val="bottom"/>
          </w:tcPr>
          <w:p>
            <w:pPr>
              <w:ind w:left="120"/>
              <w:spacing w:after="0"/>
              <w:rPr>
                <w:sz w:val="20"/>
                <w:szCs w:val="20"/>
                <w:color w:val="auto"/>
              </w:rPr>
            </w:pPr>
            <w:r>
              <w:rPr>
                <w:rFonts w:ascii="Arial" w:cs="Arial" w:eastAsia="Arial" w:hAnsi="Arial"/>
                <w:sz w:val="12"/>
                <w:szCs w:val="12"/>
                <w:color w:val="auto"/>
              </w:rPr>
              <w:t>Total comprehensive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11,942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Tax benefit from stock option exercise</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1,384</w:t>
            </w:r>
          </w:p>
        </w:tc>
        <w:tc>
          <w:tcPr>
            <w:tcW w:w="2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1,384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December 31, 2008</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20" w:type="dxa"/>
            <w:vAlign w:val="bottom"/>
            <w:vMerge w:val="continue"/>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32,878</w:t>
            </w:r>
          </w:p>
        </w:tc>
        <w:tc>
          <w:tcPr>
            <w:tcW w:w="120" w:type="dxa"/>
            <w:vAlign w:val="bottom"/>
          </w:tcPr>
          <w:p>
            <w:pPr>
              <w:spacing w:after="0"/>
              <w:rPr>
                <w:sz w:val="14"/>
                <w:szCs w:val="14"/>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(2,000)</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(23,713)</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107,895</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66</w:t>
            </w:r>
          </w:p>
        </w:tc>
        <w:tc>
          <w:tcPr>
            <w:tcW w:w="12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40,087</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124,338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420" w:type="dxa"/>
            <w:vAlign w:val="bottom"/>
          </w:tcPr>
          <w:p>
            <w:pPr>
              <w:ind w:left="120"/>
              <w:spacing w:after="0"/>
              <w:rPr>
                <w:sz w:val="20"/>
                <w:szCs w:val="20"/>
                <w:color w:val="auto"/>
              </w:rPr>
            </w:pPr>
            <w:r>
              <w:rPr>
                <w:rFonts w:ascii="Arial" w:cs="Arial" w:eastAsia="Arial" w:hAnsi="Arial"/>
                <w:sz w:val="12"/>
                <w:szCs w:val="12"/>
                <w:color w:val="auto"/>
              </w:rPr>
              <w:t>Stock based compensation</w:t>
            </w:r>
          </w:p>
        </w:tc>
        <w:tc>
          <w:tcPr>
            <w:tcW w:w="5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7,165</w:t>
            </w:r>
          </w:p>
        </w:tc>
        <w:tc>
          <w:tcPr>
            <w:tcW w:w="260" w:type="dxa"/>
            <w:vAlign w:val="bottom"/>
          </w:tcPr>
          <w:p>
            <w:pPr>
              <w:spacing w:after="0"/>
              <w:rPr>
                <w:sz w:val="13"/>
                <w:szCs w:val="13"/>
                <w:color w:val="auto"/>
              </w:rPr>
            </w:pPr>
          </w:p>
        </w:tc>
        <w:tc>
          <w:tcPr>
            <w:tcW w:w="7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7,165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restricted stock</w:t>
            </w:r>
          </w:p>
        </w:tc>
        <w:tc>
          <w:tcPr>
            <w:tcW w:w="420" w:type="dxa"/>
            <w:vAlign w:val="bottom"/>
          </w:tcPr>
          <w:p>
            <w:pPr>
              <w:jc w:val="right"/>
              <w:spacing w:after="0"/>
              <w:rPr>
                <w:sz w:val="20"/>
                <w:szCs w:val="20"/>
                <w:color w:val="auto"/>
              </w:rPr>
            </w:pPr>
            <w:r>
              <w:rPr>
                <w:rFonts w:ascii="Arial" w:cs="Arial" w:eastAsia="Arial" w:hAnsi="Arial"/>
                <w:sz w:val="12"/>
                <w:szCs w:val="12"/>
                <w:color w:val="auto"/>
              </w:rPr>
              <w:t>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1,091</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Issuance of common stock on exercise of options</w:t>
            </w:r>
          </w:p>
        </w:tc>
        <w:tc>
          <w:tcPr>
            <w:tcW w:w="420" w:type="dxa"/>
            <w:vAlign w:val="bottom"/>
          </w:tcPr>
          <w:p>
            <w:pPr>
              <w:jc w:val="right"/>
              <w:spacing w:after="0"/>
              <w:rPr>
                <w:sz w:val="20"/>
                <w:szCs w:val="20"/>
                <w:color w:val="auto"/>
              </w:rPr>
            </w:pPr>
            <w:r>
              <w:rPr>
                <w:rFonts w:ascii="Arial" w:cs="Arial" w:eastAsia="Arial" w:hAnsi="Arial"/>
                <w:sz w:val="12"/>
                <w:szCs w:val="12"/>
                <w:color w:val="auto"/>
              </w:rPr>
              <w:t>222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1,499</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Comprehensive income:</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12,297</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ind w:left="120"/>
              <w:spacing w:after="0"/>
              <w:rPr>
                <w:sz w:val="20"/>
                <w:szCs w:val="20"/>
                <w:color w:val="auto"/>
              </w:rPr>
            </w:pPr>
            <w:r>
              <w:rPr>
                <w:rFonts w:ascii="Arial" w:cs="Arial" w:eastAsia="Arial" w:hAnsi="Arial"/>
                <w:sz w:val="12"/>
                <w:szCs w:val="12"/>
                <w:color w:val="auto"/>
              </w:rPr>
              <w:t>Foreign currency translation</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60" w:type="dxa"/>
            <w:vAlign w:val="bottom"/>
            <w:gridSpan w:val="2"/>
          </w:tcPr>
          <w:p>
            <w:pPr>
              <w:jc w:val="right"/>
              <w:spacing w:after="0"/>
              <w:rPr>
                <w:sz w:val="20"/>
                <w:szCs w:val="20"/>
                <w:color w:val="auto"/>
              </w:rPr>
            </w:pPr>
            <w:r>
              <w:rPr>
                <w:rFonts w:ascii="Arial" w:cs="Arial" w:eastAsia="Arial" w:hAnsi="Arial"/>
                <w:sz w:val="12"/>
                <w:szCs w:val="12"/>
                <w:color w:val="auto"/>
              </w:rPr>
              <w:t>(91)</w:t>
            </w: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Unrealized gain on investments in marketable securities, net of tax</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420" w:type="dxa"/>
            <w:vAlign w:val="bottom"/>
          </w:tcPr>
          <w:p>
            <w:pPr>
              <w:ind w:left="120"/>
              <w:spacing w:after="0"/>
              <w:rPr>
                <w:sz w:val="20"/>
                <w:szCs w:val="20"/>
                <w:color w:val="auto"/>
              </w:rPr>
            </w:pPr>
            <w:r>
              <w:rPr>
                <w:rFonts w:ascii="Arial" w:cs="Arial" w:eastAsia="Arial" w:hAnsi="Arial"/>
                <w:sz w:val="12"/>
                <w:szCs w:val="12"/>
                <w:color w:val="auto"/>
              </w:rPr>
              <w:t>Total comprehensive income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12,224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4420" w:type="dxa"/>
            <w:vAlign w:val="bottom"/>
          </w:tcPr>
          <w:p>
            <w:pPr>
              <w:ind w:left="120"/>
              <w:spacing w:after="0"/>
              <w:rPr>
                <w:sz w:val="20"/>
                <w:szCs w:val="20"/>
                <w:color w:val="auto"/>
              </w:rPr>
            </w:pPr>
            <w:r>
              <w:rPr>
                <w:rFonts w:ascii="Arial" w:cs="Arial" w:eastAsia="Arial" w:hAnsi="Arial"/>
                <w:sz w:val="12"/>
                <w:szCs w:val="12"/>
                <w:color w:val="auto"/>
              </w:rPr>
              <w:t>Tax benefit from stock option exercise</w:t>
            </w: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147</w:t>
            </w:r>
          </w:p>
        </w:tc>
        <w:tc>
          <w:tcPr>
            <w:tcW w:w="260" w:type="dxa"/>
            <w:vAlign w:val="bottom"/>
          </w:tcPr>
          <w:p>
            <w:pPr>
              <w:spacing w:after="0"/>
              <w:rPr>
                <w:sz w:val="13"/>
                <w:szCs w:val="13"/>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2"/>
                <w:szCs w:val="12"/>
                <w:color w:val="auto"/>
              </w:rPr>
              <w:t>Balance at December 31, 2009</w:t>
            </w: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420" w:type="dxa"/>
            <w:vAlign w:val="bottom"/>
            <w:vMerge w:val="continue"/>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33,104</w:t>
            </w:r>
          </w:p>
        </w:tc>
        <w:tc>
          <w:tcPr>
            <w:tcW w:w="120" w:type="dxa"/>
            <w:vAlign w:val="bottom"/>
          </w:tcPr>
          <w:p>
            <w:pPr>
              <w:spacing w:after="0"/>
              <w:rPr>
                <w:sz w:val="13"/>
                <w:szCs w:val="13"/>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180" w:type="dxa"/>
            <w:vAlign w:val="bottom"/>
          </w:tcPr>
          <w:p>
            <w:pPr>
              <w:jc w:val="right"/>
              <w:spacing w:after="0"/>
              <w:rPr>
                <w:sz w:val="20"/>
                <w:szCs w:val="20"/>
                <w:color w:val="auto"/>
              </w:rPr>
            </w:pPr>
            <w:r>
              <w:rPr>
                <w:rFonts w:ascii="Arial" w:cs="Arial" w:eastAsia="Arial" w:hAnsi="Arial"/>
                <w:sz w:val="12"/>
                <w:szCs w:val="12"/>
                <w:color w:val="auto"/>
              </w:rPr>
              <w:t>3</w:t>
            </w: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(2,000)</w:t>
            </w:r>
          </w:p>
        </w:tc>
        <w:tc>
          <w:tcPr>
            <w:tcW w:w="2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(23,713)</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117,797</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c>
          <w:tcPr>
            <w:tcW w:w="16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420" w:type="dxa"/>
            <w:vAlign w:val="bottom"/>
          </w:tcPr>
          <w:p>
            <w:pPr>
              <w:jc w:val="right"/>
              <w:spacing w:after="0"/>
              <w:rPr>
                <w:sz w:val="20"/>
                <w:szCs w:val="20"/>
                <w:color w:val="auto"/>
              </w:rPr>
            </w:pPr>
            <w:r>
              <w:rPr>
                <w:rFonts w:ascii="Arial" w:cs="Arial" w:eastAsia="Arial" w:hAnsi="Arial"/>
                <w:sz w:val="12"/>
                <w:szCs w:val="12"/>
                <w:color w:val="auto"/>
              </w:rPr>
              <w:t>52,384</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146,464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4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1"/>
                <w:szCs w:val="11"/>
                <w:b w:val="1"/>
                <w:bCs w:val="1"/>
                <w:color w:val="auto"/>
                <w:w w:val="85"/>
              </w:rPr>
              <w:t>Year Ended December 31,</w:t>
            </w:r>
          </w:p>
        </w:tc>
        <w:tc>
          <w:tcPr>
            <w:tcW w:w="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9" w:lineRule="exact"/>
              <w:rPr>
                <w:sz w:val="20"/>
                <w:szCs w:val="20"/>
                <w:color w:val="auto"/>
              </w:rPr>
            </w:pPr>
            <w:r>
              <w:rPr>
                <w:rFonts w:ascii="Arial" w:cs="Arial" w:eastAsia="Arial" w:hAnsi="Arial"/>
                <w:sz w:val="11"/>
                <w:szCs w:val="11"/>
                <w:b w:val="1"/>
                <w:bCs w:val="1"/>
                <w:color w:val="auto"/>
              </w:rPr>
              <w:t>2009</w:t>
            </w: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center"/>
              <w:ind w:right="75"/>
              <w:spacing w:after="0" w:line="99" w:lineRule="exact"/>
              <w:rPr>
                <w:sz w:val="20"/>
                <w:szCs w:val="20"/>
                <w:color w:val="auto"/>
              </w:rPr>
            </w:pPr>
            <w:r>
              <w:rPr>
                <w:rFonts w:ascii="Arial" w:cs="Arial" w:eastAsia="Arial" w:hAnsi="Arial"/>
                <w:sz w:val="11"/>
                <w:szCs w:val="11"/>
                <w:b w:val="1"/>
                <w:bCs w:val="1"/>
                <w:color w:val="auto"/>
                <w:w w:val="81"/>
              </w:rPr>
              <w:t>2008</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9" w:lineRule="exact"/>
              <w:rPr>
                <w:sz w:val="20"/>
                <w:szCs w:val="20"/>
                <w:color w:val="auto"/>
              </w:rPr>
            </w:pPr>
            <w:r>
              <w:rPr>
                <w:rFonts w:ascii="Arial" w:cs="Arial" w:eastAsia="Arial" w:hAnsi="Arial"/>
                <w:sz w:val="11"/>
                <w:szCs w:val="11"/>
                <w:b w:val="1"/>
                <w:bCs w:val="1"/>
                <w:color w:val="auto"/>
              </w:rPr>
              <w:t>2007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7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3"/>
          </w:tcPr>
          <w:p>
            <w:pPr>
              <w:jc w:val="center"/>
              <w:ind w:left="219"/>
              <w:spacing w:after="0" w:line="125" w:lineRule="exact"/>
              <w:rPr>
                <w:sz w:val="20"/>
                <w:szCs w:val="20"/>
                <w:color w:val="auto"/>
              </w:rPr>
            </w:pPr>
            <w:r>
              <w:rPr>
                <w:rFonts w:ascii="Arial" w:cs="Arial" w:eastAsia="Arial" w:hAnsi="Arial"/>
                <w:sz w:val="11"/>
                <w:szCs w:val="11"/>
                <w:b w:val="1"/>
                <w:bCs w:val="1"/>
                <w:color w:val="auto"/>
                <w:w w:val="84"/>
              </w:rPr>
              <w:t>(In thousands)</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3"/>
                <w:szCs w:val="13"/>
                <w:b w:val="1"/>
                <w:bCs w:val="1"/>
                <w:color w:val="auto"/>
              </w:rPr>
              <w:t>Operating activities: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Net income</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12,297</w:t>
            </w:r>
          </w:p>
        </w:tc>
        <w:tc>
          <w:tcPr>
            <w:tcW w:w="60" w:type="dxa"/>
            <w:vAlign w:val="bottom"/>
          </w:tcPr>
          <w:p>
            <w:pPr>
              <w:spacing w:after="0"/>
              <w:rPr>
                <w:sz w:val="13"/>
                <w:szCs w:val="13"/>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11,880</w:t>
            </w:r>
          </w:p>
        </w:tc>
        <w:tc>
          <w:tcPr>
            <w:tcW w:w="340" w:type="dxa"/>
            <w:vAlign w:val="bottom"/>
          </w:tcPr>
          <w:p>
            <w:pPr>
              <w:spacing w:after="0"/>
              <w:rPr>
                <w:sz w:val="13"/>
                <w:szCs w:val="13"/>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23,756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Depreciation and amortization expense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8,499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6,656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5,237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Loss on sale of fixed assets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18</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Deferred income taxes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(884)</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(715)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(790)</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Non-cash interest on leased facility</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674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8,256</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7,131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Accounts receivable, net of allowance for doubtful accounts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(643)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3,784</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(9,793)</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(585)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116</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(1,296)</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(409)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(29)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1,043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Tax benefit from stock option exercise</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(147)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(1,384)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(2,960)</w:t>
            </w:r>
          </w:p>
        </w:tc>
        <w:tc>
          <w:tcPr>
            <w:tcW w:w="0" w:type="dxa"/>
            <w:vAlign w:val="bottom"/>
          </w:tcPr>
          <w:p>
            <w:pPr>
              <w:spacing w:after="0"/>
              <w:rPr>
                <w:sz w:val="1"/>
                <w:szCs w:val="1"/>
                <w:color w:val="auto"/>
              </w:rPr>
            </w:pPr>
          </w:p>
        </w:tc>
      </w:tr>
      <w:tr>
        <w:trPr>
          <w:trHeight w:val="158"/>
        </w:trPr>
        <w:tc>
          <w:tcPr>
            <w:tcW w:w="7300" w:type="dxa"/>
            <w:vAlign w:val="bottom"/>
          </w:tcPr>
          <w:p>
            <w:pPr>
              <w:ind w:left="140"/>
              <w:spacing w:after="0"/>
              <w:rPr>
                <w:sz w:val="20"/>
                <w:szCs w:val="20"/>
                <w:color w:val="auto"/>
              </w:rPr>
            </w:pPr>
            <w:r>
              <w:rPr>
                <w:rFonts w:ascii="Arial" w:cs="Arial" w:eastAsia="Arial" w:hAnsi="Arial"/>
                <w:sz w:val="13"/>
                <w:szCs w:val="13"/>
                <w:color w:val="auto"/>
              </w:rPr>
              <w:t>Other liabilities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(37)</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(511)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678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Deferred revenues</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1,643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(571)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7"/>
        </w:trPr>
        <w:tc>
          <w:tcPr>
            <w:tcW w:w="7300" w:type="dxa"/>
            <w:vAlign w:val="bottom"/>
          </w:tcPr>
          <w:p>
            <w:pPr>
              <w:spacing w:after="0" w:line="147" w:lineRule="exact"/>
              <w:rPr>
                <w:sz w:val="20"/>
                <w:szCs w:val="20"/>
                <w:color w:val="auto"/>
              </w:rPr>
            </w:pPr>
            <w:r>
              <w:rPr>
                <w:rFonts w:ascii="Arial" w:cs="Arial" w:eastAsia="Arial" w:hAnsi="Arial"/>
                <w:sz w:val="13"/>
                <w:szCs w:val="13"/>
                <w:color w:val="auto"/>
              </w:rPr>
              <w:t>Net cash provided by operating activities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29,725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26,375</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3"/>
                <w:szCs w:val="13"/>
                <w:color w:val="auto"/>
              </w:rPr>
              <w:t>23,478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Purchases of fixed assets</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(12,089)</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(4,449)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(10,442)</w:t>
            </w: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Proceeds from the sale of fixed assets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30</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Purchases of marketable securities available-for-sale</w:t>
            </w: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(4,103)</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rPr>
              <w:t>(6,368)</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(3,645)</w:t>
            </w: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Maturities and sales of marketable securities available-for-sale</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2,893</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2,971</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5,601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300" w:type="dxa"/>
            <w:vAlign w:val="bottom"/>
          </w:tcPr>
          <w:p>
            <w:pPr>
              <w:spacing w:after="0"/>
              <w:rPr>
                <w:sz w:val="20"/>
                <w:szCs w:val="20"/>
                <w:color w:val="auto"/>
              </w:rPr>
            </w:pPr>
            <w:r>
              <w:rPr>
                <w:rFonts w:ascii="Arial" w:cs="Arial" w:eastAsia="Arial" w:hAnsi="Arial"/>
                <w:sz w:val="13"/>
                <w:szCs w:val="13"/>
                <w:color w:val="auto"/>
              </w:rPr>
              <w:t>Business acquired, net of cash acquired</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(49)</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w w:val="99"/>
              </w:rPr>
              <w:t>(17,556)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used in investing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0"/>
              <w:spacing w:after="0" w:line="147" w:lineRule="exact"/>
              <w:rPr>
                <w:sz w:val="20"/>
                <w:szCs w:val="20"/>
                <w:color w:val="auto"/>
              </w:rPr>
            </w:pPr>
            <w:r>
              <w:rPr>
                <w:rFonts w:ascii="Arial" w:cs="Arial" w:eastAsia="Arial" w:hAnsi="Arial"/>
                <w:sz w:val="13"/>
                <w:szCs w:val="13"/>
                <w:color w:val="auto"/>
              </w:rPr>
              <w:t>(13,318)</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00"/>
              <w:spacing w:after="0" w:line="147" w:lineRule="exact"/>
              <w:rPr>
                <w:sz w:val="20"/>
                <w:szCs w:val="20"/>
                <w:color w:val="auto"/>
              </w:rPr>
            </w:pPr>
            <w:r>
              <w:rPr>
                <w:rFonts w:ascii="Arial" w:cs="Arial" w:eastAsia="Arial" w:hAnsi="Arial"/>
                <w:sz w:val="13"/>
                <w:szCs w:val="13"/>
                <w:color w:val="auto"/>
                <w:w w:val="99"/>
              </w:rPr>
              <w:t>(25,402)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spacing w:after="0" w:line="147" w:lineRule="exact"/>
              <w:rPr>
                <w:sz w:val="20"/>
                <w:szCs w:val="20"/>
                <w:color w:val="auto"/>
              </w:rPr>
            </w:pPr>
            <w:r>
              <w:rPr>
                <w:rFonts w:ascii="Arial" w:cs="Arial" w:eastAsia="Arial" w:hAnsi="Arial"/>
                <w:sz w:val="13"/>
                <w:szCs w:val="13"/>
                <w:color w:val="auto"/>
              </w:rPr>
              <w:t>(8,486)</w:t>
            </w:r>
          </w:p>
        </w:tc>
        <w:tc>
          <w:tcPr>
            <w:tcW w:w="0" w:type="dxa"/>
            <w:vAlign w:val="bottom"/>
          </w:tcPr>
          <w:p>
            <w:pPr>
              <w:spacing w:after="0"/>
              <w:rPr>
                <w:sz w:val="1"/>
                <w:szCs w:val="1"/>
                <w:color w:val="auto"/>
              </w:rPr>
            </w:pPr>
          </w:p>
        </w:tc>
      </w:tr>
      <w:tr>
        <w:trPr>
          <w:trHeight w:val="162"/>
        </w:trPr>
        <w:tc>
          <w:tcPr>
            <w:tcW w:w="7300" w:type="dxa"/>
            <w:vAlign w:val="bottom"/>
          </w:tcPr>
          <w:p>
            <w:pPr>
              <w:spacing w:after="0"/>
              <w:rPr>
                <w:sz w:val="20"/>
                <w:szCs w:val="20"/>
                <w:color w:val="auto"/>
              </w:rPr>
            </w:pPr>
            <w:r>
              <w:rPr>
                <w:rFonts w:ascii="Arial" w:cs="Arial" w:eastAsia="Arial" w:hAnsi="Arial"/>
                <w:sz w:val="13"/>
                <w:szCs w:val="13"/>
                <w:b w:val="1"/>
                <w:bCs w:val="1"/>
                <w:color w:val="auto"/>
              </w:rPr>
              <w:t>Financing activities: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Proceeds from the exercise of stock options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1,499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784</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Excess tax benefits from stock option exercises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147</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1,384</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300" w:type="dxa"/>
            <w:vAlign w:val="bottom"/>
          </w:tcPr>
          <w:p>
            <w:pPr>
              <w:spacing w:after="0"/>
              <w:rPr>
                <w:sz w:val="20"/>
                <w:szCs w:val="20"/>
                <w:color w:val="auto"/>
              </w:rPr>
            </w:pPr>
            <w:r>
              <w:rPr>
                <w:rFonts w:ascii="Arial" w:cs="Arial" w:eastAsia="Arial" w:hAnsi="Arial"/>
                <w:sz w:val="13"/>
                <w:szCs w:val="13"/>
                <w:color w:val="auto"/>
              </w:rPr>
              <w:t>Repurchase of common stock</w:t>
            </w:r>
          </w:p>
        </w:tc>
        <w:tc>
          <w:tcPr>
            <w:tcW w:w="14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w w:val="99"/>
              </w:rPr>
              <w:t>(23,694)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7300" w:type="dxa"/>
            <w:vAlign w:val="bottom"/>
          </w:tcPr>
          <w:p>
            <w:pPr>
              <w:spacing w:after="0"/>
              <w:rPr>
                <w:sz w:val="20"/>
                <w:szCs w:val="20"/>
                <w:color w:val="auto"/>
              </w:rPr>
            </w:pPr>
            <w:r>
              <w:rPr>
                <w:rFonts w:ascii="Arial" w:cs="Arial" w:eastAsia="Arial" w:hAnsi="Arial"/>
                <w:sz w:val="13"/>
                <w:szCs w:val="13"/>
                <w:color w:val="auto"/>
              </w:rPr>
              <w:t>Repayments of capital obligations</w:t>
            </w:r>
          </w:p>
        </w:tc>
        <w:tc>
          <w:tcPr>
            <w:tcW w:w="14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(332)</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(666)</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cash provided by (used in) financing activities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1,314</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w w:val="99"/>
              </w:rPr>
              <w:t>(21,526)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3,859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3"/>
                <w:szCs w:val="13"/>
                <w:color w:val="auto"/>
              </w:rPr>
              <w:t>Net increase (decrease) in cash and cash equivalents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3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17,721</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3"/>
                <w:szCs w:val="13"/>
                <w:color w:val="auto"/>
                <w:w w:val="99"/>
              </w:rPr>
              <w:t>(20,553)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18,851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300" w:type="dxa"/>
            <w:vAlign w:val="bottom"/>
          </w:tcPr>
          <w:p>
            <w:pPr>
              <w:spacing w:after="0"/>
              <w:rPr>
                <w:sz w:val="20"/>
                <w:szCs w:val="20"/>
                <w:color w:val="auto"/>
              </w:rPr>
            </w:pPr>
            <w:r>
              <w:rPr>
                <w:rFonts w:ascii="Arial" w:cs="Arial" w:eastAsia="Arial" w:hAnsi="Arial"/>
                <w:sz w:val="13"/>
                <w:szCs w:val="13"/>
                <w:color w:val="auto"/>
              </w:rPr>
              <w:t>Cash and cash equivalents at beginning of year</w:t>
            </w: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72,203</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92,756</w:t>
            </w: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73,905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300" w:type="dxa"/>
            <w:vAlign w:val="bottom"/>
          </w:tcPr>
          <w:p>
            <w:pPr>
              <w:spacing w:after="0"/>
              <w:rPr>
                <w:sz w:val="20"/>
                <w:szCs w:val="20"/>
                <w:color w:val="auto"/>
              </w:rPr>
            </w:pPr>
            <w:r>
              <w:rPr>
                <w:rFonts w:ascii="Arial" w:cs="Arial" w:eastAsia="Arial" w:hAnsi="Arial"/>
                <w:sz w:val="13"/>
                <w:szCs w:val="13"/>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89,924</w:t>
            </w:r>
          </w:p>
        </w:tc>
        <w:tc>
          <w:tcPr>
            <w:tcW w:w="60" w:type="dxa"/>
            <w:vAlign w:val="bottom"/>
          </w:tcPr>
          <w:p>
            <w:pPr>
              <w:spacing w:after="0"/>
              <w:rPr>
                <w:sz w:val="14"/>
                <w:szCs w:val="14"/>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72,203</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92,756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30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300" w:type="dxa"/>
            <w:vAlign w:val="bottom"/>
          </w:tcPr>
          <w:p>
            <w:pPr>
              <w:spacing w:after="0"/>
              <w:rPr>
                <w:sz w:val="20"/>
                <w:szCs w:val="20"/>
                <w:color w:val="auto"/>
              </w:rPr>
            </w:pPr>
            <w:r>
              <w:rPr>
                <w:rFonts w:ascii="Arial" w:cs="Arial" w:eastAsia="Arial" w:hAnsi="Arial"/>
                <w:sz w:val="13"/>
                <w:szCs w:val="13"/>
                <w:color w:val="auto"/>
              </w:rPr>
              <w:t>Cash paid for interest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5"/>
                <w:szCs w:val="15"/>
                <w:color w:val="auto"/>
              </w:rPr>
            </w:pPr>
          </w:p>
        </w:tc>
        <w:tc>
          <w:tcPr>
            <w:tcW w:w="46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58</w:t>
            </w:r>
          </w:p>
        </w:tc>
        <w:tc>
          <w:tcPr>
            <w:tcW w:w="340" w:type="dxa"/>
            <w:vAlign w:val="bottom"/>
          </w:tcPr>
          <w:p>
            <w:pPr>
              <w:spacing w:after="0"/>
              <w:rPr>
                <w:sz w:val="15"/>
                <w:szCs w:val="15"/>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300" w:type="dxa"/>
            <w:vAlign w:val="bottom"/>
          </w:tcPr>
          <w:p>
            <w:pPr>
              <w:spacing w:after="0"/>
              <w:rPr>
                <w:sz w:val="20"/>
                <w:szCs w:val="20"/>
                <w:color w:val="auto"/>
              </w:rPr>
            </w:pPr>
            <w:r>
              <w:rPr>
                <w:rFonts w:ascii="Arial" w:cs="Arial" w:eastAsia="Arial" w:hAnsi="Arial"/>
                <w:sz w:val="13"/>
                <w:szCs w:val="13"/>
                <w:color w:val="auto"/>
              </w:rPr>
              <w:t>Cash paid for income taxes</w:t>
            </w:r>
          </w:p>
        </w:tc>
        <w:tc>
          <w:tcPr>
            <w:tcW w:w="140" w:type="dxa"/>
            <w:vAlign w:val="bottom"/>
            <w:tcBorders>
              <w:top w:val="single" w:sz="8" w:color="auto"/>
              <w:bottom w:val="single" w:sz="8" w:color="auto"/>
            </w:tcBorders>
          </w:tcPr>
          <w:p>
            <w:pPr>
              <w:spacing w:after="0"/>
              <w:rPr>
                <w:sz w:val="15"/>
                <w:szCs w:val="15"/>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7,271</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7,823</w:t>
            </w: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13,439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7300" w:type="dxa"/>
            <w:vAlign w:val="bottom"/>
          </w:tcPr>
          <w:p>
            <w:pPr>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300" w:type="dxa"/>
            <w:vAlign w:val="bottom"/>
          </w:tcPr>
          <w:p>
            <w:pPr>
              <w:spacing w:after="0"/>
              <w:rPr>
                <w:sz w:val="20"/>
                <w:szCs w:val="20"/>
                <w:color w:val="auto"/>
              </w:rPr>
            </w:pPr>
            <w:r>
              <w:rPr>
                <w:rFonts w:ascii="Arial" w:cs="Arial" w:eastAsia="Arial" w:hAnsi="Arial"/>
                <w:sz w:val="13"/>
                <w:szCs w:val="13"/>
                <w:color w:val="auto"/>
              </w:rPr>
              <w:t>Non-cash increase in lease financing obligation and construction-in-progress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2,123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6,685</w:t>
            </w:r>
          </w:p>
        </w:tc>
        <w:tc>
          <w:tcPr>
            <w:tcW w:w="340" w:type="dxa"/>
            <w:vAlign w:val="bottom"/>
          </w:tcPr>
          <w:p>
            <w:pPr>
              <w:spacing w:after="0"/>
              <w:rPr>
                <w:sz w:val="14"/>
                <w:szCs w:val="14"/>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0"/>
        </w:trPr>
        <w:tc>
          <w:tcPr>
            <w:tcW w:w="7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ind w:left="4660"/>
        <w:spacing w:after="0"/>
        <w:rPr>
          <w:sz w:val="20"/>
          <w:szCs w:val="20"/>
          <w:color w:val="auto"/>
        </w:rPr>
      </w:pPr>
      <w:r>
        <w:rPr>
          <w:rFonts w:ascii="Arial" w:cs="Arial" w:eastAsia="Arial" w:hAnsi="Arial"/>
          <w:sz w:val="13"/>
          <w:szCs w:val="13"/>
          <w:color w:val="auto"/>
        </w:rPr>
        <w:t>See accompanying consolidated notes.</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ind w:left="446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20" w:lineRule="exact"/>
        <w:rPr>
          <w:sz w:val="20"/>
          <w:szCs w:val="20"/>
          <w:color w:val="auto"/>
        </w:rPr>
      </w:pPr>
    </w:p>
    <w:p>
      <w:pPr>
        <w:ind w:left="4640"/>
        <w:spacing w:after="0"/>
        <w:rPr>
          <w:sz w:val="20"/>
          <w:szCs w:val="20"/>
          <w:color w:val="auto"/>
        </w:rPr>
      </w:pPr>
      <w:r>
        <w:rPr>
          <w:rFonts w:ascii="Arial" w:cs="Arial" w:eastAsia="Arial" w:hAnsi="Arial"/>
          <w:sz w:val="13"/>
          <w:szCs w:val="13"/>
          <w:b w:val="1"/>
          <w:bCs w:val="1"/>
          <w:color w:val="auto"/>
        </w:rPr>
        <w:t>(in thousands, except per share data)</w:t>
      </w:r>
    </w:p>
    <w:p>
      <w:pPr>
        <w:spacing w:after="0" w:line="166" w:lineRule="exact"/>
        <w:rPr>
          <w:sz w:val="20"/>
          <w:szCs w:val="20"/>
          <w:color w:val="auto"/>
        </w:rPr>
      </w:pPr>
    </w:p>
    <w:p>
      <w:pPr>
        <w:ind w:left="1000" w:hanging="313"/>
        <w:spacing w:after="0"/>
        <w:tabs>
          <w:tab w:leader="none" w:pos="100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Description of Business</w:t>
      </w:r>
    </w:p>
    <w:p>
      <w:pPr>
        <w:spacing w:after="0" w:line="102"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Synchronoss Technologies, Inc. (the “Company” or “Synchronoss”) is a leading provider of on-demand transaction management platforms that enable communications service providers (CSPs), cable operators/ multi-services operators (MSOs), original equipment manufacturers (OEMs) with embedded connectivity (e.g. smartphones, laptops, netbooks and mobile Internet devices, among others), e-Tailers/retailers and other customers to accelerate and monetize their go-to-market strategies for connected-devices. This includes automating subscriber activation, order management and service provisioning from any channel (e.g., e-commerce, telesales, customer stores, indirect and other retail outlets, etc.) to any communication service (e.g., wireless(2G, 3G, 4G), high speed access, local access, IPTV, cable, satellite TV, etc.) across any connected device type. The Company’s ConvergenceNow</w:t>
      </w:r>
      <w:r>
        <w:rPr>
          <w:rFonts w:ascii="Arial" w:cs="Arial" w:eastAsia="Arial" w:hAnsi="Arial"/>
          <w:sz w:val="10"/>
          <w:szCs w:val="10"/>
          <w:color w:val="auto"/>
        </w:rPr>
        <w:t>®</w:t>
      </w:r>
      <w:r>
        <w:rPr>
          <w:rFonts w:ascii="Arial" w:cs="Arial" w:eastAsia="Arial" w:hAnsi="Arial"/>
          <w:sz w:val="12"/>
          <w:szCs w:val="12"/>
          <w:color w:val="auto"/>
        </w:rPr>
        <w:t>, ConvergenceNow</w:t>
      </w:r>
      <w:r>
        <w:rPr>
          <w:rFonts w:ascii="Arial" w:cs="Arial" w:eastAsia="Arial" w:hAnsi="Arial"/>
          <w:sz w:val="10"/>
          <w:szCs w:val="10"/>
          <w:color w:val="auto"/>
        </w:rPr>
        <w:t>®</w:t>
      </w:r>
      <w:r>
        <w:rPr>
          <w:rFonts w:ascii="Arial" w:cs="Arial" w:eastAsia="Arial" w:hAnsi="Arial"/>
          <w:sz w:val="12"/>
          <w:szCs w:val="12"/>
          <w:color w:val="auto"/>
        </w:rPr>
        <w:t xml:space="preserve"> Plus</w:t>
      </w:r>
      <w:r>
        <w:rPr>
          <w:rFonts w:ascii="Arial" w:cs="Arial" w:eastAsia="Arial" w:hAnsi="Arial"/>
          <w:sz w:val="10"/>
          <w:szCs w:val="10"/>
          <w:color w:val="auto"/>
        </w:rPr>
        <w:t>+</w:t>
      </w:r>
      <w:r>
        <w:rPr>
          <w:rFonts w:ascii="Arial" w:cs="Arial" w:eastAsia="Arial" w:hAnsi="Arial"/>
          <w:sz w:val="12"/>
          <w:szCs w:val="12"/>
          <w:color w:val="auto"/>
        </w:rPr>
        <w:t xml:space="preserve"> and InterconnectNow</w:t>
      </w:r>
      <w:r>
        <w:rPr>
          <w:rFonts w:ascii="Arial" w:cs="Arial" w:eastAsia="Arial" w:hAnsi="Arial"/>
          <w:sz w:val="7"/>
          <w:szCs w:val="7"/>
          <w:color w:val="auto"/>
        </w:rPr>
        <w:t>TM</w:t>
      </w:r>
      <w:r>
        <w:rPr>
          <w:rFonts w:ascii="Arial" w:cs="Arial" w:eastAsia="Arial" w:hAnsi="Arial"/>
          <w:sz w:val="12"/>
          <w:szCs w:val="12"/>
          <w:color w:val="auto"/>
        </w:rPr>
        <w:t xml:space="preserve"> platforms provide end-to-end seamless integration between customer-facing channels/applications, communication services, or devices and “back-office” infrastructure-related systems and processes. The Company’s customers rely on our cloud-based solutions and technology to automate the process of activating customers while delivering additional communication services, including new service offerings and ongoing customer care. Synchronoss has designed its platforms to be flexible and scalable to enable multiple converged communication services to be managed across multiple distribution channels, including e-commerce, telesales, customer stores, indirect, and other retail outlets, etc., allowing the Company to meet the rapidly changing and converging services and connected devices offered by its customers. The Company enables its customers to acquire, retain and service subscribers quickly, reliably and cost-effectively by simplifying the processes associated with managing the customer experience for ordering and activating connected devices and services through the use of its platforms.</w:t>
      </w:r>
    </w:p>
    <w:p>
      <w:pPr>
        <w:spacing w:after="0" w:line="138"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Basis of Presentation and Consolidation</w:t>
      </w:r>
    </w:p>
    <w:p>
      <w:pPr>
        <w:spacing w:after="0" w:line="98" w:lineRule="exact"/>
        <w:rPr>
          <w:sz w:val="20"/>
          <w:szCs w:val="20"/>
          <w:color w:val="auto"/>
        </w:rPr>
      </w:pPr>
    </w:p>
    <w:p>
      <w:pPr>
        <w:ind w:left="680" w:right="400" w:firstLine="399"/>
        <w:spacing w:after="0" w:line="279" w:lineRule="auto"/>
        <w:rPr>
          <w:sz w:val="20"/>
          <w:szCs w:val="20"/>
          <w:color w:val="auto"/>
        </w:rPr>
      </w:pPr>
      <w:r>
        <w:rPr>
          <w:rFonts w:ascii="Arial" w:cs="Arial" w:eastAsia="Arial" w:hAnsi="Arial"/>
          <w:sz w:val="13"/>
          <w:szCs w:val="13"/>
          <w:color w:val="auto"/>
        </w:rPr>
        <w:t>The consolidated financial statements include the accounts of the Company and its subsidiaries. All material intercompany transactions and accounts have been eliminated in consolidation.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8" w:lineRule="exact"/>
        <w:rPr>
          <w:sz w:val="20"/>
          <w:szCs w:val="20"/>
          <w:color w:val="auto"/>
        </w:rPr>
      </w:pPr>
    </w:p>
    <w:p>
      <w:pPr>
        <w:ind w:left="680" w:right="120" w:firstLine="399"/>
        <w:spacing w:after="0" w:line="26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periods. Actual results could differ from those estimates.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 and Deferred Revenue</w:t>
      </w:r>
    </w:p>
    <w:p>
      <w:pPr>
        <w:spacing w:after="0" w:line="98" w:lineRule="exact"/>
        <w:rPr>
          <w:sz w:val="20"/>
          <w:szCs w:val="20"/>
          <w:color w:val="auto"/>
        </w:rPr>
      </w:pPr>
    </w:p>
    <w:p>
      <w:pPr>
        <w:ind w:left="680" w:right="280" w:firstLine="399"/>
        <w:spacing w:after="0" w:line="279" w:lineRule="auto"/>
        <w:rPr>
          <w:sz w:val="20"/>
          <w:szCs w:val="20"/>
          <w:color w:val="auto"/>
        </w:rPr>
      </w:pPr>
      <w:r>
        <w:rPr>
          <w:rFonts w:ascii="Arial" w:cs="Arial" w:eastAsia="Arial" w:hAnsi="Arial"/>
          <w:sz w:val="13"/>
          <w:szCs w:val="13"/>
          <w:color w:val="auto"/>
        </w:rPr>
        <w:t>The Company provides services principally on a transaction fee basis or, at times, on a fixed fee basis and recognizes the revenues as the services are performed or delivered as described below:</w:t>
      </w:r>
    </w:p>
    <w:p>
      <w:pPr>
        <w:spacing w:after="0" w:line="58" w:lineRule="exact"/>
        <w:rPr>
          <w:sz w:val="20"/>
          <w:szCs w:val="20"/>
          <w:color w:val="auto"/>
        </w:rPr>
      </w:pPr>
    </w:p>
    <w:p>
      <w:pPr>
        <w:ind w:left="680" w:right="160" w:firstLine="399"/>
        <w:spacing w:after="0" w:line="299" w:lineRule="auto"/>
        <w:rPr>
          <w:sz w:val="20"/>
          <w:szCs w:val="20"/>
          <w:color w:val="auto"/>
        </w:rPr>
      </w:pPr>
      <w:r>
        <w:rPr>
          <w:rFonts w:ascii="Arial" w:cs="Arial" w:eastAsia="Arial" w:hAnsi="Arial"/>
          <w:sz w:val="12"/>
          <w:szCs w:val="12"/>
          <w:i w:val="1"/>
          <w:iCs w:val="1"/>
          <w:color w:val="auto"/>
        </w:rPr>
        <w:t xml:space="preserve">Transaction Service Arrangements: </w:t>
      </w:r>
      <w:r>
        <w:rPr>
          <w:rFonts w:ascii="Arial" w:cs="Arial" w:eastAsia="Arial" w:hAnsi="Arial"/>
          <w:sz w:val="12"/>
          <w:szCs w:val="12"/>
          <w:color w:val="auto"/>
        </w:rPr>
        <w:t>Transaction revenues consist of revenues derived from the processing of transactions through the Company’s service platforms and represent</w:t>
      </w:r>
      <w:r>
        <w:rPr>
          <w:rFonts w:ascii="Arial" w:cs="Arial" w:eastAsia="Arial" w:hAnsi="Arial"/>
          <w:sz w:val="12"/>
          <w:szCs w:val="12"/>
          <w:i w:val="1"/>
          <w:iCs w:val="1"/>
          <w:color w:val="auto"/>
        </w:rPr>
        <w:t xml:space="preserve"> </w:t>
      </w:r>
      <w:r>
        <w:rPr>
          <w:rFonts w:ascii="Arial" w:cs="Arial" w:eastAsia="Arial" w:hAnsi="Arial"/>
          <w:sz w:val="12"/>
          <w:szCs w:val="12"/>
          <w:color w:val="auto"/>
        </w:rPr>
        <w:t>approximately 83%, 83%, and 85% of net revenues during the years ended December 31, 2009, 2008 and 2007, respectively. Transaction service arrangements include services such as processing equipment orders, new account set-up and activation, number port requests, credit checks and inventory management.</w:t>
      </w:r>
    </w:p>
    <w:p>
      <w:pPr>
        <w:spacing w:after="0" w:line="48" w:lineRule="exact"/>
        <w:rPr>
          <w:sz w:val="20"/>
          <w:szCs w:val="20"/>
          <w:color w:val="auto"/>
        </w:rPr>
      </w:pPr>
    </w:p>
    <w:p>
      <w:pPr>
        <w:jc w:val="both"/>
        <w:ind w:left="680" w:right="220" w:firstLine="399"/>
        <w:spacing w:after="0" w:line="266" w:lineRule="auto"/>
        <w:rPr>
          <w:sz w:val="20"/>
          <w:szCs w:val="20"/>
          <w:color w:val="auto"/>
        </w:rPr>
      </w:pPr>
      <w:r>
        <w:rPr>
          <w:rFonts w:ascii="Arial" w:cs="Arial" w:eastAsia="Arial" w:hAnsi="Arial"/>
          <w:sz w:val="13"/>
          <w:szCs w:val="13"/>
          <w:color w:val="auto"/>
        </w:rPr>
        <w:t>Transaction revenues are principally based on a contractual price per transaction and are recognized based on the number of transactions processed during each reporting period. Revenues are recorded based on the total number of transactions processed at the applicable price established in the relevant contract. The total amount of revenues recognized is based primarily on the volume of transactions.</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20" w:firstLine="399"/>
        <w:spacing w:after="0" w:line="287" w:lineRule="auto"/>
        <w:rPr>
          <w:sz w:val="20"/>
          <w:szCs w:val="20"/>
          <w:color w:val="auto"/>
        </w:rPr>
      </w:pPr>
      <w:r>
        <w:rPr>
          <w:rFonts w:ascii="Arial" w:cs="Arial" w:eastAsia="Arial" w:hAnsi="Arial"/>
          <w:sz w:val="12"/>
          <w:szCs w:val="12"/>
          <w:color w:val="auto"/>
        </w:rPr>
        <w:t>Many of our contracts guarantee minimum volume transactions from the customer. In these instances, if the customer’s total transaction volume for the period is less than the contractual amount, we record revenues at the minimum guaranteed amount. At times, transaction revenues may also include billings to customers that reimburse the Company based on the number of individuals dedicated to processing transactions. Set-up fees for transactional service arrangements are deferred and recognized on a straight-line basis over the life of the contract since these amounts would not have been paid by the customer without the related transactional service arrangement. Revenues are presented net of discounts, which are volume level driven, or credits, which are performance driven, and are determined in the period in which the volume thresholds are met or the services are provided.</w:t>
      </w:r>
    </w:p>
    <w:p>
      <w:pPr>
        <w:spacing w:after="0" w:line="55"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Professional Service Arrangements: </w:t>
      </w:r>
      <w:r>
        <w:rPr>
          <w:rFonts w:ascii="Arial" w:cs="Arial" w:eastAsia="Arial" w:hAnsi="Arial"/>
          <w:sz w:val="13"/>
          <w:szCs w:val="13"/>
          <w:color w:val="auto"/>
        </w:rPr>
        <w:t>Professional services represented approximately 15%, 16% and 14% of net revenues for the years ended December 31, 2009, 2008 and 2007,</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Professional services include process and workflow consulting services and development services. Professional services, when sold with transactional service arrangements, are accounted for separately when the professional services have value to the customer on a standalone basis and there is objective and reliable evidence of fair value of the professional services. When accounted for separately, professional service revenues are recognized on a monthly basis, as services are performed and all other elements of revenue recognition have been satisfied.</w:t>
      </w:r>
    </w:p>
    <w:p>
      <w:pPr>
        <w:spacing w:after="0" w:line="70"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In addition, in determining whether professional service revenues can be accounted for separately from transaction service revenues, the Company considers the following factors for each professional services agreement: availability of the professional services from other vendors, whether objective and reliable evidence of fair value exists for these services and the undelivered transaction revenues, the nature of the professional services, the timing of when the professional contract was signed in comparison to the transaction service start date and the contractual independence of the transactional service from the professional services.</w:t>
      </w:r>
    </w:p>
    <w:p>
      <w:pPr>
        <w:spacing w:after="0" w:line="6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3"/>
          <w:szCs w:val="13"/>
          <w:color w:val="auto"/>
        </w:rPr>
        <w:t>If a professional service arrangement were not to qualify for separate accounting, the Company would recognize the professional service revenues ratably over the remaining term of the transaction contract. For the years ended December 31, 2009, 2008 and 2007, all professional services have been accounted for separately.</w:t>
      </w:r>
    </w:p>
    <w:p>
      <w:pPr>
        <w:spacing w:after="0" w:line="58" w:lineRule="exact"/>
        <w:rPr>
          <w:sz w:val="20"/>
          <w:szCs w:val="20"/>
          <w:color w:val="auto"/>
        </w:rPr>
      </w:pPr>
    </w:p>
    <w:p>
      <w:pPr>
        <w:jc w:val="both"/>
        <w:ind w:left="680" w:right="140" w:firstLine="399"/>
        <w:spacing w:after="0" w:line="266" w:lineRule="auto"/>
        <w:rPr>
          <w:sz w:val="20"/>
          <w:szCs w:val="20"/>
          <w:color w:val="auto"/>
        </w:rPr>
      </w:pPr>
      <w:r>
        <w:rPr>
          <w:rFonts w:ascii="Arial" w:cs="Arial" w:eastAsia="Arial" w:hAnsi="Arial"/>
          <w:sz w:val="13"/>
          <w:szCs w:val="13"/>
          <w:i w:val="1"/>
          <w:iCs w:val="1"/>
          <w:color w:val="auto"/>
        </w:rPr>
        <w:t xml:space="preserve">Subscription Service Arrangements: </w:t>
      </w:r>
      <w:r>
        <w:rPr>
          <w:rFonts w:ascii="Arial" w:cs="Arial" w:eastAsia="Arial" w:hAnsi="Arial"/>
          <w:sz w:val="13"/>
          <w:szCs w:val="13"/>
          <w:color w:val="auto"/>
        </w:rPr>
        <w:t>Subscription service arrangements which are generally based upon fixed fees represent approximately 1% of net revenues for the years ended</w:t>
      </w:r>
      <w:r>
        <w:rPr>
          <w:rFonts w:ascii="Arial" w:cs="Arial" w:eastAsia="Arial" w:hAnsi="Arial"/>
          <w:sz w:val="13"/>
          <w:szCs w:val="13"/>
          <w:i w:val="1"/>
          <w:iCs w:val="1"/>
          <w:color w:val="auto"/>
        </w:rPr>
        <w:t xml:space="preserve"> </w:t>
      </w:r>
      <w:r>
        <w:rPr>
          <w:rFonts w:ascii="Arial" w:cs="Arial" w:eastAsia="Arial" w:hAnsi="Arial"/>
          <w:sz w:val="13"/>
          <w:szCs w:val="13"/>
          <w:color w:val="auto"/>
        </w:rPr>
        <w:t>December 31, 2009, 2008 and 2007 and relate principally to the Company’s enterprise portal management services. The Company records revenues on a straight-line basis over the life of the contract for its subscription service contracts.</w:t>
      </w:r>
    </w:p>
    <w:p>
      <w:pPr>
        <w:spacing w:after="0" w:line="6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i w:val="1"/>
          <w:iCs w:val="1"/>
          <w:color w:val="auto"/>
        </w:rPr>
        <w:t xml:space="preserve">Deferred Revenue: </w:t>
      </w:r>
      <w:r>
        <w:rPr>
          <w:rFonts w:ascii="Arial" w:cs="Arial" w:eastAsia="Arial" w:hAnsi="Arial"/>
          <w:sz w:val="13"/>
          <w:szCs w:val="13"/>
          <w:color w:val="auto"/>
        </w:rPr>
        <w:t>Deferred revenues primarily represent billings to customers for services in advance of the performance of services, with revenues recognized as the services are</w:t>
      </w:r>
      <w:r>
        <w:rPr>
          <w:rFonts w:ascii="Arial" w:cs="Arial" w:eastAsia="Arial" w:hAnsi="Arial"/>
          <w:sz w:val="13"/>
          <w:szCs w:val="13"/>
          <w:i w:val="1"/>
          <w:iCs w:val="1"/>
          <w:color w:val="auto"/>
        </w:rPr>
        <w:t xml:space="preserve"> </w:t>
      </w:r>
      <w:r>
        <w:rPr>
          <w:rFonts w:ascii="Arial" w:cs="Arial" w:eastAsia="Arial" w:hAnsi="Arial"/>
          <w:sz w:val="13"/>
          <w:szCs w:val="13"/>
          <w:color w:val="auto"/>
        </w:rPr>
        <w:t>rendered, and also includes the fair value of deferred revenues recorded as a result of the Wisor Telecom Corporation (“Wisor”) acquisition.</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 Level Standards</w:t>
      </w:r>
    </w:p>
    <w:p>
      <w:pPr>
        <w:spacing w:after="0" w:line="98"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Pursuant to certain contracts, the Company is subject to service level standards and to corresponding penalties for failure to meet those standards. All performance-related penalties are reflected as a corresponding reduction of the Company’s revenues. These penalties, if applicable, are recorded in the month incurred and were insignificant for the years ended December 31, 2009, 2008 and 2007,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w:t>
      </w:r>
    </w:p>
    <w:p>
      <w:pPr>
        <w:spacing w:after="0" w:line="98" w:lineRule="exact"/>
        <w:rPr>
          <w:sz w:val="20"/>
          <w:szCs w:val="20"/>
          <w:color w:val="auto"/>
        </w:rPr>
      </w:pPr>
    </w:p>
    <w:p>
      <w:pPr>
        <w:ind w:left="680" w:right="80" w:firstLine="399"/>
        <w:spacing w:after="0" w:line="262" w:lineRule="auto"/>
        <w:rPr>
          <w:sz w:val="20"/>
          <w:szCs w:val="20"/>
          <w:color w:val="auto"/>
        </w:rPr>
      </w:pPr>
      <w:r>
        <w:rPr>
          <w:rFonts w:ascii="Arial" w:cs="Arial" w:eastAsia="Arial" w:hAnsi="Arial"/>
          <w:sz w:val="13"/>
          <w:szCs w:val="13"/>
          <w:color w:val="auto"/>
        </w:rPr>
        <w:t>The Company’s financial instruments that are exposed to concentration of credit risk consist primarily of cash and cash equivalents, marketable securities and accounts receivable. The Company maintains its cash and cash equivalents in bank accounts, which, at times, exceed federally insured limits. The Company deposits its excess cash in high-quality financial instruments, primarily money market funds and certificates of deposit in denominations below $100 with various financial institutions. The Company has not recognized any losses in such accounts. The Company believes it is not exposed to significant credit risk on cash, cash equivalents and marketable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securities. Concentration of credit risk with respect to accounts receivable is limited because of the creditworthiness of the Company’s major customers.</w:t>
      </w:r>
    </w:p>
    <w:p>
      <w:pPr>
        <w:spacing w:after="0" w:line="98" w:lineRule="exact"/>
        <w:rPr>
          <w:sz w:val="20"/>
          <w:szCs w:val="20"/>
          <w:color w:val="auto"/>
        </w:rPr>
      </w:pPr>
    </w:p>
    <w:p>
      <w:pPr>
        <w:ind w:left="680" w:right="60" w:firstLine="399"/>
        <w:spacing w:after="0" w:line="259" w:lineRule="auto"/>
        <w:rPr>
          <w:sz w:val="20"/>
          <w:szCs w:val="20"/>
          <w:color w:val="auto"/>
        </w:rPr>
      </w:pPr>
      <w:r>
        <w:rPr>
          <w:rFonts w:ascii="Arial" w:cs="Arial" w:eastAsia="Arial" w:hAnsi="Arial"/>
          <w:sz w:val="13"/>
          <w:szCs w:val="13"/>
          <w:color w:val="auto"/>
        </w:rPr>
        <w:t>The Company’s top five customers accounted for 84%, 89% and 95% of net revenues for 2009, 2008 and 2007, respectively. The Company’s top five customers accounted for 71% and 83% of accounts receivable at December 31, 2009 and 2008, respectively. The Company is the primary provider of e-commerce transaction management solutions to the e-commerce channel of AT&amp;T Inc. (“AT&amp;T”), the Company’s largest customer, under an agreement which was recently renewed and runs through December of 2011. For the year ended December 31, 2009, AT&amp;T accounted for approximately 65% of the Company’s revenues, compared to 67% for the year ended December 31, 2008. The loss of AT&amp;T would have a material negative impact on the Company. The Company believes that if AT&amp;T terminated its relationship with Synchronoss, AT&amp;T would encounter substantial costs in replacing Synchronoss’ transaction management solution.</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8" w:lineRule="exact"/>
        <w:rPr>
          <w:sz w:val="20"/>
          <w:szCs w:val="20"/>
          <w:color w:val="auto"/>
        </w:rPr>
      </w:pPr>
    </w:p>
    <w:p>
      <w:pPr>
        <w:jc w:val="both"/>
        <w:ind w:left="680" w:right="140" w:firstLine="399"/>
        <w:spacing w:after="0" w:line="266" w:lineRule="auto"/>
        <w:rPr>
          <w:sz w:val="20"/>
          <w:szCs w:val="20"/>
          <w:color w:val="auto"/>
        </w:rPr>
      </w:pPr>
      <w:r>
        <w:rPr>
          <w:rFonts w:ascii="Arial" w:cs="Arial" w:eastAsia="Arial" w:hAnsi="Arial"/>
          <w:sz w:val="13"/>
          <w:szCs w:val="13"/>
          <w:color w:val="auto"/>
        </w:rPr>
        <w:t>The Company includes disclosures of fair value information about financial instruments, whether or not recognized in the balance sheet, for which it is practicable to estimate that value. Due to their short-term nature, the carrying amounts reported in the financial statements approximate the fair value for cash and cash equivalents, accounts receivable and accounts payable.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investments purchased with a maturity of three months or less at the date of acquisition to be cash equivalents.</w:t>
      </w:r>
    </w:p>
    <w:p>
      <w:pPr>
        <w:spacing w:after="0" w:line="17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Marketable Securities</w:t>
      </w:r>
    </w:p>
    <w:p>
      <w:pPr>
        <w:spacing w:after="0" w:line="98" w:lineRule="exact"/>
        <w:rPr>
          <w:sz w:val="20"/>
          <w:szCs w:val="20"/>
          <w:color w:val="auto"/>
        </w:rPr>
      </w:pPr>
    </w:p>
    <w:p>
      <w:pPr>
        <w:ind w:left="680" w:firstLine="399"/>
        <w:spacing w:after="0" w:line="287" w:lineRule="auto"/>
        <w:rPr>
          <w:sz w:val="20"/>
          <w:szCs w:val="20"/>
          <w:color w:val="auto"/>
        </w:rPr>
      </w:pPr>
      <w:r>
        <w:rPr>
          <w:rFonts w:ascii="Arial" w:cs="Arial" w:eastAsia="Arial" w:hAnsi="Arial"/>
          <w:sz w:val="12"/>
          <w:szCs w:val="12"/>
          <w:color w:val="auto"/>
        </w:rPr>
        <w:t>Marketable securities consist of fixed income investments with a maturity of greater than three months. These investments are classified as available-for-sale and are reported at fair value on the Company’s balance sheet. The Company classifies its securities with maturity dates of 12 months or more as long term. Unrealized holding gains and losses are reported within accumulated other comprehensive (loss) income as a separate component of stockholders’ equity. If a decline in the fair value of a marketable security below the Company’s cost basis is determined to be other than temporary, such marketable security is written down to its estimated fair value as a new cost basis and the amount of the write-down is included in earnings as an impairment charge. Other than temporary charges, no other than temporary impairment charges have been recorded in any of the periods presented herein.</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 and Allowance for Doubtful Accounts</w:t>
      </w:r>
    </w:p>
    <w:p>
      <w:pPr>
        <w:spacing w:after="0" w:line="98"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Accounts receivable consist of amounts due to the Company from normal business activities. The Company maintains an allowance for estimated losses resulting from the inability of its customers to make required payments. The Company estimates uncollectible amounts based upon historical bad debts, current customer receivable balances, the age of customer receivable balances, the customer’s financial condition and current economic trends.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8"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color w:val="auto"/>
        </w:rPr>
        <w:t>Property and equipment and leasehold improvements are stated at cost, net of accumulated depreciation. Depreciation is computed using the straight-line method over the estimated useful lives of the assets, which range from 3 to 5 years, or the lesser of the related initial term of the lease or useful life for leasehold improvements. Expenditures for routine maintenance and repairs are charged against operations. Major replacements, improvements and additions are capitalized.</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Goodwill</w:t>
      </w:r>
    </w:p>
    <w:p>
      <w:pPr>
        <w:spacing w:after="0" w:line="98" w:lineRule="exact"/>
        <w:rPr>
          <w:sz w:val="20"/>
          <w:szCs w:val="20"/>
          <w:color w:val="auto"/>
        </w:rPr>
      </w:pPr>
    </w:p>
    <w:p>
      <w:pPr>
        <w:jc w:val="both"/>
        <w:ind w:left="680" w:right="60" w:firstLine="399"/>
        <w:spacing w:after="0" w:line="266" w:lineRule="auto"/>
        <w:rPr>
          <w:sz w:val="20"/>
          <w:szCs w:val="20"/>
          <w:color w:val="auto"/>
        </w:rPr>
      </w:pPr>
      <w:r>
        <w:rPr>
          <w:rFonts w:ascii="Arial" w:cs="Arial" w:eastAsia="Arial" w:hAnsi="Arial"/>
          <w:sz w:val="13"/>
          <w:szCs w:val="13"/>
          <w:color w:val="auto"/>
        </w:rPr>
        <w:t>Goodwill represents the excess of the purchase price over the fair value of assets acquired, including other definite-lived intangible assets. Goodwill is not amortized, but reviewed annually for impairment or upon the occurrence of events or changes in circumstances that would more likely than not reduce the fair value of the reporting unit below its carrying amount. There were no impairment charges recognized during the years ended December 31, 2009, 2008 and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Impairment of Long-Lived Assets</w:t>
      </w:r>
    </w:p>
    <w:p>
      <w:pPr>
        <w:spacing w:after="0" w:line="98" w:lineRule="exact"/>
        <w:rPr>
          <w:sz w:val="20"/>
          <w:szCs w:val="20"/>
          <w:color w:val="auto"/>
        </w:rPr>
      </w:pPr>
    </w:p>
    <w:p>
      <w:pPr>
        <w:jc w:val="both"/>
        <w:ind w:left="680" w:right="180" w:firstLine="399"/>
        <w:spacing w:after="0" w:line="304" w:lineRule="auto"/>
        <w:rPr>
          <w:sz w:val="20"/>
          <w:szCs w:val="20"/>
          <w:color w:val="auto"/>
        </w:rPr>
      </w:pPr>
      <w:r>
        <w:rPr>
          <w:rFonts w:ascii="Arial" w:cs="Arial" w:eastAsia="Arial" w:hAnsi="Arial"/>
          <w:sz w:val="11"/>
          <w:szCs w:val="11"/>
          <w:color w:val="auto"/>
        </w:rPr>
        <w:t>A review of long-lived assets for impairment is performed when events or changes in circumstances indicate that the carrying value of such assets may not be recoverable. If an indication of impairment is present, the Company compares the estimated undiscounted future cash flows to be generated by the asset to the asset’s carrying amount. If the undiscounted future cash flows are less than the carrying amount of the asset, the Company records an impairment loss equal to the amount by which the asset’s carrying amount exceeds its fair value.</w:t>
      </w:r>
    </w:p>
    <w:p>
      <w:pPr>
        <w:spacing w:after="0" w:line="1" w:lineRule="exact"/>
        <w:rPr>
          <w:sz w:val="20"/>
          <w:szCs w:val="20"/>
          <w:color w:val="auto"/>
        </w:rPr>
      </w:pPr>
    </w:p>
    <w:p>
      <w:pPr>
        <w:ind w:left="680" w:right="40"/>
        <w:spacing w:after="0" w:line="267" w:lineRule="auto"/>
        <w:rPr>
          <w:sz w:val="20"/>
          <w:szCs w:val="20"/>
          <w:color w:val="auto"/>
        </w:rPr>
      </w:pPr>
      <w:r>
        <w:rPr>
          <w:rFonts w:ascii="Arial" w:cs="Arial" w:eastAsia="Arial" w:hAnsi="Arial"/>
          <w:sz w:val="13"/>
          <w:szCs w:val="13"/>
          <w:color w:val="auto"/>
        </w:rPr>
        <w:t>The fair value is determined based on valuation techniques such as a comparison to fair values of similar assets or using a discounted cash flow analysis. There were no impairment charges recognized during the years ended December 31, 2009, 2008 and 2007.</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Cost of Services</w:t>
      </w:r>
    </w:p>
    <w:p>
      <w:pPr>
        <w:spacing w:after="0" w:line="98" w:lineRule="exact"/>
        <w:rPr>
          <w:sz w:val="20"/>
          <w:szCs w:val="20"/>
          <w:color w:val="auto"/>
        </w:rPr>
      </w:pPr>
    </w:p>
    <w:p>
      <w:pPr>
        <w:ind w:left="680" w:right="220" w:firstLine="399"/>
        <w:spacing w:after="0" w:line="279" w:lineRule="auto"/>
        <w:rPr>
          <w:sz w:val="20"/>
          <w:szCs w:val="20"/>
          <w:color w:val="auto"/>
        </w:rPr>
      </w:pPr>
      <w:r>
        <w:rPr>
          <w:rFonts w:ascii="Arial" w:cs="Arial" w:eastAsia="Arial" w:hAnsi="Arial"/>
          <w:sz w:val="13"/>
          <w:szCs w:val="13"/>
          <w:color w:val="auto"/>
        </w:rPr>
        <w:t>Cost of services includes all direct materials, direct labor and those indirect costs related to revenues such as indirect labor, materials and supplies and facilities cost, exclusive of depreciation expense.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Research and development costs are expensed as incurred, unless they meet GAAP criteria for deferral and amortization. Software development costs incurred prior to the establishment of technological feasibility do not meet these criteria, and are expensed as incurred. Research and development expense consists primarily of costs related to personnel, including salaries and other personnel-related expenses, consulting fees and the cost of facilities, computer and support services used in service technology development. The Company also expenses costs relating to developing modifications and minor enhancements of its existing technology and services.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8" w:lineRule="exact"/>
        <w:rPr>
          <w:sz w:val="20"/>
          <w:szCs w:val="20"/>
          <w:color w:val="auto"/>
        </w:rPr>
      </w:pPr>
    </w:p>
    <w:p>
      <w:pPr>
        <w:ind w:left="680" w:right="20" w:firstLine="399"/>
        <w:spacing w:after="0" w:line="262" w:lineRule="auto"/>
        <w:rPr>
          <w:sz w:val="20"/>
          <w:szCs w:val="20"/>
          <w:color w:val="auto"/>
        </w:rPr>
      </w:pPr>
      <w:r>
        <w:rPr>
          <w:rFonts w:ascii="Arial" w:cs="Arial" w:eastAsia="Arial" w:hAnsi="Arial"/>
          <w:sz w:val="13"/>
          <w:szCs w:val="13"/>
          <w:color w:val="auto"/>
        </w:rPr>
        <w:t>The Company accounts for the effects of income taxes that result from the Company’s activities during the current and preceding years. Under this method, deferred income tax liabilities and assets are determined based on the difference between the financial statement carrying amounts and the tax basis of assets and liabilities using enacted tax rates in effect in the years in which the differences are expected to reverse or be utilized. The realization of deferred tax assets is contingent upon the generation of future taxable income. A valuation allowance is recorded if it is “more likely than not” that a portion or all of a deferred tax asset will not be realized.</w:t>
      </w:r>
    </w:p>
    <w:p>
      <w:pPr>
        <w:spacing w:after="0" w:line="6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As of December 31, 2009, and 2008 the Company had total unrecognized tax benefits reserves of $994 and $893 which includes $119 and $68 for interest related to uncertain positions, respectively. Components of the reserve are classified as either current or long-term in the consolidated balance sheet based on when the Company expect each of the items to be settled. Accordingly, the Company recorded a long-term liability for unrecognized tax benefits of $875 on the balance sheet at December 31, 2009 that would reduce the effective tax rate if recognized. Synchronoss records interest and penalties accrued in relation to uncertain income tax positions below the operating income line as a component of interest expense. Tax returns for years 2001 and thereafter are subject to future examination by tax authorities.</w:t>
      </w:r>
    </w:p>
    <w:p>
      <w:pPr>
        <w:spacing w:after="0" w:line="70" w:lineRule="exact"/>
        <w:rPr>
          <w:sz w:val="20"/>
          <w:szCs w:val="20"/>
          <w:color w:val="auto"/>
        </w:rPr>
      </w:pPr>
    </w:p>
    <w:p>
      <w:pPr>
        <w:ind w:left="680" w:right="620" w:firstLine="399"/>
        <w:spacing w:after="0" w:line="279" w:lineRule="auto"/>
        <w:rPr>
          <w:sz w:val="20"/>
          <w:szCs w:val="20"/>
          <w:color w:val="auto"/>
        </w:rPr>
      </w:pPr>
      <w:r>
        <w:rPr>
          <w:rFonts w:ascii="Arial" w:cs="Arial" w:eastAsia="Arial" w:hAnsi="Arial"/>
          <w:sz w:val="13"/>
          <w:szCs w:val="13"/>
          <w:color w:val="auto"/>
        </w:rPr>
        <w:t>In 2009, the net increase in the reserve for unrecognized tax benefits was $50 and the net increase for interest expense was $51. The Company expects that the amount of unrecognized tax benefits will change during fiscal year</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2009; however, the Company does not expect the change to have a significant impact on the Company’s results of operations or financial position.</w:t>
      </w:r>
    </w:p>
    <w:p>
      <w:pPr>
        <w:spacing w:after="0" w:line="98"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While the Company believes it has identified all reasonably identifiable exposures and that the reserve the Company has established for identifiable exposures is appropriate under the circumstances, it is possible that additional exposures exist and that exposures may be settled at amounts different than the amounts reserved. It is also possible that changes in facts and circumstances could cause the Company to either materially increase or reduce the carrying amount of its tax reserve.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Foreign Currency</w:t>
      </w:r>
    </w:p>
    <w:p>
      <w:pPr>
        <w:spacing w:after="0" w:line="98" w:lineRule="exact"/>
        <w:rPr>
          <w:sz w:val="20"/>
          <w:szCs w:val="20"/>
          <w:color w:val="auto"/>
        </w:rPr>
      </w:pPr>
    </w:p>
    <w:p>
      <w:pPr>
        <w:ind w:left="680" w:right="20" w:firstLine="399"/>
        <w:spacing w:after="0" w:line="299" w:lineRule="auto"/>
        <w:rPr>
          <w:sz w:val="20"/>
          <w:szCs w:val="20"/>
          <w:color w:val="auto"/>
        </w:rPr>
      </w:pPr>
      <w:r>
        <w:rPr>
          <w:rFonts w:ascii="Arial" w:cs="Arial" w:eastAsia="Arial" w:hAnsi="Arial"/>
          <w:sz w:val="12"/>
          <w:szCs w:val="12"/>
          <w:color w:val="auto"/>
        </w:rPr>
        <w:t>Assets and liabilities of consolidated foreign subsidiaries, whose functional currency is the local currency, are translated to U.S. dollars at year end exchange rates. Income statement items are translated to U.S. dollars at the average rates of exchange prevailing during the fiscal year. The adjustment resulting from translating the financial statements of such foreign subsidiaries to U.S. dollars is reflected as a cumulative translation adjustment and reported as a component of other comprehensive income.</w:t>
      </w:r>
    </w:p>
    <w:p>
      <w:pPr>
        <w:spacing w:after="0" w:line="48" w:lineRule="exact"/>
        <w:rPr>
          <w:sz w:val="20"/>
          <w:szCs w:val="20"/>
          <w:color w:val="auto"/>
        </w:rPr>
      </w:pPr>
    </w:p>
    <w:p>
      <w:pPr>
        <w:ind w:left="680" w:right="40" w:firstLine="399"/>
        <w:spacing w:after="0" w:line="374" w:lineRule="auto"/>
        <w:rPr>
          <w:sz w:val="20"/>
          <w:szCs w:val="20"/>
          <w:color w:val="auto"/>
        </w:rPr>
      </w:pPr>
      <w:r>
        <w:rPr>
          <w:rFonts w:ascii="Arial" w:cs="Arial" w:eastAsia="Arial" w:hAnsi="Arial"/>
          <w:sz w:val="11"/>
          <w:szCs w:val="11"/>
          <w:color w:val="auto"/>
        </w:rPr>
        <w:t>Transactions denominated in currencies other than the functional currency are recorded based on exchange rates at the time such transactions arise. Subsequent changes in exchange rates result in transaction gains or losses, which are reflected within other income (expense) in the consolidated statement of income and were not significant for all years presented.</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Comprehensive Income</w:t>
      </w:r>
    </w:p>
    <w:p>
      <w:pPr>
        <w:spacing w:after="0" w:line="98" w:lineRule="exact"/>
        <w:rPr>
          <w:sz w:val="20"/>
          <w:szCs w:val="20"/>
          <w:color w:val="auto"/>
        </w:rPr>
      </w:pPr>
    </w:p>
    <w:p>
      <w:pPr>
        <w:ind w:left="680" w:firstLine="399"/>
        <w:spacing w:after="0" w:line="266" w:lineRule="auto"/>
        <w:rPr>
          <w:sz w:val="20"/>
          <w:szCs w:val="20"/>
          <w:color w:val="auto"/>
        </w:rPr>
      </w:pPr>
      <w:r>
        <w:rPr>
          <w:rFonts w:ascii="Arial" w:cs="Arial" w:eastAsia="Arial" w:hAnsi="Arial"/>
          <w:sz w:val="13"/>
          <w:szCs w:val="13"/>
          <w:color w:val="auto"/>
        </w:rPr>
        <w:t>Reporting on comprehensive income requires components of other comprehensive income, including unrealized gains or losses on available-for-sale securities, to be included as part of total comprehensive income. Comprehensive income is comprised of net income, translation adjustments and unrealized gains on available-for-sale securities. The components of comprehensive income are included in the statements of stockholders’ equity.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Basic and Diluted Net Income Attributable to Common Stockholders per Common Share</w:t>
      </w:r>
    </w:p>
    <w:p>
      <w:pPr>
        <w:spacing w:after="0" w:line="98" w:lineRule="exact"/>
        <w:rPr>
          <w:sz w:val="20"/>
          <w:szCs w:val="20"/>
          <w:color w:val="auto"/>
        </w:rPr>
      </w:pPr>
    </w:p>
    <w:p>
      <w:pPr>
        <w:ind w:left="680" w:right="160" w:firstLine="399"/>
        <w:spacing w:after="0" w:line="266" w:lineRule="auto"/>
        <w:rPr>
          <w:sz w:val="20"/>
          <w:szCs w:val="20"/>
          <w:color w:val="auto"/>
        </w:rPr>
      </w:pPr>
      <w:r>
        <w:rPr>
          <w:rFonts w:ascii="Arial" w:cs="Arial" w:eastAsia="Arial" w:hAnsi="Arial"/>
          <w:sz w:val="13"/>
          <w:szCs w:val="13"/>
          <w:color w:val="auto"/>
        </w:rPr>
        <w:t>The Company calculates basic and diluted per share amounts based on net earnings for the periods presented. The Company uses the weighted average number of common shares outstanding during the period to calculate basic earnings per share. The weighted average number of common shares used in the Company’s calculation of diluted per share amounts includes the dilutive effects of stock options and restricted stock awards based on the treasury stock method</w:t>
      </w:r>
      <w:r>
        <w:rPr>
          <w:rFonts w:ascii="Arial" w:cs="Arial" w:eastAsia="Arial" w:hAnsi="Arial"/>
          <w:sz w:val="13"/>
          <w:szCs w:val="13"/>
          <w:i w:val="1"/>
          <w:iCs w:val="1"/>
          <w:color w:val="auto"/>
        </w:rPr>
        <w:t>..</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7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160" w:firstLine="399"/>
        <w:spacing w:after="0" w:line="322" w:lineRule="auto"/>
        <w:rPr>
          <w:sz w:val="20"/>
          <w:szCs w:val="20"/>
          <w:color w:val="auto"/>
        </w:rPr>
      </w:pPr>
      <w:r>
        <w:rPr>
          <w:rFonts w:ascii="Arial" w:cs="Arial" w:eastAsia="Arial" w:hAnsi="Arial"/>
          <w:sz w:val="12"/>
          <w:szCs w:val="12"/>
          <w:color w:val="auto"/>
        </w:rPr>
        <w:t>The following table provides a reconciliation of the numerator and denominator used in computing basic and diluted net income attributable to common stockholders per common share. Stock options that are anti-dilutive and excluded from the following table totaled 2,608, 508, and 509 for the years ended December 31, 2009, 2008 and 2007 respectively.</w:t>
      </w:r>
    </w:p>
    <w:p>
      <w:pPr>
        <w:spacing w:after="0" w:line="36"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5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ind w:left="100"/>
              <w:spacing w:after="0"/>
              <w:rPr>
                <w:sz w:val="20"/>
                <w:szCs w:val="20"/>
                <w:color w:val="auto"/>
              </w:rPr>
            </w:pPr>
            <w:r>
              <w:rPr>
                <w:rFonts w:ascii="Arial" w:cs="Arial" w:eastAsia="Arial" w:hAnsi="Arial"/>
                <w:sz w:val="11"/>
                <w:szCs w:val="11"/>
                <w:b w:val="1"/>
                <w:bCs w:val="1"/>
                <w:color w:val="auto"/>
                <w:w w:val="88"/>
              </w:rPr>
              <w:t>Year Ended December 31,</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r>
        <w:trPr>
          <w:trHeight w:val="99"/>
        </w:trPr>
        <w:tc>
          <w:tcPr>
            <w:tcW w:w="52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20" w:type="dxa"/>
            <w:vAlign w:val="bottom"/>
          </w:tcPr>
          <w:p>
            <w:pPr>
              <w:jc w:val="right"/>
              <w:ind w:right="138"/>
              <w:spacing w:after="0" w:line="99" w:lineRule="exact"/>
              <w:rPr>
                <w:sz w:val="20"/>
                <w:szCs w:val="20"/>
                <w:color w:val="auto"/>
              </w:rPr>
            </w:pPr>
            <w:r>
              <w:rPr>
                <w:rFonts w:ascii="Arial" w:cs="Arial" w:eastAsia="Arial" w:hAnsi="Arial"/>
                <w:sz w:val="11"/>
                <w:szCs w:val="11"/>
                <w:b w:val="1"/>
                <w:bCs w:val="1"/>
                <w:color w:val="auto"/>
              </w:rPr>
              <w:t>2009</w:t>
            </w:r>
          </w:p>
        </w:tc>
        <w:tc>
          <w:tcPr>
            <w:tcW w:w="980" w:type="dxa"/>
            <w:vAlign w:val="bottom"/>
            <w:gridSpan w:val="2"/>
          </w:tcPr>
          <w:p>
            <w:pPr>
              <w:jc w:val="right"/>
              <w:ind w:right="134"/>
              <w:spacing w:after="0" w:line="99" w:lineRule="exact"/>
              <w:rPr>
                <w:sz w:val="20"/>
                <w:szCs w:val="20"/>
                <w:color w:val="auto"/>
              </w:rPr>
            </w:pPr>
            <w:r>
              <w:rPr>
                <w:rFonts w:ascii="Arial" w:cs="Arial" w:eastAsia="Arial" w:hAnsi="Arial"/>
                <w:sz w:val="11"/>
                <w:szCs w:val="11"/>
                <w:b w:val="1"/>
                <w:bCs w:val="1"/>
                <w:color w:val="auto"/>
              </w:rPr>
              <w:t>2008</w:t>
            </w:r>
          </w:p>
        </w:tc>
        <w:tc>
          <w:tcPr>
            <w:tcW w:w="340" w:type="dxa"/>
            <w:vAlign w:val="bottom"/>
          </w:tcPr>
          <w:p>
            <w:pPr>
              <w:spacing w:after="0"/>
              <w:rPr>
                <w:sz w:val="8"/>
                <w:szCs w:val="8"/>
                <w:color w:val="auto"/>
              </w:rPr>
            </w:pPr>
          </w:p>
        </w:tc>
        <w:tc>
          <w:tcPr>
            <w:tcW w:w="640" w:type="dxa"/>
            <w:vAlign w:val="bottom"/>
            <w:gridSpan w:val="2"/>
          </w:tcPr>
          <w:p>
            <w:pPr>
              <w:jc w:val="right"/>
              <w:ind w:right="114"/>
              <w:spacing w:after="0" w:line="99" w:lineRule="exact"/>
              <w:rPr>
                <w:sz w:val="20"/>
                <w:szCs w:val="20"/>
                <w:color w:val="auto"/>
              </w:rPr>
            </w:pPr>
            <w:r>
              <w:rPr>
                <w:rFonts w:ascii="Arial" w:cs="Arial" w:eastAsia="Arial" w:hAnsi="Arial"/>
                <w:sz w:val="11"/>
                <w:szCs w:val="11"/>
                <w:b w:val="1"/>
                <w:bCs w:val="1"/>
                <w:color w:val="auto"/>
              </w:rPr>
              <w:t>2007</w:t>
            </w:r>
          </w:p>
        </w:tc>
      </w:tr>
      <w:tr>
        <w:trPr>
          <w:trHeight w:val="179"/>
        </w:trPr>
        <w:tc>
          <w:tcPr>
            <w:tcW w:w="5220" w:type="dxa"/>
            <w:vAlign w:val="bottom"/>
          </w:tcPr>
          <w:p>
            <w:pPr>
              <w:spacing w:after="0"/>
              <w:rPr>
                <w:sz w:val="20"/>
                <w:szCs w:val="20"/>
                <w:color w:val="auto"/>
              </w:rPr>
            </w:pPr>
            <w:r>
              <w:rPr>
                <w:rFonts w:ascii="Arial" w:cs="Arial" w:eastAsia="Arial" w:hAnsi="Arial"/>
                <w:sz w:val="13"/>
                <w:szCs w:val="13"/>
                <w:color w:val="auto"/>
              </w:rPr>
              <w:t>Numerator:</w:t>
            </w:r>
          </w:p>
        </w:tc>
        <w:tc>
          <w:tcPr>
            <w:tcW w:w="208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r>
      <w:tr>
        <w:trPr>
          <w:trHeight w:val="158"/>
        </w:trPr>
        <w:tc>
          <w:tcPr>
            <w:tcW w:w="5220" w:type="dxa"/>
            <w:vAlign w:val="bottom"/>
          </w:tcPr>
          <w:p>
            <w:pPr>
              <w:ind w:left="140"/>
              <w:spacing w:after="0"/>
              <w:rPr>
                <w:sz w:val="20"/>
                <w:szCs w:val="20"/>
                <w:color w:val="auto"/>
              </w:rPr>
            </w:pPr>
            <w:r>
              <w:rPr>
                <w:rFonts w:ascii="Arial" w:cs="Arial" w:eastAsia="Arial" w:hAnsi="Arial"/>
                <w:sz w:val="13"/>
                <w:szCs w:val="13"/>
                <w:color w:val="auto"/>
              </w:rPr>
              <w:t>Net income attributable to common stockholders</w:t>
            </w:r>
          </w:p>
        </w:tc>
        <w:tc>
          <w:tcPr>
            <w:tcW w:w="2700" w:type="dxa"/>
            <w:vAlign w:val="bottom"/>
            <w:gridSpan w:val="2"/>
          </w:tcPr>
          <w:p>
            <w:pPr>
              <w:jc w:val="right"/>
              <w:spacing w:after="0"/>
              <w:rPr>
                <w:sz w:val="20"/>
                <w:szCs w:val="20"/>
                <w:color w:val="auto"/>
              </w:rPr>
            </w:pPr>
            <w:r>
              <w:rPr>
                <w:rFonts w:ascii="Arial" w:cs="Arial" w:eastAsia="Arial" w:hAnsi="Arial"/>
                <w:sz w:val="13"/>
                <w:szCs w:val="13"/>
                <w:color w:val="auto"/>
              </w:rPr>
              <w:t>$   12,297</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   11,880</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   23,756</w:t>
            </w:r>
          </w:p>
        </w:tc>
      </w:tr>
      <w:tr>
        <w:trPr>
          <w:trHeight w:val="158"/>
        </w:trPr>
        <w:tc>
          <w:tcPr>
            <w:tcW w:w="5220" w:type="dxa"/>
            <w:vAlign w:val="bottom"/>
          </w:tcPr>
          <w:p>
            <w:pPr>
              <w:spacing w:after="0"/>
              <w:rPr>
                <w:sz w:val="20"/>
                <w:szCs w:val="20"/>
                <w:color w:val="auto"/>
              </w:rPr>
            </w:pPr>
            <w:r>
              <w:rPr>
                <w:rFonts w:ascii="Arial" w:cs="Arial" w:eastAsia="Arial" w:hAnsi="Arial"/>
                <w:sz w:val="13"/>
                <w:szCs w:val="13"/>
                <w:color w:val="auto"/>
              </w:rPr>
              <w:t>Denominator:</w:t>
            </w:r>
          </w:p>
        </w:tc>
        <w:tc>
          <w:tcPr>
            <w:tcW w:w="2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8"/>
        </w:trPr>
        <w:tc>
          <w:tcPr>
            <w:tcW w:w="522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 basic</w:t>
            </w:r>
          </w:p>
        </w:tc>
        <w:tc>
          <w:tcPr>
            <w:tcW w:w="2700" w:type="dxa"/>
            <w:vAlign w:val="bottom"/>
            <w:gridSpan w:val="2"/>
          </w:tcPr>
          <w:p>
            <w:pPr>
              <w:jc w:val="right"/>
              <w:spacing w:after="0"/>
              <w:rPr>
                <w:sz w:val="20"/>
                <w:szCs w:val="20"/>
                <w:color w:val="auto"/>
              </w:rPr>
            </w:pPr>
            <w:r>
              <w:rPr>
                <w:rFonts w:ascii="Arial" w:cs="Arial" w:eastAsia="Arial" w:hAnsi="Arial"/>
                <w:sz w:val="13"/>
                <w:szCs w:val="13"/>
                <w:color w:val="auto"/>
              </w:rPr>
              <w:t>30,813</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31,619</w:t>
            </w:r>
          </w:p>
        </w:tc>
        <w:tc>
          <w:tcPr>
            <w:tcW w:w="3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32,215</w:t>
            </w:r>
          </w:p>
        </w:tc>
      </w:tr>
      <w:tr>
        <w:trPr>
          <w:trHeight w:val="158"/>
        </w:trPr>
        <w:tc>
          <w:tcPr>
            <w:tcW w:w="5220" w:type="dxa"/>
            <w:vAlign w:val="bottom"/>
          </w:tcPr>
          <w:p>
            <w:pPr>
              <w:ind w:left="140"/>
              <w:spacing w:after="0"/>
              <w:rPr>
                <w:sz w:val="20"/>
                <w:szCs w:val="20"/>
                <w:color w:val="auto"/>
              </w:rPr>
            </w:pPr>
            <w:r>
              <w:rPr>
                <w:rFonts w:ascii="Arial" w:cs="Arial" w:eastAsia="Arial" w:hAnsi="Arial"/>
                <w:sz w:val="13"/>
                <w:szCs w:val="13"/>
                <w:color w:val="auto"/>
              </w:rPr>
              <w:t>Dilutive effect of:</w:t>
            </w:r>
          </w:p>
        </w:tc>
        <w:tc>
          <w:tcPr>
            <w:tcW w:w="2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65"/>
        </w:trPr>
        <w:tc>
          <w:tcPr>
            <w:tcW w:w="5220" w:type="dxa"/>
            <w:vAlign w:val="bottom"/>
          </w:tcPr>
          <w:p>
            <w:pPr>
              <w:ind w:left="140"/>
              <w:spacing w:after="0"/>
              <w:rPr>
                <w:sz w:val="20"/>
                <w:szCs w:val="20"/>
                <w:color w:val="auto"/>
              </w:rPr>
            </w:pPr>
            <w:r>
              <w:rPr>
                <w:rFonts w:ascii="Arial" w:cs="Arial" w:eastAsia="Arial" w:hAnsi="Arial"/>
                <w:sz w:val="13"/>
                <w:szCs w:val="13"/>
                <w:color w:val="auto"/>
              </w:rPr>
              <w:t>Options, restricted shares and warrants</w:t>
            </w:r>
          </w:p>
        </w:tc>
        <w:tc>
          <w:tcPr>
            <w:tcW w:w="20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332</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568</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1,160</w:t>
            </w:r>
          </w:p>
        </w:tc>
      </w:tr>
      <w:tr>
        <w:trPr>
          <w:trHeight w:val="169"/>
        </w:trPr>
        <w:tc>
          <w:tcPr>
            <w:tcW w:w="5220" w:type="dxa"/>
            <w:vAlign w:val="bottom"/>
          </w:tcPr>
          <w:p>
            <w:pPr>
              <w:ind w:left="140"/>
              <w:spacing w:after="0"/>
              <w:rPr>
                <w:sz w:val="20"/>
                <w:szCs w:val="20"/>
                <w:color w:val="auto"/>
              </w:rPr>
            </w:pPr>
            <w:r>
              <w:rPr>
                <w:rFonts w:ascii="Arial" w:cs="Arial" w:eastAsia="Arial" w:hAnsi="Arial"/>
                <w:sz w:val="13"/>
                <w:szCs w:val="13"/>
                <w:color w:val="auto"/>
              </w:rPr>
              <w:t>Weighted average common shares outstanding — diluted</w:t>
            </w:r>
          </w:p>
        </w:tc>
        <w:tc>
          <w:tcPr>
            <w:tcW w:w="208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31,145</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33,375</w:t>
            </w:r>
          </w:p>
        </w:tc>
      </w:tr>
    </w:tbl>
    <w:p>
      <w:pPr>
        <w:spacing w:after="0" w:line="169"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Stock-Based Compensation</w:t>
      </w:r>
    </w:p>
    <w:p>
      <w:pPr>
        <w:spacing w:after="0" w:line="98" w:lineRule="exact"/>
        <w:rPr>
          <w:sz w:val="20"/>
          <w:szCs w:val="20"/>
          <w:color w:val="auto"/>
        </w:rPr>
      </w:pPr>
    </w:p>
    <w:p>
      <w:pPr>
        <w:ind w:left="680" w:right="60" w:firstLine="399"/>
        <w:spacing w:after="0" w:line="291" w:lineRule="auto"/>
        <w:rPr>
          <w:sz w:val="20"/>
          <w:szCs w:val="20"/>
          <w:color w:val="auto"/>
        </w:rPr>
      </w:pPr>
      <w:r>
        <w:rPr>
          <w:rFonts w:ascii="Arial" w:cs="Arial" w:eastAsia="Arial" w:hAnsi="Arial"/>
          <w:sz w:val="12"/>
          <w:szCs w:val="12"/>
          <w:color w:val="auto"/>
        </w:rPr>
        <w:t>As of December 31, 2009, the Company maintains two stock-based compensation plans. Compensation cost is recognized for all share-based payments granted and is based on the grant-date fair value estimated using the weighted-average assumption of the Black-Scholes option pricing models. The equity instrument is not considered to be issued until the instrument vests. As a result, compensation cost is recognized over the requisite service period with an offsetting credit to additional paid-in capital. Compensation expense also includes the amortization on a straight-line basis over the remaining vesting period of the intrinsic values of the stock options granted prior to 2006.</w:t>
      </w:r>
    </w:p>
    <w:p>
      <w:pPr>
        <w:spacing w:after="0" w:line="53" w:lineRule="exact"/>
        <w:rPr>
          <w:sz w:val="20"/>
          <w:szCs w:val="20"/>
          <w:color w:val="auto"/>
        </w:rPr>
      </w:pPr>
    </w:p>
    <w:p>
      <w:pPr>
        <w:ind w:left="680" w:right="260" w:firstLine="399"/>
        <w:spacing w:after="0" w:line="266" w:lineRule="auto"/>
        <w:rPr>
          <w:sz w:val="20"/>
          <w:szCs w:val="20"/>
          <w:color w:val="auto"/>
        </w:rPr>
      </w:pPr>
      <w:r>
        <w:rPr>
          <w:rFonts w:ascii="Arial" w:cs="Arial" w:eastAsia="Arial" w:hAnsi="Arial"/>
          <w:sz w:val="13"/>
          <w:szCs w:val="13"/>
          <w:color w:val="auto"/>
        </w:rPr>
        <w:t>The Company classifies benefits of tax deductions in excess of the compensation cost recognized (excess tax benefits) as a financing cash inflow with a corresponding operating cash outflow. The Company included $147, $1.4 million and $3.0 million of excess tax benefits as a financing cash inflow for the years ended December 31, 2009, 2008 and 2007, respectively.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Impact of Recently Issued Accounting Standards</w:t>
      </w:r>
    </w:p>
    <w:p>
      <w:pPr>
        <w:spacing w:after="0" w:line="98" w:lineRule="exact"/>
        <w:rPr>
          <w:sz w:val="20"/>
          <w:szCs w:val="20"/>
          <w:color w:val="auto"/>
        </w:rPr>
      </w:pPr>
    </w:p>
    <w:p>
      <w:pPr>
        <w:ind w:left="680" w:firstLine="399"/>
        <w:spacing w:after="0" w:line="284" w:lineRule="auto"/>
        <w:rPr>
          <w:sz w:val="20"/>
          <w:szCs w:val="20"/>
          <w:color w:val="auto"/>
        </w:rPr>
      </w:pPr>
      <w:r>
        <w:rPr>
          <w:rFonts w:ascii="Arial" w:cs="Arial" w:eastAsia="Arial" w:hAnsi="Arial"/>
          <w:sz w:val="12"/>
          <w:szCs w:val="12"/>
          <w:color w:val="auto"/>
        </w:rPr>
        <w:t>In October 2009, the FASB issued Accounting Standard Update (“ASU”) No. 2009-13 “Multiple Deliverable Revenue Arrangements — a consensus of the FASB Emerging Issues Task Force.” This standard provides principles for allocation of consideration among its multiple-elements, allowing more flexibility in identifying and accounting for separate deliverables under an arrangement. ASU No. 2009-13 introduces an estimated selling price method for valuing the elements of a bundled arrangement if vendor-specific objective evidence or third-party evidence of selling price is not available, and significantly expands related disclosure requirements. This standard is effective on a prospective basis for revenue arrangements entered into or materially modified in fiscal years beginning on or after June 15, 2010. Alternatively, adoption may be on a retrospective basis, and early application is permitted. The Company does not expect the adoption of this statement to have a material effect on its consolidated financial statements or disclosures.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8"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The Company currently operates in one business segment providing critical technology services to providers of communication devices and associated subscriber services. The Company is not organized by market and is managed and operated as one business. A single management team reports to the chief operating decision maker who comprehensively manages the entire business. The Company does not operate any material separate lines of business or separate business entities with respect to its services. Accordingly, the Company does not accumulate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discrete financial information with respect to separate service lines and does not have separately reportable segments.</w:t>
      </w:r>
    </w:p>
    <w:p>
      <w:pPr>
        <w:spacing w:after="0" w:line="173"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Acquisition</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Wisor Telecom Corporation</w:t>
      </w:r>
    </w:p>
    <w:p>
      <w:pPr>
        <w:spacing w:after="0" w:line="98" w:lineRule="exact"/>
        <w:rPr>
          <w:sz w:val="20"/>
          <w:szCs w:val="20"/>
          <w:color w:val="auto"/>
        </w:rPr>
      </w:pPr>
    </w:p>
    <w:p>
      <w:pPr>
        <w:ind w:left="680" w:right="340" w:firstLine="399"/>
        <w:spacing w:after="0" w:line="291" w:lineRule="auto"/>
        <w:rPr>
          <w:sz w:val="20"/>
          <w:szCs w:val="20"/>
          <w:color w:val="auto"/>
        </w:rPr>
      </w:pPr>
      <w:r>
        <w:rPr>
          <w:rFonts w:ascii="Arial" w:cs="Arial" w:eastAsia="Arial" w:hAnsi="Arial"/>
          <w:sz w:val="12"/>
          <w:szCs w:val="12"/>
          <w:color w:val="auto"/>
        </w:rPr>
        <w:t>In September 2008, the Company acquired Wisor for approximately $17.6 million including acquisition costs of approximately $527. The acquisition of Wisor, a provider of software products, software based host services and professional services to telecommunication service providers, expands the Company’s products and services. The acquisition was accounted for as a purchase business combination and the results of operations of Wisor have been included in the accompanying consolidated statement of income since the date of acquisition. Goodwill associated with the acquisition of Wisor is not tax deductible. The preliminary purchase price allocation was as follows:</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7"/>
              </w:rPr>
              <w:t>At September 30,</w:t>
            </w:r>
          </w:p>
        </w:tc>
      </w:tr>
      <w:tr>
        <w:trPr>
          <w:trHeight w:val="126"/>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2008</w:t>
            </w:r>
          </w:p>
        </w:tc>
        <w:tc>
          <w:tcPr>
            <w:tcW w:w="60" w:type="dxa"/>
            <w:vAlign w:val="bottom"/>
          </w:tcPr>
          <w:p>
            <w:pPr>
              <w:spacing w:after="0"/>
              <w:rPr>
                <w:sz w:val="10"/>
                <w:szCs w:val="10"/>
                <w:color w:val="auto"/>
              </w:rPr>
            </w:pPr>
          </w:p>
        </w:tc>
      </w:tr>
      <w:tr>
        <w:trPr>
          <w:trHeight w:val="179"/>
        </w:trPr>
        <w:tc>
          <w:tcPr>
            <w:tcW w:w="8500" w:type="dxa"/>
            <w:vAlign w:val="bottom"/>
          </w:tcPr>
          <w:p>
            <w:pPr>
              <w:spacing w:after="0"/>
              <w:rPr>
                <w:sz w:val="20"/>
                <w:szCs w:val="20"/>
                <w:color w:val="auto"/>
              </w:rPr>
            </w:pPr>
            <w:r>
              <w:rPr>
                <w:rFonts w:ascii="Arial" w:cs="Arial" w:eastAsia="Arial" w:hAnsi="Arial"/>
                <w:sz w:val="13"/>
                <w:szCs w:val="13"/>
                <w:color w:val="auto"/>
              </w:rPr>
              <w:t>Net assets acquired</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1,543</w:t>
            </w:r>
          </w:p>
        </w:tc>
        <w:tc>
          <w:tcPr>
            <w:tcW w:w="60" w:type="dxa"/>
            <w:vAlign w:val="bottom"/>
          </w:tcPr>
          <w:p>
            <w:pPr>
              <w:spacing w:after="0"/>
              <w:rPr>
                <w:sz w:val="15"/>
                <w:szCs w:val="15"/>
                <w:color w:val="auto"/>
              </w:rPr>
            </w:pPr>
          </w:p>
        </w:tc>
      </w:tr>
      <w:tr>
        <w:trPr>
          <w:trHeight w:val="158"/>
        </w:trPr>
        <w:tc>
          <w:tcPr>
            <w:tcW w:w="8500" w:type="dxa"/>
            <w:vAlign w:val="bottom"/>
          </w:tcPr>
          <w:p>
            <w:pPr>
              <w:spacing w:after="0"/>
              <w:rPr>
                <w:sz w:val="20"/>
                <w:szCs w:val="20"/>
                <w:color w:val="auto"/>
              </w:rPr>
            </w:pPr>
            <w:r>
              <w:rPr>
                <w:rFonts w:ascii="Arial" w:cs="Arial" w:eastAsia="Arial" w:hAnsi="Arial"/>
                <w:sz w:val="13"/>
                <w:szCs w:val="13"/>
                <w:color w:val="auto"/>
              </w:rPr>
              <w:t>Deferred tax assets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6,110</w:t>
            </w:r>
          </w:p>
        </w:tc>
        <w:tc>
          <w:tcPr>
            <w:tcW w:w="60" w:type="dxa"/>
            <w:vAlign w:val="bottom"/>
          </w:tcPr>
          <w:p>
            <w:pPr>
              <w:spacing w:after="0"/>
              <w:rPr>
                <w:sz w:val="13"/>
                <w:szCs w:val="13"/>
                <w:color w:val="auto"/>
              </w:rPr>
            </w:pPr>
          </w:p>
        </w:tc>
      </w:tr>
      <w:tr>
        <w:trPr>
          <w:trHeight w:val="158"/>
        </w:trPr>
        <w:tc>
          <w:tcPr>
            <w:tcW w:w="8500" w:type="dxa"/>
            <w:vAlign w:val="bottom"/>
          </w:tcPr>
          <w:p>
            <w:pPr>
              <w:spacing w:after="0"/>
              <w:rPr>
                <w:sz w:val="20"/>
                <w:szCs w:val="20"/>
                <w:color w:val="auto"/>
              </w:rPr>
            </w:pPr>
            <w:r>
              <w:rPr>
                <w:rFonts w:ascii="Arial" w:cs="Arial" w:eastAsia="Arial" w:hAnsi="Arial"/>
                <w:sz w:val="13"/>
                <w:szCs w:val="13"/>
                <w:color w:val="auto"/>
              </w:rPr>
              <w:t>Intangible assets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4,049</w:t>
            </w:r>
          </w:p>
        </w:tc>
        <w:tc>
          <w:tcPr>
            <w:tcW w:w="60" w:type="dxa"/>
            <w:vAlign w:val="bottom"/>
          </w:tcPr>
          <w:p>
            <w:pPr>
              <w:spacing w:after="0"/>
              <w:rPr>
                <w:sz w:val="13"/>
                <w:szCs w:val="13"/>
                <w:color w:val="auto"/>
              </w:rPr>
            </w:pPr>
          </w:p>
        </w:tc>
      </w:tr>
      <w:tr>
        <w:trPr>
          <w:trHeight w:val="165"/>
        </w:trPr>
        <w:tc>
          <w:tcPr>
            <w:tcW w:w="8500" w:type="dxa"/>
            <w:vAlign w:val="bottom"/>
          </w:tcPr>
          <w:p>
            <w:pPr>
              <w:spacing w:after="0"/>
              <w:rPr>
                <w:sz w:val="20"/>
                <w:szCs w:val="20"/>
                <w:color w:val="auto"/>
              </w:rPr>
            </w:pPr>
            <w:r>
              <w:rPr>
                <w:rFonts w:ascii="Arial" w:cs="Arial" w:eastAsia="Arial" w:hAnsi="Arial"/>
                <w:sz w:val="13"/>
                <w:szCs w:val="13"/>
                <w:color w:val="auto"/>
              </w:rPr>
              <w:t>Goodwill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6,862</w:t>
            </w:r>
          </w:p>
        </w:tc>
        <w:tc>
          <w:tcPr>
            <w:tcW w:w="60" w:type="dxa"/>
            <w:vAlign w:val="bottom"/>
          </w:tcPr>
          <w:p>
            <w:pPr>
              <w:spacing w:after="0"/>
              <w:rPr>
                <w:sz w:val="14"/>
                <w:szCs w:val="14"/>
                <w:color w:val="auto"/>
              </w:rPr>
            </w:pPr>
          </w:p>
        </w:tc>
      </w:tr>
      <w:tr>
        <w:trPr>
          <w:trHeight w:val="158"/>
        </w:trPr>
        <w:tc>
          <w:tcPr>
            <w:tcW w:w="8500" w:type="dxa"/>
            <w:vAlign w:val="bottom"/>
          </w:tcPr>
          <w:p>
            <w:pPr>
              <w:spacing w:after="0"/>
              <w:rPr>
                <w:sz w:val="20"/>
                <w:szCs w:val="20"/>
                <w:color w:val="auto"/>
              </w:rPr>
            </w:pPr>
            <w:r>
              <w:rPr>
                <w:rFonts w:ascii="Arial" w:cs="Arial" w:eastAsia="Arial" w:hAnsi="Arial"/>
                <w:sz w:val="13"/>
                <w:szCs w:val="13"/>
                <w:color w:val="auto"/>
              </w:rPr>
              <w:t>Total assets acquired</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18,564</w:t>
            </w:r>
          </w:p>
        </w:tc>
        <w:tc>
          <w:tcPr>
            <w:tcW w:w="60" w:type="dxa"/>
            <w:vAlign w:val="bottom"/>
          </w:tcPr>
          <w:p>
            <w:pPr>
              <w:spacing w:after="0"/>
              <w:rPr>
                <w:sz w:val="13"/>
                <w:szCs w:val="13"/>
                <w:color w:val="auto"/>
              </w:rPr>
            </w:pPr>
          </w:p>
        </w:tc>
      </w:tr>
      <w:tr>
        <w:trPr>
          <w:trHeight w:val="151"/>
        </w:trPr>
        <w:tc>
          <w:tcPr>
            <w:tcW w:w="8500" w:type="dxa"/>
            <w:vAlign w:val="bottom"/>
          </w:tcPr>
          <w:p>
            <w:pPr>
              <w:spacing w:after="0"/>
              <w:rPr>
                <w:sz w:val="20"/>
                <w:szCs w:val="20"/>
                <w:color w:val="auto"/>
              </w:rPr>
            </w:pPr>
            <w:r>
              <w:rPr>
                <w:rFonts w:ascii="Arial" w:cs="Arial" w:eastAsia="Arial" w:hAnsi="Arial"/>
                <w:sz w:val="13"/>
                <w:szCs w:val="13"/>
                <w:color w:val="auto"/>
              </w:rPr>
              <w:t>Restructuring liabilities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763</w:t>
            </w:r>
          </w:p>
        </w:tc>
        <w:tc>
          <w:tcPr>
            <w:tcW w:w="60" w:type="dxa"/>
            <w:vAlign w:val="bottom"/>
          </w:tcPr>
          <w:p>
            <w:pPr>
              <w:spacing w:after="0"/>
              <w:rPr>
                <w:sz w:val="13"/>
                <w:szCs w:val="13"/>
                <w:color w:val="auto"/>
              </w:rPr>
            </w:pPr>
          </w:p>
        </w:tc>
      </w:tr>
      <w:tr>
        <w:trPr>
          <w:trHeight w:val="165"/>
        </w:trPr>
        <w:tc>
          <w:tcPr>
            <w:tcW w:w="8500" w:type="dxa"/>
            <w:vAlign w:val="bottom"/>
          </w:tcPr>
          <w:p>
            <w:pPr>
              <w:spacing w:after="0"/>
              <w:rPr>
                <w:sz w:val="20"/>
                <w:szCs w:val="20"/>
                <w:color w:val="auto"/>
              </w:rPr>
            </w:pPr>
            <w:r>
              <w:rPr>
                <w:rFonts w:ascii="Arial" w:cs="Arial" w:eastAsia="Arial" w:hAnsi="Arial"/>
                <w:sz w:val="13"/>
                <w:szCs w:val="13"/>
                <w:color w:val="auto"/>
              </w:rPr>
              <w:t>Long-term liabilities</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60" w:type="dxa"/>
            <w:vAlign w:val="bottom"/>
          </w:tcPr>
          <w:p>
            <w:pPr>
              <w:spacing w:after="0"/>
              <w:rPr>
                <w:sz w:val="14"/>
                <w:szCs w:val="14"/>
                <w:color w:val="auto"/>
              </w:rPr>
            </w:pPr>
          </w:p>
        </w:tc>
      </w:tr>
      <w:tr>
        <w:trPr>
          <w:trHeight w:val="158"/>
        </w:trPr>
        <w:tc>
          <w:tcPr>
            <w:tcW w:w="8500" w:type="dxa"/>
            <w:vAlign w:val="bottom"/>
          </w:tcPr>
          <w:p>
            <w:pPr>
              <w:spacing w:after="0"/>
              <w:rPr>
                <w:sz w:val="20"/>
                <w:szCs w:val="20"/>
                <w:color w:val="auto"/>
              </w:rPr>
            </w:pPr>
            <w:r>
              <w:rPr>
                <w:rFonts w:ascii="Arial" w:cs="Arial" w:eastAsia="Arial" w:hAnsi="Arial"/>
                <w:sz w:val="13"/>
                <w:szCs w:val="13"/>
                <w:color w:val="auto"/>
              </w:rPr>
              <w:t>Total liabilities assumed</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777</w:t>
            </w:r>
          </w:p>
        </w:tc>
        <w:tc>
          <w:tcPr>
            <w:tcW w:w="60" w:type="dxa"/>
            <w:vAlign w:val="bottom"/>
          </w:tcPr>
          <w:p>
            <w:pPr>
              <w:spacing w:after="0"/>
              <w:rPr>
                <w:sz w:val="13"/>
                <w:szCs w:val="13"/>
                <w:color w:val="auto"/>
              </w:rPr>
            </w:pPr>
          </w:p>
        </w:tc>
      </w:tr>
      <w:tr>
        <w:trPr>
          <w:trHeight w:val="169"/>
        </w:trPr>
        <w:tc>
          <w:tcPr>
            <w:tcW w:w="8500" w:type="dxa"/>
            <w:vAlign w:val="bottom"/>
          </w:tcPr>
          <w:p>
            <w:pPr>
              <w:spacing w:after="0"/>
              <w:rPr>
                <w:sz w:val="20"/>
                <w:szCs w:val="20"/>
                <w:color w:val="auto"/>
              </w:rPr>
            </w:pPr>
            <w:r>
              <w:rPr>
                <w:rFonts w:ascii="Arial" w:cs="Arial" w:eastAsia="Arial" w:hAnsi="Arial"/>
                <w:sz w:val="13"/>
                <w:szCs w:val="13"/>
                <w:color w:val="auto"/>
              </w:rPr>
              <w:t>Total net assets acquired</w:t>
            </w:r>
          </w:p>
        </w:tc>
        <w:tc>
          <w:tcPr>
            <w:tcW w:w="2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17,787</w:t>
            </w:r>
          </w:p>
        </w:tc>
        <w:tc>
          <w:tcPr>
            <w:tcW w:w="60" w:type="dxa"/>
            <w:vAlign w:val="bottom"/>
          </w:tcPr>
          <w:p>
            <w:pPr>
              <w:spacing w:after="0"/>
              <w:rPr>
                <w:sz w:val="14"/>
                <w:szCs w:val="14"/>
                <w:color w:val="auto"/>
              </w:rPr>
            </w:pPr>
          </w:p>
        </w:tc>
      </w:tr>
      <w:tr>
        <w:trPr>
          <w:trHeight w:val="256"/>
        </w:trPr>
        <w:tc>
          <w:tcPr>
            <w:tcW w:w="8500" w:type="dxa"/>
            <w:vAlign w:val="bottom"/>
          </w:tcPr>
          <w:p>
            <w:pPr>
              <w:ind w:left="400"/>
              <w:spacing w:after="0"/>
              <w:rPr>
                <w:sz w:val="20"/>
                <w:szCs w:val="20"/>
                <w:color w:val="auto"/>
              </w:rPr>
            </w:pPr>
            <w:r>
              <w:rPr>
                <w:rFonts w:ascii="Arial" w:cs="Arial" w:eastAsia="Arial" w:hAnsi="Arial"/>
                <w:sz w:val="13"/>
                <w:szCs w:val="13"/>
                <w:color w:val="auto"/>
              </w:rPr>
              <w:t>Definite-lived intangible assets consist of customer relationships and acquired technology. Intangible assets consist of the following:</w:t>
            </w: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r>
      <w:tr>
        <w:trPr>
          <w:trHeight w:val="209"/>
        </w:trPr>
        <w:tc>
          <w:tcPr>
            <w:tcW w:w="8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88"/>
              </w:rPr>
              <w:t>December 31, 2009</w:t>
            </w:r>
          </w:p>
        </w:tc>
      </w:tr>
      <w:tr>
        <w:trPr>
          <w:trHeight w:val="179"/>
        </w:trPr>
        <w:tc>
          <w:tcPr>
            <w:tcW w:w="8500" w:type="dxa"/>
            <w:vAlign w:val="bottom"/>
          </w:tcPr>
          <w:p>
            <w:pPr>
              <w:spacing w:after="0"/>
              <w:rPr>
                <w:sz w:val="20"/>
                <w:szCs w:val="20"/>
                <w:color w:val="auto"/>
              </w:rPr>
            </w:pPr>
            <w:r>
              <w:rPr>
                <w:rFonts w:ascii="Arial" w:cs="Arial" w:eastAsia="Arial" w:hAnsi="Arial"/>
                <w:sz w:val="13"/>
                <w:szCs w:val="13"/>
                <w:color w:val="auto"/>
              </w:rPr>
              <w:t>Intangible assets:</w:t>
            </w: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8"/>
        </w:trPr>
        <w:tc>
          <w:tcPr>
            <w:tcW w:w="8500" w:type="dxa"/>
            <w:vAlign w:val="bottom"/>
          </w:tcPr>
          <w:p>
            <w:pPr>
              <w:ind w:left="140"/>
              <w:spacing w:after="0"/>
              <w:rPr>
                <w:sz w:val="20"/>
                <w:szCs w:val="20"/>
                <w:color w:val="auto"/>
              </w:rPr>
            </w:pPr>
            <w:r>
              <w:rPr>
                <w:rFonts w:ascii="Arial" w:cs="Arial" w:eastAsia="Arial" w:hAnsi="Arial"/>
                <w:sz w:val="13"/>
                <w:szCs w:val="13"/>
                <w:color w:val="auto"/>
              </w:rPr>
              <w:t>Customer lists and relationships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3,249</w:t>
            </w:r>
          </w:p>
        </w:tc>
        <w:tc>
          <w:tcPr>
            <w:tcW w:w="60" w:type="dxa"/>
            <w:vAlign w:val="bottom"/>
          </w:tcPr>
          <w:p>
            <w:pPr>
              <w:spacing w:after="0"/>
              <w:rPr>
                <w:sz w:val="13"/>
                <w:szCs w:val="13"/>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Accumulated 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(1,061)</w:t>
            </w:r>
          </w:p>
        </w:tc>
      </w:tr>
      <w:tr>
        <w:trPr>
          <w:trHeight w:val="158"/>
        </w:trPr>
        <w:tc>
          <w:tcPr>
            <w:tcW w:w="8500" w:type="dxa"/>
            <w:vAlign w:val="bottom"/>
          </w:tcPr>
          <w:p>
            <w:pPr>
              <w:ind w:left="140"/>
              <w:spacing w:after="0"/>
              <w:rPr>
                <w:sz w:val="20"/>
                <w:szCs w:val="20"/>
                <w:color w:val="auto"/>
              </w:rPr>
            </w:pPr>
            <w:r>
              <w:rPr>
                <w:rFonts w:ascii="Arial" w:cs="Arial" w:eastAsia="Arial" w:hAnsi="Arial"/>
                <w:sz w:val="13"/>
                <w:szCs w:val="13"/>
                <w:color w:val="auto"/>
              </w:rPr>
              <w:t>Customer lists and relationships, net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2,188</w:t>
            </w:r>
          </w:p>
        </w:tc>
        <w:tc>
          <w:tcPr>
            <w:tcW w:w="60" w:type="dxa"/>
            <w:vAlign w:val="bottom"/>
          </w:tcPr>
          <w:p>
            <w:pPr>
              <w:spacing w:after="0"/>
              <w:rPr>
                <w:sz w:val="13"/>
                <w:szCs w:val="13"/>
                <w:color w:val="auto"/>
              </w:rPr>
            </w:pPr>
          </w:p>
        </w:tc>
      </w:tr>
      <w:tr>
        <w:trPr>
          <w:trHeight w:val="151"/>
        </w:trPr>
        <w:tc>
          <w:tcPr>
            <w:tcW w:w="8500" w:type="dxa"/>
            <w:vAlign w:val="bottom"/>
          </w:tcPr>
          <w:p>
            <w:pPr>
              <w:ind w:left="140"/>
              <w:spacing w:after="0"/>
              <w:rPr>
                <w:sz w:val="20"/>
                <w:szCs w:val="20"/>
                <w:color w:val="auto"/>
              </w:rPr>
            </w:pPr>
            <w:r>
              <w:rPr>
                <w:rFonts w:ascii="Arial" w:cs="Arial" w:eastAsia="Arial" w:hAnsi="Arial"/>
                <w:sz w:val="13"/>
                <w:szCs w:val="13"/>
                <w:color w:val="auto"/>
              </w:rPr>
              <w:t>Acquired technology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800</w:t>
            </w:r>
          </w:p>
        </w:tc>
        <w:tc>
          <w:tcPr>
            <w:tcW w:w="60" w:type="dxa"/>
            <w:vAlign w:val="bottom"/>
          </w:tcPr>
          <w:p>
            <w:pPr>
              <w:spacing w:after="0"/>
              <w:rPr>
                <w:sz w:val="13"/>
                <w:szCs w:val="13"/>
                <w:color w:val="auto"/>
              </w:rPr>
            </w:pP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Accumulated amortization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(261)</w:t>
            </w:r>
          </w:p>
        </w:tc>
      </w:tr>
      <w:tr>
        <w:trPr>
          <w:trHeight w:val="158"/>
        </w:trPr>
        <w:tc>
          <w:tcPr>
            <w:tcW w:w="8500" w:type="dxa"/>
            <w:vAlign w:val="bottom"/>
          </w:tcPr>
          <w:p>
            <w:pPr>
              <w:ind w:left="140"/>
              <w:spacing w:after="0"/>
              <w:rPr>
                <w:sz w:val="20"/>
                <w:szCs w:val="20"/>
                <w:color w:val="auto"/>
              </w:rPr>
            </w:pPr>
            <w:r>
              <w:rPr>
                <w:rFonts w:ascii="Arial" w:cs="Arial" w:eastAsia="Arial" w:hAnsi="Arial"/>
                <w:sz w:val="13"/>
                <w:szCs w:val="13"/>
                <w:color w:val="auto"/>
              </w:rPr>
              <w:t>Acquired technology, net</w:t>
            </w:r>
          </w:p>
        </w:tc>
        <w:tc>
          <w:tcPr>
            <w:tcW w:w="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539</w:t>
            </w:r>
          </w:p>
        </w:tc>
        <w:tc>
          <w:tcPr>
            <w:tcW w:w="60" w:type="dxa"/>
            <w:vAlign w:val="bottom"/>
          </w:tcPr>
          <w:p>
            <w:pPr>
              <w:spacing w:after="0"/>
              <w:rPr>
                <w:sz w:val="13"/>
                <w:szCs w:val="13"/>
                <w:color w:val="auto"/>
              </w:rPr>
            </w:pPr>
          </w:p>
        </w:tc>
      </w:tr>
      <w:tr>
        <w:trPr>
          <w:trHeight w:val="169"/>
        </w:trPr>
        <w:tc>
          <w:tcPr>
            <w:tcW w:w="8500" w:type="dxa"/>
            <w:vAlign w:val="bottom"/>
          </w:tcPr>
          <w:p>
            <w:pPr>
              <w:ind w:left="140"/>
              <w:spacing w:after="0"/>
              <w:rPr>
                <w:sz w:val="20"/>
                <w:szCs w:val="20"/>
                <w:color w:val="auto"/>
              </w:rPr>
            </w:pPr>
            <w:r>
              <w:rPr>
                <w:rFonts w:ascii="Arial" w:cs="Arial" w:eastAsia="Arial" w:hAnsi="Arial"/>
                <w:sz w:val="13"/>
                <w:szCs w:val="13"/>
                <w:color w:val="auto"/>
              </w:rPr>
              <w:t>Intangible assets,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2,727</w:t>
            </w:r>
          </w:p>
        </w:tc>
        <w:tc>
          <w:tcPr>
            <w:tcW w:w="60" w:type="dxa"/>
            <w:vAlign w:val="bottom"/>
          </w:tcPr>
          <w:p>
            <w:pPr>
              <w:spacing w:after="0"/>
              <w:rPr>
                <w:sz w:val="14"/>
                <w:szCs w:val="14"/>
                <w:color w:val="auto"/>
              </w:rPr>
            </w:pPr>
          </w:p>
        </w:tc>
      </w:tr>
    </w:tbl>
    <w:p>
      <w:pPr>
        <w:spacing w:after="0" w:line="90" w:lineRule="exact"/>
        <w:rPr>
          <w:sz w:val="20"/>
          <w:szCs w:val="20"/>
          <w:color w:val="auto"/>
        </w:rPr>
      </w:pPr>
    </w:p>
    <w:p>
      <w:pPr>
        <w:ind w:left="680" w:right="40" w:firstLine="399"/>
        <w:spacing w:after="0" w:line="266" w:lineRule="auto"/>
        <w:rPr>
          <w:sz w:val="20"/>
          <w:szCs w:val="20"/>
          <w:color w:val="auto"/>
        </w:rPr>
      </w:pPr>
      <w:r>
        <w:rPr>
          <w:rFonts w:ascii="Arial" w:cs="Arial" w:eastAsia="Arial" w:hAnsi="Arial"/>
          <w:sz w:val="13"/>
          <w:szCs w:val="13"/>
          <w:color w:val="auto"/>
        </w:rPr>
        <w:t>The Company is amortizing the value of the customer relationships and acquired technology on a straight-line basis over an estimated useful life of 4 years. The Company’s amortization expense is expected to be approximately $1.0 million in 2010 and 2011 declining to $0.7 million by 2012. Amortization expense related to intangible assets, which is included in depreciation and amortization expense, was approximately $853 and $469 for the years ended December 31, 2009 and 2008, respectively.</w:t>
      </w:r>
    </w:p>
    <w:p>
      <w:pPr>
        <w:spacing w:after="0" w:line="27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As of December 31, 2009, prior to the end of the purchase price allocation period, the Company finalized its purchase price allocation which impacted goodwill. The change in the carrying amount of goodwill for the year ended December 31, 2009 is as follows:</w:t>
      </w:r>
    </w:p>
    <w:p>
      <w:pPr>
        <w:spacing w:after="0" w:line="68"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7280" w:type="dxa"/>
            <w:vAlign w:val="bottom"/>
          </w:tcPr>
          <w:p>
            <w:pPr>
              <w:spacing w:after="0"/>
              <w:rPr>
                <w:sz w:val="20"/>
                <w:szCs w:val="20"/>
                <w:color w:val="auto"/>
              </w:rPr>
            </w:pPr>
            <w:r>
              <w:rPr>
                <w:rFonts w:ascii="Arial" w:cs="Arial" w:eastAsia="Arial" w:hAnsi="Arial"/>
                <w:sz w:val="13"/>
                <w:szCs w:val="13"/>
                <w:color w:val="auto"/>
              </w:rPr>
              <w:t>Balance at December 31, 2008</w:t>
            </w:r>
          </w:p>
        </w:tc>
        <w:tc>
          <w:tcPr>
            <w:tcW w:w="2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6,862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280" w:type="dxa"/>
            <w:vAlign w:val="bottom"/>
          </w:tcPr>
          <w:p>
            <w:pPr>
              <w:spacing w:after="0"/>
              <w:rPr>
                <w:sz w:val="20"/>
                <w:szCs w:val="20"/>
                <w:color w:val="auto"/>
              </w:rPr>
            </w:pPr>
            <w:r>
              <w:rPr>
                <w:rFonts w:ascii="Arial" w:cs="Arial" w:eastAsia="Arial" w:hAnsi="Arial"/>
                <w:sz w:val="13"/>
                <w:szCs w:val="13"/>
                <w:color w:val="auto"/>
              </w:rPr>
              <w:t>Purchase price allocation adjustments</w:t>
            </w:r>
          </w:p>
        </w:tc>
        <w:tc>
          <w:tcPr>
            <w:tcW w:w="2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80" w:type="dxa"/>
            <w:vAlign w:val="bottom"/>
          </w:tcPr>
          <w:p>
            <w:pPr>
              <w:spacing w:after="0"/>
              <w:rPr>
                <w:sz w:val="20"/>
                <w:szCs w:val="20"/>
                <w:color w:val="auto"/>
              </w:rPr>
            </w:pPr>
            <w:r>
              <w:rPr>
                <w:rFonts w:ascii="Arial" w:cs="Arial" w:eastAsia="Arial" w:hAnsi="Arial"/>
                <w:sz w:val="13"/>
                <w:szCs w:val="13"/>
                <w:color w:val="auto"/>
              </w:rPr>
              <w:t>Balance at December 31, 2009</w:t>
            </w:r>
          </w:p>
        </w:tc>
        <w:tc>
          <w:tcPr>
            <w:tcW w:w="2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6,911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280" w:type="dxa"/>
            <w:vAlign w:val="bottom"/>
          </w:tcPr>
          <w:p>
            <w:pPr>
              <w:ind w:left="400"/>
              <w:spacing w:after="0"/>
              <w:rPr>
                <w:sz w:val="20"/>
                <w:szCs w:val="20"/>
                <w:color w:val="auto"/>
              </w:rPr>
            </w:pPr>
            <w:r>
              <w:rPr>
                <w:rFonts w:ascii="Arial" w:cs="Arial" w:eastAsia="Arial" w:hAnsi="Arial"/>
                <w:sz w:val="13"/>
                <w:szCs w:val="13"/>
                <w:color w:val="auto"/>
              </w:rPr>
              <w:t>The change in restructuring liabilities for the year ended December 31, 2009 is as follows:</w:t>
            </w:r>
          </w:p>
        </w:tc>
        <w:tc>
          <w:tcPr>
            <w:tcW w:w="2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280" w:type="dxa"/>
            <w:vAlign w:val="bottom"/>
          </w:tcPr>
          <w:p>
            <w:pPr>
              <w:spacing w:after="0"/>
              <w:rPr>
                <w:sz w:val="20"/>
                <w:szCs w:val="20"/>
                <w:color w:val="auto"/>
              </w:rPr>
            </w:pPr>
            <w:r>
              <w:rPr>
                <w:rFonts w:ascii="Arial" w:cs="Arial" w:eastAsia="Arial" w:hAnsi="Arial"/>
                <w:sz w:val="13"/>
                <w:szCs w:val="13"/>
                <w:color w:val="auto"/>
              </w:rPr>
              <w:t>Balance at December 31, 2008</w:t>
            </w:r>
          </w:p>
        </w:tc>
        <w:tc>
          <w:tcPr>
            <w:tcW w:w="2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704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7280" w:type="dxa"/>
            <w:vAlign w:val="bottom"/>
          </w:tcPr>
          <w:p>
            <w:pPr>
              <w:spacing w:after="0"/>
              <w:rPr>
                <w:sz w:val="20"/>
                <w:szCs w:val="20"/>
                <w:color w:val="auto"/>
              </w:rPr>
            </w:pPr>
            <w:r>
              <w:rPr>
                <w:rFonts w:ascii="Arial" w:cs="Arial" w:eastAsia="Arial" w:hAnsi="Arial"/>
                <w:sz w:val="13"/>
                <w:szCs w:val="13"/>
                <w:color w:val="auto"/>
              </w:rPr>
              <w:t>Less: payments</w:t>
            </w:r>
          </w:p>
        </w:tc>
        <w:tc>
          <w:tcPr>
            <w:tcW w:w="2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67"/>
        </w:trPr>
        <w:tc>
          <w:tcPr>
            <w:tcW w:w="7280" w:type="dxa"/>
            <w:vAlign w:val="bottom"/>
          </w:tcPr>
          <w:p>
            <w:pPr>
              <w:spacing w:after="0"/>
              <w:rPr>
                <w:sz w:val="20"/>
                <w:szCs w:val="20"/>
                <w:color w:val="auto"/>
              </w:rPr>
            </w:pPr>
            <w:r>
              <w:rPr>
                <w:rFonts w:ascii="Arial" w:cs="Arial" w:eastAsia="Arial" w:hAnsi="Arial"/>
                <w:sz w:val="13"/>
                <w:szCs w:val="13"/>
                <w:color w:val="auto"/>
              </w:rPr>
              <w:t>Balance at December 31, 2009</w:t>
            </w:r>
          </w:p>
        </w:tc>
        <w:tc>
          <w:tcPr>
            <w:tcW w:w="2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3"/>
                <w:szCs w:val="13"/>
                <w:color w:val="auto"/>
              </w:rPr>
              <w:t>Current</w:t>
            </w:r>
          </w:p>
        </w:tc>
        <w:tc>
          <w:tcPr>
            <w:tcW w:w="2300" w:type="dxa"/>
            <w:vAlign w:val="bottom"/>
            <w:tcBorders>
              <w:right w:val="single" w:sz="8" w:color="auto"/>
            </w:tcBorders>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280" w:type="dxa"/>
            <w:vAlign w:val="bottom"/>
            <w:vMerge w:val="continue"/>
          </w:tcPr>
          <w:p>
            <w:pPr>
              <w:spacing w:after="0"/>
              <w:rPr>
                <w:sz w:val="12"/>
                <w:szCs w:val="12"/>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280" w:type="dxa"/>
            <w:vAlign w:val="bottom"/>
          </w:tcPr>
          <w:p>
            <w:pPr>
              <w:spacing w:after="0"/>
              <w:rPr>
                <w:sz w:val="20"/>
                <w:szCs w:val="20"/>
                <w:color w:val="auto"/>
              </w:rPr>
            </w:pPr>
            <w:r>
              <w:rPr>
                <w:rFonts w:ascii="Arial" w:cs="Arial" w:eastAsia="Arial" w:hAnsi="Arial"/>
                <w:sz w:val="13"/>
                <w:szCs w:val="13"/>
                <w:color w:val="auto"/>
              </w:rPr>
              <w:t>Long-term</w:t>
            </w:r>
          </w:p>
        </w:tc>
        <w:tc>
          <w:tcPr>
            <w:tcW w:w="2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7280" w:type="dxa"/>
            <w:vAlign w:val="bottom"/>
          </w:tcPr>
          <w:p>
            <w:pPr>
              <w:spacing w:after="0"/>
              <w:rPr>
                <w:sz w:val="20"/>
                <w:szCs w:val="20"/>
                <w:color w:val="auto"/>
              </w:rPr>
            </w:pPr>
            <w:r>
              <w:rPr>
                <w:rFonts w:ascii="Arial" w:cs="Arial" w:eastAsia="Arial" w:hAnsi="Arial"/>
                <w:sz w:val="13"/>
                <w:szCs w:val="13"/>
                <w:color w:val="auto"/>
              </w:rPr>
              <w:t>Balance at December 31, 2009</w:t>
            </w:r>
          </w:p>
        </w:tc>
        <w:tc>
          <w:tcPr>
            <w:tcW w:w="2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rPr>
              <w:t>491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7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had no acquisitions during 2009.</w:t>
      </w:r>
    </w:p>
    <w:p>
      <w:pPr>
        <w:spacing w:after="0" w:line="173" w:lineRule="exact"/>
        <w:rPr>
          <w:sz w:val="20"/>
          <w:szCs w:val="20"/>
          <w:color w:val="auto"/>
        </w:rPr>
      </w:pPr>
    </w:p>
    <w:p>
      <w:pPr>
        <w:ind w:left="1000" w:hanging="313"/>
        <w:spacing w:after="0"/>
        <w:tabs>
          <w:tab w:leader="none" w:pos="100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Fair Value Measurements of Cash, Cash Equivalents and Marketable Securities</w:t>
      </w:r>
    </w:p>
    <w:p>
      <w:pPr>
        <w:spacing w:after="0" w:line="102"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The Company classifies marketable securities as available-for-sale. The fair value hierarchy established in the standard prioritizes the inputs used in valuation techniques into three levels as follows:</w:t>
      </w:r>
    </w:p>
    <w:p>
      <w:pPr>
        <w:spacing w:after="0" w:line="58" w:lineRule="exact"/>
        <w:rPr>
          <w:sz w:val="20"/>
          <w:szCs w:val="20"/>
          <w:color w:val="auto"/>
        </w:rPr>
      </w:pPr>
    </w:p>
    <w:p>
      <w:pPr>
        <w:ind w:left="1300" w:hanging="207"/>
        <w:spacing w:after="0"/>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Level 1 — Observable inputs — quoted prices in active markets for identical assets and liabilities;</w:t>
      </w:r>
    </w:p>
    <w:p>
      <w:pPr>
        <w:spacing w:after="0" w:line="87" w:lineRule="exact"/>
        <w:rPr>
          <w:rFonts w:ascii="Arial" w:cs="Arial" w:eastAsia="Arial" w:hAnsi="Arial"/>
          <w:sz w:val="13"/>
          <w:szCs w:val="13"/>
          <w:color w:val="auto"/>
        </w:rPr>
      </w:pPr>
    </w:p>
    <w:p>
      <w:pPr>
        <w:ind w:left="1300" w:right="20" w:hanging="207"/>
        <w:spacing w:after="0" w:line="322" w:lineRule="auto"/>
        <w:tabs>
          <w:tab w:leader="none" w:pos="13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Level 2 — Observable inputs other than the quoted prices in active markets for identical assets and liabilities — includes quoted prices for similar instruments, quoted prices for identical or similar instruments in inactive markets, and amounts derived from valuation models where all significant inputs are observable in active markets; and</w:t>
      </w:r>
    </w:p>
    <w:p>
      <w:pPr>
        <w:spacing w:after="0" w:line="25" w:lineRule="exact"/>
        <w:rPr>
          <w:rFonts w:ascii="Arial" w:cs="Arial" w:eastAsia="Arial" w:hAnsi="Arial"/>
          <w:sz w:val="12"/>
          <w:szCs w:val="12"/>
          <w:color w:val="auto"/>
        </w:rPr>
      </w:pPr>
    </w:p>
    <w:p>
      <w:pPr>
        <w:ind w:left="1300" w:right="20" w:hanging="207"/>
        <w:spacing w:after="0" w:line="279" w:lineRule="auto"/>
        <w:tabs>
          <w:tab w:leader="none" w:pos="13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Level 3 — Unobservable inputs — includes amounts derived from valuation models where one or more significant inputs are unobservable and require the Company to develop relevant assumptions.</w:t>
      </w:r>
    </w:p>
    <w:p>
      <w:pPr>
        <w:spacing w:after="0" w:line="5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summary of cash, cash equivalents and marketable securities held by the Company and their related classifications under the fair value hierarchy:</w:t>
      </w:r>
    </w:p>
    <w:p>
      <w:pPr>
        <w:spacing w:after="0" w:line="8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39"/>
              <w:spacing w:after="0"/>
              <w:rPr>
                <w:sz w:val="20"/>
                <w:szCs w:val="20"/>
                <w:color w:val="auto"/>
              </w:rPr>
            </w:pPr>
            <w:r>
              <w:rPr>
                <w:rFonts w:ascii="Arial" w:cs="Arial" w:eastAsia="Arial" w:hAnsi="Arial"/>
                <w:sz w:val="11"/>
                <w:szCs w:val="11"/>
                <w:b w:val="1"/>
                <w:bCs w:val="1"/>
                <w:color w:val="auto"/>
                <w:w w:val="92"/>
              </w:rPr>
              <w:t>December 31,</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right"/>
              <w:ind w:right="139"/>
              <w:spacing w:after="0"/>
              <w:rPr>
                <w:sz w:val="20"/>
                <w:szCs w:val="20"/>
                <w:color w:val="auto"/>
              </w:rPr>
            </w:pPr>
            <w:r>
              <w:rPr>
                <w:rFonts w:ascii="Arial" w:cs="Arial" w:eastAsia="Arial" w:hAnsi="Arial"/>
                <w:sz w:val="11"/>
                <w:szCs w:val="11"/>
                <w:b w:val="1"/>
                <w:bCs w:val="1"/>
                <w:color w:val="auto"/>
                <w:w w:val="92"/>
              </w:rPr>
              <w:t>December 31,</w:t>
            </w:r>
          </w:p>
        </w:tc>
      </w:tr>
      <w:tr>
        <w:trPr>
          <w:trHeight w:val="126"/>
        </w:trPr>
        <w:tc>
          <w:tcPr>
            <w:tcW w:w="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2009</w:t>
            </w:r>
          </w:p>
        </w:tc>
        <w:tc>
          <w:tcPr>
            <w:tcW w:w="3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1"/>
                <w:szCs w:val="11"/>
                <w:b w:val="1"/>
                <w:bCs w:val="1"/>
                <w:color w:val="auto"/>
              </w:rPr>
              <w:t>2008</w:t>
            </w:r>
          </w:p>
        </w:tc>
      </w:tr>
      <w:tr>
        <w:trPr>
          <w:trHeight w:val="179"/>
        </w:trPr>
        <w:tc>
          <w:tcPr>
            <w:tcW w:w="7040" w:type="dxa"/>
            <w:vAlign w:val="bottom"/>
            <w:gridSpan w:val="3"/>
          </w:tcPr>
          <w:p>
            <w:pPr>
              <w:spacing w:after="0"/>
              <w:rPr>
                <w:sz w:val="20"/>
                <w:szCs w:val="20"/>
                <w:color w:val="auto"/>
              </w:rPr>
            </w:pPr>
            <w:r>
              <w:rPr>
                <w:rFonts w:ascii="Arial" w:cs="Arial" w:eastAsia="Arial" w:hAnsi="Arial"/>
                <w:sz w:val="13"/>
                <w:szCs w:val="13"/>
                <w:color w:val="auto"/>
              </w:rPr>
              <w:t>Level 1(A)</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89,924</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72,203</w:t>
            </w:r>
          </w:p>
        </w:tc>
      </w:tr>
      <w:tr>
        <w:trPr>
          <w:trHeight w:val="165"/>
        </w:trPr>
        <w:tc>
          <w:tcPr>
            <w:tcW w:w="7040" w:type="dxa"/>
            <w:vAlign w:val="bottom"/>
            <w:gridSpan w:val="3"/>
          </w:tcPr>
          <w:p>
            <w:pPr>
              <w:spacing w:after="0"/>
              <w:rPr>
                <w:sz w:val="20"/>
                <w:szCs w:val="20"/>
                <w:color w:val="auto"/>
              </w:rPr>
            </w:pPr>
            <w:r>
              <w:rPr>
                <w:rFonts w:ascii="Arial" w:cs="Arial" w:eastAsia="Arial" w:hAnsi="Arial"/>
                <w:sz w:val="13"/>
                <w:szCs w:val="13"/>
                <w:color w:val="auto"/>
              </w:rPr>
              <w:t>Level 2(B)</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7,760</w:t>
            </w: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6,560</w:t>
            </w:r>
          </w:p>
        </w:tc>
      </w:tr>
      <w:tr>
        <w:trPr>
          <w:trHeight w:val="169"/>
        </w:trPr>
        <w:tc>
          <w:tcPr>
            <w:tcW w:w="20" w:type="dxa"/>
            <w:vAlign w:val="bottom"/>
          </w:tcPr>
          <w:p>
            <w:pPr>
              <w:spacing w:after="0"/>
              <w:rPr>
                <w:sz w:val="14"/>
                <w:szCs w:val="14"/>
                <w:color w:val="auto"/>
              </w:rPr>
            </w:pPr>
          </w:p>
        </w:tc>
        <w:tc>
          <w:tcPr>
            <w:tcW w:w="7020" w:type="dxa"/>
            <w:vAlign w:val="bottom"/>
            <w:gridSpan w:val="2"/>
          </w:tcPr>
          <w:p>
            <w:pPr>
              <w:ind w:left="120"/>
              <w:spacing w:after="0"/>
              <w:rPr>
                <w:sz w:val="20"/>
                <w:szCs w:val="20"/>
                <w:color w:val="auto"/>
              </w:rPr>
            </w:pPr>
            <w:r>
              <w:rPr>
                <w:rFonts w:ascii="Arial" w:cs="Arial" w:eastAsia="Arial" w:hAnsi="Arial"/>
                <w:sz w:val="13"/>
                <w:szCs w:val="13"/>
                <w:color w:val="auto"/>
              </w:rPr>
              <w:t>Total</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97,684</w:t>
            </w: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78,763</w:t>
            </w:r>
          </w:p>
        </w:tc>
      </w:tr>
      <w:tr>
        <w:trPr>
          <w:trHeight w:val="109"/>
        </w:trPr>
        <w:tc>
          <w:tcPr>
            <w:tcW w:w="2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574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r>
    </w:tbl>
    <w:p>
      <w:pPr>
        <w:spacing w:after="0" w:line="41" w:lineRule="exact"/>
        <w:rPr>
          <w:sz w:val="20"/>
          <w:szCs w:val="20"/>
          <w:color w:val="auto"/>
        </w:rPr>
      </w:pPr>
    </w:p>
    <w:p>
      <w:pPr>
        <w:ind w:left="1100" w:hanging="413"/>
        <w:spacing w:after="0"/>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Level 1 assets include money market funds which are classified as cash equivalents.</w:t>
      </w:r>
    </w:p>
    <w:p>
      <w:pPr>
        <w:spacing w:after="0" w:line="48" w:lineRule="exact"/>
        <w:rPr>
          <w:rFonts w:ascii="Arial" w:cs="Arial" w:eastAsia="Arial" w:hAnsi="Arial"/>
          <w:sz w:val="13"/>
          <w:szCs w:val="13"/>
          <w:color w:val="auto"/>
        </w:rPr>
      </w:pPr>
    </w:p>
    <w:p>
      <w:pPr>
        <w:ind w:left="1100" w:hanging="413"/>
        <w:spacing w:after="0"/>
        <w:tabs>
          <w:tab w:leader="none" w:pos="11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Level 2 assets include certificates of deposit which are classified as marketable securities.</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3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349"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aggregate fair value of available for sale securities and aggregate amount of unrealized gains and losses for available for sale securities at December 31, 2009 were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Aggregate</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09"/>
        </w:trPr>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gridSpan w:val="2"/>
          </w:tcPr>
          <w:p>
            <w:pPr>
              <w:spacing w:after="0" w:line="109" w:lineRule="exact"/>
              <w:rPr>
                <w:sz w:val="20"/>
                <w:szCs w:val="20"/>
                <w:color w:val="auto"/>
              </w:rPr>
            </w:pPr>
            <w:r>
              <w:rPr>
                <w:rFonts w:ascii="Arial" w:cs="Arial" w:eastAsia="Arial" w:hAnsi="Arial"/>
                <w:sz w:val="11"/>
                <w:szCs w:val="11"/>
                <w:b w:val="1"/>
                <w:bCs w:val="1"/>
                <w:color w:val="auto"/>
              </w:rPr>
              <w:t>Amount of</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Aggregate</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Unrealized</w:t>
            </w:r>
          </w:p>
        </w:tc>
        <w:tc>
          <w:tcPr>
            <w:tcW w:w="2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9"/>
        </w:trPr>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9" w:lineRule="exact"/>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4"/>
              </w:rPr>
              <w:t>Gains</w:t>
            </w:r>
          </w:p>
        </w:tc>
        <w:tc>
          <w:tcPr>
            <w:tcW w:w="400" w:type="dxa"/>
            <w:vAlign w:val="bottom"/>
          </w:tcPr>
          <w:p>
            <w:pPr>
              <w:spacing w:after="0"/>
              <w:rPr>
                <w:sz w:val="8"/>
                <w:szCs w:val="8"/>
                <w:color w:val="auto"/>
              </w:rPr>
            </w:pPr>
          </w:p>
        </w:tc>
        <w:tc>
          <w:tcPr>
            <w:tcW w:w="380" w:type="dxa"/>
            <w:vAlign w:val="bottom"/>
            <w:tcBorders>
              <w:bottom w:val="single" w:sz="8" w:color="auto"/>
            </w:tcBorders>
            <w:gridSpan w:val="2"/>
          </w:tcPr>
          <w:p>
            <w:pPr>
              <w:ind w:left="40"/>
              <w:spacing w:after="0" w:line="99" w:lineRule="exact"/>
              <w:rPr>
                <w:sz w:val="20"/>
                <w:szCs w:val="20"/>
                <w:color w:val="auto"/>
              </w:rPr>
            </w:pPr>
            <w:r>
              <w:rPr>
                <w:rFonts w:ascii="Arial" w:cs="Arial" w:eastAsia="Arial" w:hAnsi="Arial"/>
                <w:sz w:val="11"/>
                <w:szCs w:val="11"/>
                <w:b w:val="1"/>
                <w:bCs w:val="1"/>
                <w:color w:val="auto"/>
                <w:w w:val="84"/>
              </w:rPr>
              <w:t>Losses</w:t>
            </w:r>
          </w:p>
        </w:tc>
        <w:tc>
          <w:tcPr>
            <w:tcW w:w="60" w:type="dxa"/>
            <w:vAlign w:val="bottom"/>
          </w:tcPr>
          <w:p>
            <w:pPr>
              <w:spacing w:after="0"/>
              <w:rPr>
                <w:sz w:val="8"/>
                <w:szCs w:val="8"/>
                <w:color w:val="auto"/>
              </w:rPr>
            </w:pPr>
          </w:p>
        </w:tc>
      </w:tr>
      <w:tr>
        <w:trPr>
          <w:trHeight w:val="179"/>
        </w:trPr>
        <w:tc>
          <w:tcPr>
            <w:tcW w:w="7700" w:type="dxa"/>
            <w:vAlign w:val="bottom"/>
          </w:tcPr>
          <w:p>
            <w:pPr>
              <w:spacing w:after="0"/>
              <w:rPr>
                <w:sz w:val="20"/>
                <w:szCs w:val="20"/>
                <w:color w:val="auto"/>
              </w:rPr>
            </w:pPr>
            <w:r>
              <w:rPr>
                <w:rFonts w:ascii="Arial" w:cs="Arial" w:eastAsia="Arial" w:hAnsi="Arial"/>
                <w:sz w:val="13"/>
                <w:szCs w:val="13"/>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2,558</w:t>
            </w:r>
          </w:p>
        </w:tc>
        <w:tc>
          <w:tcPr>
            <w:tcW w:w="52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43</w:t>
            </w:r>
          </w:p>
        </w:tc>
        <w:tc>
          <w:tcPr>
            <w:tcW w:w="58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6"/>
        </w:trPr>
        <w:tc>
          <w:tcPr>
            <w:tcW w:w="7700" w:type="dxa"/>
            <w:vAlign w:val="bottom"/>
          </w:tcPr>
          <w:p>
            <w:pPr>
              <w:spacing w:after="0"/>
              <w:rPr>
                <w:sz w:val="20"/>
                <w:szCs w:val="20"/>
                <w:color w:val="auto"/>
              </w:rPr>
            </w:pPr>
            <w:r>
              <w:rPr>
                <w:rFonts w:ascii="Arial" w:cs="Arial" w:eastAsia="Arial" w:hAnsi="Arial"/>
                <w:sz w:val="13"/>
                <w:szCs w:val="13"/>
                <w:color w:val="auto"/>
              </w:rPr>
              <w:t>Due after one year, less than five years</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5,202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48</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20"/>
        </w:trPr>
        <w:tc>
          <w:tcPr>
            <w:tcW w:w="7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77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7,760</w:t>
            </w:r>
          </w:p>
        </w:tc>
        <w:tc>
          <w:tcPr>
            <w:tcW w:w="52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91</w:t>
            </w:r>
          </w:p>
        </w:tc>
        <w:tc>
          <w:tcPr>
            <w:tcW w:w="58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r>
      <w:tr>
        <w:trPr>
          <w:trHeight w:val="30"/>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aggregate fair value of available for sale securities and aggregate amount of unrealized gains and losses for available for sale securities at December 31, 2008 were as follows:</w:t>
      </w:r>
    </w:p>
    <w:p>
      <w:pPr>
        <w:spacing w:after="0" w:line="105"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80" w:type="dxa"/>
            <w:vAlign w:val="bottom"/>
            <w:gridSpan w:val="5"/>
          </w:tcPr>
          <w:p>
            <w:pPr>
              <w:ind w:left="60"/>
              <w:spacing w:after="0"/>
              <w:rPr>
                <w:sz w:val="20"/>
                <w:szCs w:val="20"/>
                <w:color w:val="auto"/>
              </w:rPr>
            </w:pPr>
            <w:r>
              <w:rPr>
                <w:rFonts w:ascii="Arial" w:cs="Arial" w:eastAsia="Arial" w:hAnsi="Arial"/>
                <w:sz w:val="11"/>
                <w:szCs w:val="11"/>
                <w:b w:val="1"/>
                <w:bCs w:val="1"/>
                <w:color w:val="auto"/>
                <w:w w:val="88"/>
              </w:rPr>
              <w:t>Aggregate Amount of</w:t>
            </w:r>
          </w:p>
        </w:tc>
      </w:tr>
      <w:tr>
        <w:trPr>
          <w:trHeight w:val="126"/>
        </w:trPr>
        <w:tc>
          <w:tcPr>
            <w:tcW w:w="7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Aggregate</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1"/>
                <w:szCs w:val="11"/>
                <w:b w:val="1"/>
                <w:bCs w:val="1"/>
                <w:color w:val="auto"/>
                <w:w w:val="82"/>
              </w:rPr>
              <w:t>Unrealized</w:t>
            </w:r>
          </w:p>
        </w:tc>
        <w:tc>
          <w:tcPr>
            <w:tcW w:w="200" w:type="dxa"/>
            <w:vAlign w:val="bottom"/>
            <w:tcBorders>
              <w:bottom w:val="single" w:sz="8" w:color="auto"/>
            </w:tcBorders>
          </w:tcPr>
          <w:p>
            <w:pPr>
              <w:spacing w:after="0"/>
              <w:rPr>
                <w:sz w:val="10"/>
                <w:szCs w:val="10"/>
                <w:color w:val="auto"/>
              </w:rPr>
            </w:pPr>
          </w:p>
        </w:tc>
      </w:tr>
      <w:tr>
        <w:trPr>
          <w:trHeight w:val="99"/>
        </w:trPr>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ind w:left="20"/>
              <w:spacing w:after="0" w:line="99" w:lineRule="exact"/>
              <w:rPr>
                <w:sz w:val="20"/>
                <w:szCs w:val="20"/>
                <w:color w:val="auto"/>
              </w:rPr>
            </w:pPr>
            <w:r>
              <w:rPr>
                <w:rFonts w:ascii="Arial" w:cs="Arial" w:eastAsia="Arial" w:hAnsi="Arial"/>
                <w:sz w:val="11"/>
                <w:szCs w:val="11"/>
                <w:b w:val="1"/>
                <w:bCs w:val="1"/>
                <w:color w:val="auto"/>
              </w:rPr>
              <w:t>Fair Value</w:t>
            </w:r>
          </w:p>
        </w:tc>
        <w:tc>
          <w:tcPr>
            <w:tcW w:w="40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4"/>
              </w:rPr>
              <w:t>Gains</w:t>
            </w:r>
          </w:p>
        </w:tc>
        <w:tc>
          <w:tcPr>
            <w:tcW w:w="400" w:type="dxa"/>
            <w:vAlign w:val="bottom"/>
          </w:tcPr>
          <w:p>
            <w:pPr>
              <w:spacing w:after="0"/>
              <w:rPr>
                <w:sz w:val="8"/>
                <w:szCs w:val="8"/>
                <w:color w:val="auto"/>
              </w:rPr>
            </w:pPr>
          </w:p>
        </w:tc>
        <w:tc>
          <w:tcPr>
            <w:tcW w:w="380" w:type="dxa"/>
            <w:vAlign w:val="bottom"/>
            <w:tcBorders>
              <w:bottom w:val="single" w:sz="8" w:color="auto"/>
            </w:tcBorders>
            <w:gridSpan w:val="2"/>
          </w:tcPr>
          <w:p>
            <w:pPr>
              <w:ind w:left="40"/>
              <w:spacing w:after="0" w:line="99" w:lineRule="exact"/>
              <w:rPr>
                <w:sz w:val="20"/>
                <w:szCs w:val="20"/>
                <w:color w:val="auto"/>
              </w:rPr>
            </w:pPr>
            <w:r>
              <w:rPr>
                <w:rFonts w:ascii="Arial" w:cs="Arial" w:eastAsia="Arial" w:hAnsi="Arial"/>
                <w:sz w:val="11"/>
                <w:szCs w:val="11"/>
                <w:b w:val="1"/>
                <w:bCs w:val="1"/>
                <w:color w:val="auto"/>
                <w:w w:val="84"/>
              </w:rPr>
              <w:t>Losses</w:t>
            </w:r>
          </w:p>
        </w:tc>
      </w:tr>
      <w:tr>
        <w:trPr>
          <w:trHeight w:val="179"/>
        </w:trPr>
        <w:tc>
          <w:tcPr>
            <w:tcW w:w="7700" w:type="dxa"/>
            <w:vAlign w:val="bottom"/>
          </w:tcPr>
          <w:p>
            <w:pPr>
              <w:spacing w:after="0"/>
              <w:rPr>
                <w:sz w:val="20"/>
                <w:szCs w:val="20"/>
                <w:color w:val="auto"/>
              </w:rPr>
            </w:pPr>
            <w:r>
              <w:rPr>
                <w:rFonts w:ascii="Arial" w:cs="Arial" w:eastAsia="Arial" w:hAnsi="Arial"/>
                <w:sz w:val="13"/>
                <w:szCs w:val="13"/>
                <w:color w:val="auto"/>
              </w:rPr>
              <w:t>Due in one year or less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2,277</w:t>
            </w:r>
          </w:p>
        </w:tc>
        <w:tc>
          <w:tcPr>
            <w:tcW w:w="52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14</w:t>
            </w:r>
          </w:p>
        </w:tc>
        <w:tc>
          <w:tcPr>
            <w:tcW w:w="58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w:t>
            </w:r>
          </w:p>
        </w:tc>
      </w:tr>
      <w:tr>
        <w:trPr>
          <w:trHeight w:val="166"/>
        </w:trPr>
        <w:tc>
          <w:tcPr>
            <w:tcW w:w="7700" w:type="dxa"/>
            <w:vAlign w:val="bottom"/>
          </w:tcPr>
          <w:p>
            <w:pPr>
              <w:spacing w:after="0"/>
              <w:rPr>
                <w:sz w:val="20"/>
                <w:szCs w:val="20"/>
                <w:color w:val="auto"/>
              </w:rPr>
            </w:pPr>
            <w:r>
              <w:rPr>
                <w:rFonts w:ascii="Arial" w:cs="Arial" w:eastAsia="Arial" w:hAnsi="Arial"/>
                <w:sz w:val="13"/>
                <w:szCs w:val="13"/>
                <w:color w:val="auto"/>
              </w:rPr>
              <w:t>Due after one year, less than five years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4,283</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w w:val="76"/>
              </w:rPr>
              <w:t>—</w:t>
            </w:r>
          </w:p>
        </w:tc>
      </w:tr>
      <w:tr>
        <w:trPr>
          <w:trHeight w:val="158"/>
        </w:trPr>
        <w:tc>
          <w:tcPr>
            <w:tcW w:w="77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6,560</w:t>
            </w:r>
          </w:p>
        </w:tc>
        <w:tc>
          <w:tcPr>
            <w:tcW w:w="52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54</w:t>
            </w:r>
          </w:p>
        </w:tc>
        <w:tc>
          <w:tcPr>
            <w:tcW w:w="580" w:type="dxa"/>
            <w:vAlign w:val="bottom"/>
            <w:gridSpan w:val="2"/>
          </w:tcPr>
          <w:p>
            <w:pPr>
              <w:jc w:val="right"/>
              <w:ind w:right="67"/>
              <w:spacing w:after="0"/>
              <w:rPr>
                <w:sz w:val="20"/>
                <w:szCs w:val="20"/>
                <w:color w:val="auto"/>
              </w:rPr>
            </w:pPr>
            <w:r>
              <w:rPr>
                <w:rFonts w:ascii="Arial" w:cs="Arial" w:eastAsia="Arial" w:hAnsi="Arial"/>
                <w:sz w:val="13"/>
                <w:szCs w:val="13"/>
                <w:color w:val="auto"/>
              </w:rPr>
              <w:t>$</w:t>
            </w:r>
          </w:p>
        </w:tc>
        <w:tc>
          <w:tcPr>
            <w:tcW w:w="200" w:type="dxa"/>
            <w:vAlign w:val="bottom"/>
          </w:tcPr>
          <w:p>
            <w:pPr>
              <w:ind w:left="80"/>
              <w:spacing w:after="0"/>
              <w:rPr>
                <w:sz w:val="20"/>
                <w:szCs w:val="20"/>
                <w:color w:val="auto"/>
              </w:rPr>
            </w:pPr>
            <w:r>
              <w:rPr>
                <w:rFonts w:ascii="Arial" w:cs="Arial" w:eastAsia="Arial" w:hAnsi="Arial"/>
                <w:sz w:val="13"/>
                <w:szCs w:val="13"/>
                <w:color w:val="auto"/>
                <w:w w:val="76"/>
              </w:rPr>
              <w:t>—</w:t>
            </w:r>
          </w:p>
        </w:tc>
      </w:tr>
      <w:tr>
        <w:trPr>
          <w:trHeight w:val="30"/>
        </w:trPr>
        <w:tc>
          <w:tcPr>
            <w:tcW w:w="7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r>
    </w:tbl>
    <w:p>
      <w:pPr>
        <w:spacing w:after="0" w:line="90" w:lineRule="exact"/>
        <w:rPr>
          <w:sz w:val="20"/>
          <w:szCs w:val="20"/>
          <w:color w:val="auto"/>
        </w:rPr>
      </w:pPr>
    </w:p>
    <w:p>
      <w:pPr>
        <w:ind w:left="680" w:right="80" w:firstLine="399"/>
        <w:spacing w:after="0" w:line="266" w:lineRule="auto"/>
        <w:rPr>
          <w:sz w:val="20"/>
          <w:szCs w:val="20"/>
          <w:color w:val="auto"/>
        </w:rPr>
      </w:pPr>
      <w:r>
        <w:rPr>
          <w:rFonts w:ascii="Arial" w:cs="Arial" w:eastAsia="Arial" w:hAnsi="Arial"/>
          <w:sz w:val="13"/>
          <w:szCs w:val="13"/>
          <w:color w:val="auto"/>
        </w:rPr>
        <w:t>Unrealized gains and losses are reported as a component of accumulated other comprehensive (loss) income in stockholders’ equity. The net unrealized gain net of tax was $18 and $32 as of December 31, 2009 and 2008, respectively. The cost of securities sold is based on specific identification method. No available for sale securities have been in a continuous unrealized loss position for twelve months or longer.</w:t>
      </w:r>
    </w:p>
    <w:p>
      <w:pPr>
        <w:spacing w:after="0" w:line="142"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5.</w:t>
            </w:r>
          </w:p>
        </w:tc>
        <w:tc>
          <w:tcPr>
            <w:tcW w:w="7900" w:type="dxa"/>
            <w:vAlign w:val="bottom"/>
          </w:tcPr>
          <w:p>
            <w:pPr>
              <w:ind w:left="120"/>
              <w:spacing w:after="0"/>
              <w:rPr>
                <w:sz w:val="20"/>
                <w:szCs w:val="20"/>
                <w:color w:val="auto"/>
              </w:rPr>
            </w:pPr>
            <w:r>
              <w:rPr>
                <w:rFonts w:ascii="Arial" w:cs="Arial" w:eastAsia="Arial" w:hAnsi="Arial"/>
                <w:sz w:val="13"/>
                <w:szCs w:val="13"/>
                <w:b w:val="1"/>
                <w:bCs w:val="1"/>
                <w:color w:val="auto"/>
              </w:rPr>
              <w:t>Property and Equipment</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7900" w:type="dxa"/>
            <w:vAlign w:val="bottom"/>
          </w:tcPr>
          <w:p>
            <w:pPr>
              <w:ind w:left="200"/>
              <w:spacing w:after="0"/>
              <w:rPr>
                <w:sz w:val="20"/>
                <w:szCs w:val="20"/>
                <w:color w:val="auto"/>
              </w:rPr>
            </w:pPr>
            <w:r>
              <w:rPr>
                <w:rFonts w:ascii="Arial" w:cs="Arial" w:eastAsia="Arial" w:hAnsi="Arial"/>
                <w:sz w:val="13"/>
                <w:szCs w:val="13"/>
                <w:color w:val="auto"/>
              </w:rPr>
              <w:t>Property and equipment consist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1"/>
                <w:szCs w:val="11"/>
                <w:b w:val="1"/>
                <w:bCs w:val="1"/>
                <w:color w:val="auto"/>
              </w:rPr>
              <w:t>December 31,</w:t>
            </w:r>
          </w:p>
        </w:tc>
        <w:tc>
          <w:tcPr>
            <w:tcW w:w="5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79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9" w:lineRule="exact"/>
              <w:rPr>
                <w:sz w:val="20"/>
                <w:szCs w:val="20"/>
                <w:color w:val="auto"/>
              </w:rPr>
            </w:pPr>
            <w:r>
              <w:rPr>
                <w:rFonts w:ascii="Arial" w:cs="Arial" w:eastAsia="Arial" w:hAnsi="Arial"/>
                <w:sz w:val="11"/>
                <w:szCs w:val="11"/>
                <w:b w:val="1"/>
                <w:bCs w:val="1"/>
                <w:color w:val="auto"/>
              </w:rPr>
              <w:t>2009</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5"/>
              <w:spacing w:after="0" w:line="99" w:lineRule="exact"/>
              <w:rPr>
                <w:sz w:val="20"/>
                <w:szCs w:val="20"/>
                <w:color w:val="auto"/>
              </w:rPr>
            </w:pPr>
            <w:r>
              <w:rPr>
                <w:rFonts w:ascii="Arial" w:cs="Arial" w:eastAsia="Arial" w:hAnsi="Arial"/>
                <w:sz w:val="11"/>
                <w:szCs w:val="11"/>
                <w:b w:val="1"/>
                <w:bCs w:val="1"/>
                <w:color w:val="auto"/>
              </w:rPr>
              <w:t>2008</w:t>
            </w:r>
          </w:p>
        </w:tc>
        <w:tc>
          <w:tcPr>
            <w:tcW w:w="60" w:type="dxa"/>
            <w:vAlign w:val="bottom"/>
          </w:tcPr>
          <w:p>
            <w:pPr>
              <w:spacing w:after="0"/>
              <w:rPr>
                <w:sz w:val="8"/>
                <w:szCs w:val="8"/>
                <w:color w:val="auto"/>
              </w:rPr>
            </w:pPr>
          </w:p>
        </w:tc>
      </w:tr>
      <w:tr>
        <w:trPr>
          <w:trHeight w:val="179"/>
        </w:trPr>
        <w:tc>
          <w:tcPr>
            <w:tcW w:w="8100" w:type="dxa"/>
            <w:vAlign w:val="bottom"/>
            <w:gridSpan w:val="2"/>
          </w:tcPr>
          <w:p>
            <w:pPr>
              <w:spacing w:after="0"/>
              <w:rPr>
                <w:sz w:val="20"/>
                <w:szCs w:val="20"/>
                <w:color w:val="auto"/>
              </w:rPr>
            </w:pPr>
            <w:r>
              <w:rPr>
                <w:rFonts w:ascii="Arial" w:cs="Arial" w:eastAsia="Arial" w:hAnsi="Arial"/>
                <w:sz w:val="13"/>
                <w:szCs w:val="13"/>
                <w:color w:val="auto"/>
              </w:rPr>
              <w:t>Computer hardware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18,171</w:t>
            </w:r>
          </w:p>
        </w:tc>
        <w:tc>
          <w:tcPr>
            <w:tcW w:w="22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16,918</w:t>
            </w:r>
          </w:p>
        </w:tc>
        <w:tc>
          <w:tcPr>
            <w:tcW w:w="60" w:type="dxa"/>
            <w:vAlign w:val="bottom"/>
          </w:tcPr>
          <w:p>
            <w:pPr>
              <w:spacing w:after="0"/>
              <w:rPr>
                <w:sz w:val="15"/>
                <w:szCs w:val="15"/>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Computer software</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14,477</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11,994</w:t>
            </w:r>
          </w:p>
        </w:tc>
        <w:tc>
          <w:tcPr>
            <w:tcW w:w="60" w:type="dxa"/>
            <w:vAlign w:val="bottom"/>
          </w:tcPr>
          <w:p>
            <w:pPr>
              <w:spacing w:after="0"/>
              <w:rPr>
                <w:sz w:val="13"/>
                <w:szCs w:val="13"/>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Construction in-progress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8,232</w:t>
            </w:r>
          </w:p>
        </w:tc>
        <w:tc>
          <w:tcPr>
            <w:tcW w:w="60" w:type="dxa"/>
            <w:vAlign w:val="bottom"/>
          </w:tcPr>
          <w:p>
            <w:pPr>
              <w:spacing w:after="0"/>
              <w:rPr>
                <w:sz w:val="13"/>
                <w:szCs w:val="13"/>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Furniture and fixtures</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513</w:t>
            </w:r>
          </w:p>
        </w:tc>
        <w:tc>
          <w:tcPr>
            <w:tcW w:w="60" w:type="dxa"/>
            <w:vAlign w:val="bottom"/>
          </w:tcPr>
          <w:p>
            <w:pPr>
              <w:spacing w:after="0"/>
              <w:rPr>
                <w:sz w:val="13"/>
                <w:szCs w:val="13"/>
                <w:color w:val="auto"/>
              </w:rPr>
            </w:pPr>
          </w:p>
        </w:tc>
      </w:tr>
      <w:tr>
        <w:trPr>
          <w:trHeight w:val="158"/>
        </w:trPr>
        <w:tc>
          <w:tcPr>
            <w:tcW w:w="8100" w:type="dxa"/>
            <w:vAlign w:val="bottom"/>
            <w:gridSpan w:val="2"/>
          </w:tcPr>
          <w:p>
            <w:pPr>
              <w:spacing w:after="0"/>
              <w:rPr>
                <w:sz w:val="20"/>
                <w:szCs w:val="20"/>
                <w:color w:val="auto"/>
              </w:rPr>
            </w:pPr>
            <w:r>
              <w:rPr>
                <w:rFonts w:ascii="Arial" w:cs="Arial" w:eastAsia="Arial" w:hAnsi="Arial"/>
                <w:sz w:val="13"/>
                <w:szCs w:val="13"/>
                <w:color w:val="auto"/>
              </w:rPr>
              <w:t>Building</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8,808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66"/>
        </w:trPr>
        <w:tc>
          <w:tcPr>
            <w:tcW w:w="8100" w:type="dxa"/>
            <w:vAlign w:val="bottom"/>
            <w:gridSpan w:val="2"/>
          </w:tcPr>
          <w:p>
            <w:pPr>
              <w:spacing w:after="0"/>
              <w:rPr>
                <w:sz w:val="20"/>
                <w:szCs w:val="20"/>
                <w:color w:val="auto"/>
              </w:rPr>
            </w:pPr>
            <w:r>
              <w:rPr>
                <w:rFonts w:ascii="Arial" w:cs="Arial" w:eastAsia="Arial" w:hAnsi="Arial"/>
                <w:sz w:val="13"/>
                <w:szCs w:val="13"/>
                <w:color w:val="auto"/>
              </w:rPr>
              <w:t>Leasehold improvements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6,873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2,218</w:t>
            </w:r>
          </w:p>
        </w:tc>
        <w:tc>
          <w:tcPr>
            <w:tcW w:w="60" w:type="dxa"/>
            <w:vAlign w:val="bottom"/>
          </w:tcPr>
          <w:p>
            <w:pPr>
              <w:spacing w:after="0"/>
              <w:rPr>
                <w:sz w:val="14"/>
                <w:szCs w:val="14"/>
                <w:color w:val="auto"/>
              </w:rPr>
            </w:pPr>
          </w:p>
        </w:tc>
      </w:tr>
      <w:tr>
        <w:trPr>
          <w:trHeight w:val="150"/>
        </w:trPr>
        <w:tc>
          <w:tcPr>
            <w:tcW w:w="20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50,164</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39,875</w:t>
            </w:r>
          </w:p>
        </w:tc>
        <w:tc>
          <w:tcPr>
            <w:tcW w:w="60" w:type="dxa"/>
            <w:vAlign w:val="bottom"/>
          </w:tcPr>
          <w:p>
            <w:pPr>
              <w:spacing w:after="0"/>
              <w:rPr>
                <w:sz w:val="13"/>
                <w:szCs w:val="13"/>
                <w:color w:val="auto"/>
              </w:rPr>
            </w:pPr>
          </w:p>
        </w:tc>
      </w:tr>
      <w:tr>
        <w:trPr>
          <w:trHeight w:val="166"/>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w:t>
            </w:r>
          </w:p>
        </w:tc>
        <w:tc>
          <w:tcPr>
            <w:tcW w:w="16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3"/>
                <w:szCs w:val="13"/>
                <w:color w:val="auto"/>
              </w:rPr>
              <w:t>(26,429)</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(22,595)</w:t>
            </w:r>
          </w:p>
        </w:tc>
      </w:tr>
      <w:tr>
        <w:trPr>
          <w:trHeight w:val="20"/>
        </w:trPr>
        <w:tc>
          <w:tcPr>
            <w:tcW w:w="2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200" w:type="dxa"/>
            <w:vAlign w:val="bottom"/>
          </w:tcPr>
          <w:p>
            <w:pPr>
              <w:spacing w:after="0"/>
              <w:rPr>
                <w:sz w:val="13"/>
                <w:szCs w:val="13"/>
                <w:color w:val="auto"/>
              </w:rPr>
            </w:pPr>
          </w:p>
        </w:tc>
        <w:tc>
          <w:tcPr>
            <w:tcW w:w="79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23,735</w:t>
            </w:r>
          </w:p>
        </w:tc>
        <w:tc>
          <w:tcPr>
            <w:tcW w:w="220" w:type="dxa"/>
            <w:vAlign w:val="bottom"/>
          </w:tcPr>
          <w:p>
            <w:pPr>
              <w:spacing w:after="0"/>
              <w:rPr>
                <w:sz w:val="13"/>
                <w:szCs w:val="13"/>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17,280</w:t>
            </w:r>
          </w:p>
        </w:tc>
        <w:tc>
          <w:tcPr>
            <w:tcW w:w="60" w:type="dxa"/>
            <w:vAlign w:val="bottom"/>
          </w:tcPr>
          <w:p>
            <w:pPr>
              <w:spacing w:after="0"/>
              <w:rPr>
                <w:sz w:val="13"/>
                <w:szCs w:val="13"/>
                <w:color w:val="auto"/>
              </w:rPr>
            </w:pPr>
          </w:p>
        </w:tc>
      </w:tr>
      <w:tr>
        <w:trPr>
          <w:trHeight w:val="30"/>
        </w:trPr>
        <w:tc>
          <w:tcPr>
            <w:tcW w:w="20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Depreciation expense was approximately $7.6 million and $6.2 million for 2009 and 2008, respectively.</w:t>
      </w:r>
    </w:p>
    <w:p>
      <w:pPr>
        <w:spacing w:after="0" w:line="30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6.</w:t>
            </w:r>
          </w:p>
        </w:tc>
        <w:tc>
          <w:tcPr>
            <w:tcW w:w="8300" w:type="dxa"/>
            <w:vAlign w:val="bottom"/>
          </w:tcPr>
          <w:p>
            <w:pPr>
              <w:ind w:left="120"/>
              <w:spacing w:after="0"/>
              <w:rPr>
                <w:sz w:val="20"/>
                <w:szCs w:val="20"/>
                <w:color w:val="auto"/>
              </w:rPr>
            </w:pPr>
            <w:r>
              <w:rPr>
                <w:rFonts w:ascii="Arial" w:cs="Arial" w:eastAsia="Arial" w:hAnsi="Arial"/>
                <w:sz w:val="13"/>
                <w:szCs w:val="13"/>
                <w:b w:val="1"/>
                <w:bCs w:val="1"/>
                <w:color w:val="auto"/>
              </w:rPr>
              <w:t>Accrued Expenses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8300" w:type="dxa"/>
            <w:vAlign w:val="bottom"/>
          </w:tcPr>
          <w:p>
            <w:pPr>
              <w:ind w:left="200"/>
              <w:spacing w:after="0"/>
              <w:rPr>
                <w:sz w:val="20"/>
                <w:szCs w:val="20"/>
                <w:color w:val="auto"/>
              </w:rPr>
            </w:pPr>
            <w:r>
              <w:rPr>
                <w:rFonts w:ascii="Arial" w:cs="Arial" w:eastAsia="Arial" w:hAnsi="Arial"/>
                <w:sz w:val="13"/>
                <w:szCs w:val="13"/>
                <w:color w:val="auto"/>
              </w:rPr>
              <w:t>Accrued expenses consist of the following:</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December 31,</w:t>
            </w:r>
          </w:p>
        </w:tc>
        <w:tc>
          <w:tcPr>
            <w:tcW w:w="360" w:type="dxa"/>
            <w:vAlign w:val="bottom"/>
            <w:tcBorders>
              <w:bottom w:val="single" w:sz="8" w:color="auto"/>
            </w:tcBorders>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9" w:lineRule="exact"/>
              <w:rPr>
                <w:sz w:val="20"/>
                <w:szCs w:val="20"/>
                <w:color w:val="auto"/>
              </w:rPr>
            </w:pPr>
            <w:r>
              <w:rPr>
                <w:rFonts w:ascii="Arial" w:cs="Arial" w:eastAsia="Arial" w:hAnsi="Arial"/>
                <w:sz w:val="11"/>
                <w:szCs w:val="11"/>
                <w:b w:val="1"/>
                <w:bCs w:val="1"/>
                <w:color w:val="auto"/>
                <w:w w:val="97"/>
              </w:rPr>
              <w:t>2009</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9" w:lineRule="exact"/>
              <w:rPr>
                <w:sz w:val="20"/>
                <w:szCs w:val="20"/>
                <w:color w:val="auto"/>
              </w:rPr>
            </w:pPr>
            <w:r>
              <w:rPr>
                <w:rFonts w:ascii="Arial" w:cs="Arial" w:eastAsia="Arial" w:hAnsi="Arial"/>
                <w:sz w:val="11"/>
                <w:szCs w:val="11"/>
                <w:b w:val="1"/>
                <w:bCs w:val="1"/>
                <w:color w:val="auto"/>
                <w:w w:val="81"/>
              </w:rPr>
              <w:t>2008</w:t>
            </w:r>
          </w:p>
        </w:tc>
      </w:tr>
      <w:tr>
        <w:trPr>
          <w:trHeight w:val="179"/>
        </w:trPr>
        <w:tc>
          <w:tcPr>
            <w:tcW w:w="8500" w:type="dxa"/>
            <w:vAlign w:val="bottom"/>
            <w:gridSpan w:val="2"/>
          </w:tcPr>
          <w:p>
            <w:pPr>
              <w:spacing w:after="0"/>
              <w:rPr>
                <w:sz w:val="20"/>
                <w:szCs w:val="20"/>
                <w:color w:val="auto"/>
              </w:rPr>
            </w:pPr>
            <w:r>
              <w:rPr>
                <w:rFonts w:ascii="Arial" w:cs="Arial" w:eastAsia="Arial" w:hAnsi="Arial"/>
                <w:sz w:val="13"/>
                <w:szCs w:val="13"/>
                <w:color w:val="auto"/>
              </w:rPr>
              <w:t>Accrued compensation and benefits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4,682</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2,610</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Accrued third party processing fees</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732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3,835</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Restructuring liabilities-current portion</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154</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704</w:t>
            </w:r>
          </w:p>
        </w:tc>
      </w:tr>
      <w:tr>
        <w:trPr>
          <w:trHeight w:val="158"/>
        </w:trPr>
        <w:tc>
          <w:tcPr>
            <w:tcW w:w="8500" w:type="dxa"/>
            <w:vAlign w:val="bottom"/>
            <w:gridSpan w:val="2"/>
          </w:tcPr>
          <w:p>
            <w:pPr>
              <w:spacing w:after="0"/>
              <w:rPr>
                <w:sz w:val="20"/>
                <w:szCs w:val="20"/>
                <w:color w:val="auto"/>
              </w:rPr>
            </w:pPr>
            <w:r>
              <w:rPr>
                <w:rFonts w:ascii="Arial" w:cs="Arial" w:eastAsia="Arial" w:hAnsi="Arial"/>
                <w:sz w:val="13"/>
                <w:szCs w:val="13"/>
                <w:color w:val="auto"/>
              </w:rPr>
              <w:t>Accrued 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1,636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1,373</w:t>
            </w:r>
          </w:p>
        </w:tc>
      </w:tr>
      <w:tr>
        <w:trPr>
          <w:trHeight w:val="166"/>
        </w:trPr>
        <w:tc>
          <w:tcPr>
            <w:tcW w:w="8500" w:type="dxa"/>
            <w:vAlign w:val="bottom"/>
            <w:gridSpan w:val="2"/>
          </w:tcPr>
          <w:p>
            <w:pPr>
              <w:spacing w:after="0"/>
              <w:rPr>
                <w:sz w:val="20"/>
                <w:szCs w:val="20"/>
                <w:color w:val="auto"/>
              </w:rPr>
            </w:pPr>
            <w:r>
              <w:rPr>
                <w:rFonts w:ascii="Arial" w:cs="Arial" w:eastAsia="Arial" w:hAnsi="Arial"/>
                <w:sz w:val="13"/>
                <w:szCs w:val="13"/>
                <w:color w:val="auto"/>
              </w:rPr>
              <w:t>Accrued income tax payable</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w:t>
            </w: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r>
      <w:tr>
        <w:trPr>
          <w:trHeight w:val="158"/>
        </w:trPr>
        <w:tc>
          <w:tcPr>
            <w:tcW w:w="200" w:type="dxa"/>
            <w:vAlign w:val="bottom"/>
          </w:tcPr>
          <w:p>
            <w:pPr>
              <w:spacing w:after="0"/>
              <w:rPr>
                <w:sz w:val="13"/>
                <w:szCs w:val="13"/>
                <w:color w:val="auto"/>
              </w:rPr>
            </w:pPr>
          </w:p>
        </w:tc>
        <w:tc>
          <w:tcPr>
            <w:tcW w:w="8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7,350</w:t>
            </w:r>
          </w:p>
        </w:tc>
        <w:tc>
          <w:tcPr>
            <w:tcW w:w="52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8,640</w:t>
            </w:r>
          </w:p>
        </w:tc>
      </w:tr>
      <w:tr>
        <w:trPr>
          <w:trHeight w:val="30"/>
        </w:trPr>
        <w:tc>
          <w:tcPr>
            <w:tcW w:w="200" w:type="dxa"/>
            <w:vAlign w:val="bottom"/>
          </w:tcPr>
          <w:p>
            <w:pPr>
              <w:spacing w:after="0"/>
              <w:rPr>
                <w:sz w:val="2"/>
                <w:szCs w:val="2"/>
                <w:color w:val="auto"/>
              </w:rPr>
            </w:pPr>
          </w:p>
        </w:tc>
        <w:tc>
          <w:tcPr>
            <w:tcW w:w="8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165" w:lineRule="exact"/>
        <w:rPr>
          <w:sz w:val="20"/>
          <w:szCs w:val="20"/>
          <w:color w:val="auto"/>
        </w:rPr>
      </w:pPr>
    </w:p>
    <w:p>
      <w:pPr>
        <w:ind w:left="1000" w:hanging="313"/>
        <w:spacing w:after="0"/>
        <w:tabs>
          <w:tab w:leader="none" w:pos="100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Capital Structure</w:t>
      </w:r>
    </w:p>
    <w:p>
      <w:pPr>
        <w:spacing w:after="0" w:line="102"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As of December 31, 2009, the Company’s authorized capital stock was 110,000 shares of stock with a par value of $0.0001, of which 100,000 shares were designated common stock and 10,000 shares were designated preferred stock.</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Common Stock</w:t>
      </w:r>
    </w:p>
    <w:p>
      <w:pPr>
        <w:spacing w:after="0" w:line="98" w:lineRule="exact"/>
        <w:rPr>
          <w:sz w:val="20"/>
          <w:szCs w:val="20"/>
          <w:color w:val="auto"/>
        </w:rPr>
      </w:pPr>
    </w:p>
    <w:p>
      <w:pPr>
        <w:ind w:left="680" w:firstLine="399"/>
        <w:spacing w:after="0" w:line="262" w:lineRule="auto"/>
        <w:rPr>
          <w:sz w:val="20"/>
          <w:szCs w:val="20"/>
          <w:color w:val="auto"/>
        </w:rPr>
      </w:pPr>
      <w:r>
        <w:rPr>
          <w:rFonts w:ascii="Arial" w:cs="Arial" w:eastAsia="Arial" w:hAnsi="Arial"/>
          <w:sz w:val="13"/>
          <w:szCs w:val="13"/>
          <w:color w:val="auto"/>
        </w:rPr>
        <w:t>Each holder of common stock is entitled to vote on all matters and is entitled to one vote for each share held. Dividends on common stock will be paid when, as and if declared by the Company’s board of directors. No dividends have ever been declared or paid by the Company. As of December 31, 2009, there were 33,104 shares of common stock issued, 5,097 shares of common stock reserved for issuance under the Company’s 2000 Stock Plan (the “2000 Plan”) and 4,000 shares of common stock reserved for issuance under the Company’s 2006 Equity Incentive Plan (the “2006 Plan”).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Preferred Stock</w:t>
      </w:r>
    </w:p>
    <w:p>
      <w:pPr>
        <w:spacing w:after="0" w:line="98" w:lineRule="exact"/>
        <w:rPr>
          <w:sz w:val="20"/>
          <w:szCs w:val="20"/>
          <w:color w:val="auto"/>
        </w:rPr>
      </w:pPr>
    </w:p>
    <w:p>
      <w:pPr>
        <w:ind w:left="680" w:right="200" w:firstLine="399"/>
        <w:spacing w:after="0" w:line="299" w:lineRule="auto"/>
        <w:rPr>
          <w:sz w:val="20"/>
          <w:szCs w:val="20"/>
          <w:color w:val="auto"/>
        </w:rPr>
      </w:pPr>
      <w:r>
        <w:rPr>
          <w:rFonts w:ascii="Arial" w:cs="Arial" w:eastAsia="Arial" w:hAnsi="Arial"/>
          <w:sz w:val="12"/>
          <w:szCs w:val="12"/>
          <w:color w:val="auto"/>
        </w:rPr>
        <w:t>All of the Company’s Series 1 and Series A convertible preferred stock converted into common stock on a one-for-one basis as a result of the IPO, in 2006. There are no shares of preferred stock outstanding as of December 31, 2009 or 2008. 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Registration Rights</w:t>
      </w:r>
    </w:p>
    <w:p>
      <w:pPr>
        <w:spacing w:after="0" w:line="98" w:lineRule="exact"/>
        <w:rPr>
          <w:sz w:val="20"/>
          <w:szCs w:val="20"/>
          <w:color w:val="auto"/>
        </w:rPr>
      </w:pPr>
    </w:p>
    <w:p>
      <w:pPr>
        <w:ind w:left="680" w:right="120" w:firstLine="399"/>
        <w:spacing w:after="0" w:line="262" w:lineRule="auto"/>
        <w:rPr>
          <w:sz w:val="20"/>
          <w:szCs w:val="20"/>
          <w:color w:val="auto"/>
        </w:rPr>
      </w:pPr>
      <w:r>
        <w:rPr>
          <w:rFonts w:ascii="Arial" w:cs="Arial" w:eastAsia="Arial" w:hAnsi="Arial"/>
          <w:sz w:val="13"/>
          <w:szCs w:val="13"/>
          <w:color w:val="auto"/>
        </w:rPr>
        <w:t>Holders of shares of common stock which were issued upon conversion of the Company’s Series A preferred stock are entitled to have their shares registered under the Securities Act of 1933, as amended (the “Securities Act”). Under the terms of an agreement between the Company and the holders of these registrable securities, if the Company proposes to register any of its securities under the Securities Act, either for its own account or for the account of others, these stockholders are entitled to notice of such registration and are entitled to include their shares in such registration.</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200" w:type="dxa"/>
            <w:vAlign w:val="bottom"/>
          </w:tcPr>
          <w:p>
            <w:pPr>
              <w:spacing w:after="0"/>
              <w:rPr>
                <w:sz w:val="20"/>
                <w:szCs w:val="20"/>
                <w:color w:val="auto"/>
              </w:rPr>
            </w:pPr>
            <w:r>
              <w:rPr>
                <w:rFonts w:ascii="Arial" w:cs="Arial" w:eastAsia="Arial" w:hAnsi="Arial"/>
                <w:sz w:val="13"/>
                <w:szCs w:val="13"/>
                <w:b w:val="1"/>
                <w:bCs w:val="1"/>
                <w:color w:val="auto"/>
              </w:rPr>
              <w:t>8.</w:t>
            </w:r>
          </w:p>
        </w:tc>
        <w:tc>
          <w:tcPr>
            <w:tcW w:w="8100" w:type="dxa"/>
            <w:vAlign w:val="bottom"/>
          </w:tcPr>
          <w:p>
            <w:pPr>
              <w:ind w:left="120"/>
              <w:spacing w:after="0"/>
              <w:rPr>
                <w:sz w:val="20"/>
                <w:szCs w:val="20"/>
                <w:color w:val="auto"/>
              </w:rPr>
            </w:pPr>
            <w:r>
              <w:rPr>
                <w:rFonts w:ascii="Arial" w:cs="Arial" w:eastAsia="Arial" w:hAnsi="Arial"/>
                <w:sz w:val="13"/>
                <w:szCs w:val="13"/>
                <w:b w:val="1"/>
                <w:bCs w:val="1"/>
                <w:color w:val="auto"/>
              </w:rPr>
              <w:t>Accumulated Other Comprehensive (Loss) Income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47"/>
        </w:trPr>
        <w:tc>
          <w:tcPr>
            <w:tcW w:w="200" w:type="dxa"/>
            <w:vAlign w:val="bottom"/>
          </w:tcPr>
          <w:p>
            <w:pPr>
              <w:spacing w:after="0"/>
              <w:rPr>
                <w:sz w:val="21"/>
                <w:szCs w:val="21"/>
                <w:color w:val="auto"/>
              </w:rPr>
            </w:pPr>
          </w:p>
        </w:tc>
        <w:tc>
          <w:tcPr>
            <w:tcW w:w="8100" w:type="dxa"/>
            <w:vAlign w:val="bottom"/>
          </w:tcPr>
          <w:p>
            <w:pPr>
              <w:ind w:left="200"/>
              <w:spacing w:after="0"/>
              <w:rPr>
                <w:sz w:val="20"/>
                <w:szCs w:val="20"/>
                <w:color w:val="auto"/>
              </w:rPr>
            </w:pPr>
            <w:r>
              <w:rPr>
                <w:rFonts w:ascii="Arial" w:cs="Arial" w:eastAsia="Arial" w:hAnsi="Arial"/>
                <w:sz w:val="13"/>
                <w:szCs w:val="13"/>
                <w:color w:val="auto"/>
              </w:rPr>
              <w:t>The components of accumulated other comprehensive (loss) income are as follows: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9"/>
        </w:trPr>
        <w:tc>
          <w:tcPr>
            <w:tcW w:w="20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93"/>
              </w:rPr>
              <w:t>Year Ended December 31,</w:t>
            </w:r>
          </w:p>
        </w:tc>
        <w:tc>
          <w:tcPr>
            <w:tcW w:w="160" w:type="dxa"/>
            <w:vAlign w:val="bottom"/>
            <w:tcBorders>
              <w:bottom w:val="single" w:sz="8" w:color="auto"/>
            </w:tcBorders>
          </w:tcPr>
          <w:p>
            <w:pPr>
              <w:spacing w:after="0"/>
              <w:rPr>
                <w:sz w:val="18"/>
                <w:szCs w:val="18"/>
                <w:color w:val="auto"/>
              </w:rPr>
            </w:pPr>
          </w:p>
        </w:tc>
      </w:tr>
      <w:tr>
        <w:trPr>
          <w:trHeight w:val="99"/>
        </w:trPr>
        <w:tc>
          <w:tcPr>
            <w:tcW w:w="200" w:type="dxa"/>
            <w:vAlign w:val="bottom"/>
          </w:tcPr>
          <w:p>
            <w:pPr>
              <w:spacing w:after="0"/>
              <w:rPr>
                <w:sz w:val="8"/>
                <w:szCs w:val="8"/>
                <w:color w:val="auto"/>
              </w:rPr>
            </w:pPr>
          </w:p>
        </w:tc>
        <w:tc>
          <w:tcPr>
            <w:tcW w:w="8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9"/>
              </w:rPr>
              <w:t>2009</w:t>
            </w: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2008</w:t>
            </w:r>
          </w:p>
        </w:tc>
        <w:tc>
          <w:tcPr>
            <w:tcW w:w="400" w:type="dxa"/>
            <w:vAlign w:val="bottom"/>
          </w:tcPr>
          <w:p>
            <w:pPr>
              <w:spacing w:after="0"/>
              <w:rPr>
                <w:sz w:val="8"/>
                <w:szCs w:val="8"/>
                <w:color w:val="auto"/>
              </w:rPr>
            </w:pPr>
          </w:p>
        </w:tc>
        <w:tc>
          <w:tcPr>
            <w:tcW w:w="240" w:type="dxa"/>
            <w:vAlign w:val="bottom"/>
            <w:tcBorders>
              <w:bottom w:val="single" w:sz="8" w:color="auto"/>
            </w:tcBorders>
            <w:gridSpan w:val="2"/>
          </w:tcPr>
          <w:p>
            <w:pPr>
              <w:jc w:val="right"/>
              <w:spacing w:after="0" w:line="99" w:lineRule="exact"/>
              <w:rPr>
                <w:sz w:val="20"/>
                <w:szCs w:val="20"/>
                <w:color w:val="auto"/>
              </w:rPr>
            </w:pPr>
            <w:r>
              <w:rPr>
                <w:rFonts w:ascii="Arial" w:cs="Arial" w:eastAsia="Arial" w:hAnsi="Arial"/>
                <w:sz w:val="11"/>
                <w:szCs w:val="11"/>
                <w:b w:val="1"/>
                <w:bCs w:val="1"/>
                <w:color w:val="auto"/>
                <w:w w:val="81"/>
              </w:rPr>
              <w:t>2007</w:t>
            </w:r>
          </w:p>
        </w:tc>
      </w:tr>
      <w:tr>
        <w:trPr>
          <w:trHeight w:val="179"/>
        </w:trPr>
        <w:tc>
          <w:tcPr>
            <w:tcW w:w="8300" w:type="dxa"/>
            <w:vAlign w:val="bottom"/>
            <w:gridSpan w:val="2"/>
          </w:tcPr>
          <w:p>
            <w:pPr>
              <w:spacing w:after="0"/>
              <w:rPr>
                <w:sz w:val="20"/>
                <w:szCs w:val="20"/>
                <w:color w:val="auto"/>
              </w:rPr>
            </w:pPr>
            <w:r>
              <w:rPr>
                <w:rFonts w:ascii="Arial" w:cs="Arial" w:eastAsia="Arial" w:hAnsi="Arial"/>
                <w:sz w:val="13"/>
                <w:szCs w:val="13"/>
                <w:color w:val="auto"/>
              </w:rPr>
              <w:t>Translation adjustments</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94"/>
              </w:rPr>
              <w:t>(61)</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$ 30</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65"/>
        </w:trPr>
        <w:tc>
          <w:tcPr>
            <w:tcW w:w="8300" w:type="dxa"/>
            <w:vAlign w:val="bottom"/>
            <w:gridSpan w:val="2"/>
          </w:tcPr>
          <w:p>
            <w:pPr>
              <w:spacing w:after="0"/>
              <w:rPr>
                <w:sz w:val="20"/>
                <w:szCs w:val="20"/>
                <w:color w:val="auto"/>
              </w:rPr>
            </w:pPr>
            <w:r>
              <w:rPr>
                <w:rFonts w:ascii="Arial" w:cs="Arial" w:eastAsia="Arial" w:hAnsi="Arial"/>
                <w:sz w:val="13"/>
                <w:szCs w:val="13"/>
                <w:color w:val="auto"/>
              </w:rPr>
              <w:t>Unrealized gain (loss) on securities, (net of tax)</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r>
      <w:tr>
        <w:trPr>
          <w:trHeight w:val="159"/>
        </w:trPr>
        <w:tc>
          <w:tcPr>
            <w:tcW w:w="8300" w:type="dxa"/>
            <w:vAlign w:val="bottom"/>
            <w:gridSpan w:val="2"/>
          </w:tcPr>
          <w:p>
            <w:pPr>
              <w:spacing w:after="0"/>
              <w:rPr>
                <w:sz w:val="20"/>
                <w:szCs w:val="20"/>
                <w:color w:val="auto"/>
              </w:rPr>
            </w:pPr>
            <w:r>
              <w:rPr>
                <w:rFonts w:ascii="Arial" w:cs="Arial" w:eastAsia="Arial" w:hAnsi="Arial"/>
                <w:sz w:val="13"/>
                <w:szCs w:val="13"/>
                <w:color w:val="auto"/>
              </w:rPr>
              <w:t>Accumulated Other Comprehensive (Loss) Income</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(7)</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$ 66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0"/>
        </w:trPr>
        <w:tc>
          <w:tcPr>
            <w:tcW w:w="20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r>
    </w:tbl>
    <w:p>
      <w:pPr>
        <w:spacing w:after="0" w:line="165" w:lineRule="exact"/>
        <w:rPr>
          <w:sz w:val="20"/>
          <w:szCs w:val="20"/>
          <w:color w:val="auto"/>
        </w:rPr>
      </w:pPr>
    </w:p>
    <w:p>
      <w:pPr>
        <w:ind w:left="1000" w:hanging="313"/>
        <w:spacing w:after="0"/>
        <w:tabs>
          <w:tab w:leader="none" w:pos="1000" w:val="left"/>
        </w:tabs>
        <w:numPr>
          <w:ilvl w:val="0"/>
          <w:numId w:val="29"/>
        </w:numPr>
        <w:rPr>
          <w:rFonts w:ascii="Arial" w:cs="Arial" w:eastAsia="Arial" w:hAnsi="Arial"/>
          <w:sz w:val="13"/>
          <w:szCs w:val="13"/>
          <w:b w:val="1"/>
          <w:bCs w:val="1"/>
          <w:color w:val="auto"/>
        </w:rPr>
      </w:pPr>
      <w:r>
        <w:rPr>
          <w:rFonts w:ascii="Arial" w:cs="Arial" w:eastAsia="Arial" w:hAnsi="Arial"/>
          <w:sz w:val="13"/>
          <w:szCs w:val="13"/>
          <w:b w:val="1"/>
          <w:bCs w:val="1"/>
          <w:color w:val="auto"/>
        </w:rPr>
        <w:t>Stock Plans</w:t>
      </w:r>
    </w:p>
    <w:p>
      <w:pPr>
        <w:spacing w:after="0" w:line="102" w:lineRule="exact"/>
        <w:rPr>
          <w:sz w:val="20"/>
          <w:szCs w:val="20"/>
          <w:color w:val="auto"/>
        </w:rPr>
      </w:pPr>
    </w:p>
    <w:p>
      <w:pPr>
        <w:jc w:val="both"/>
        <w:ind w:left="680" w:firstLine="399"/>
        <w:spacing w:after="0" w:line="266" w:lineRule="auto"/>
        <w:rPr>
          <w:sz w:val="20"/>
          <w:szCs w:val="20"/>
          <w:color w:val="auto"/>
        </w:rPr>
      </w:pPr>
      <w:r>
        <w:rPr>
          <w:rFonts w:ascii="Arial" w:cs="Arial" w:eastAsia="Arial" w:hAnsi="Arial"/>
          <w:sz w:val="13"/>
          <w:szCs w:val="13"/>
          <w:color w:val="auto"/>
        </w:rPr>
        <w:t>As of December 31, 2009, the Company maintains two stock incentive plans, the 2000 Plan and the 2006 Plan. The Company’s board of directors administers the 2000 Plan and the 2006 Plan and is responsible for determining the individuals to be granted options or shares, the number of options or shares each individual will receive, the price per share and the exercise period of each option.</w:t>
      </w:r>
    </w:p>
    <w:p>
      <w:pPr>
        <w:spacing w:after="0" w:line="67" w:lineRule="exact"/>
        <w:rPr>
          <w:sz w:val="20"/>
          <w:szCs w:val="20"/>
          <w:color w:val="auto"/>
        </w:rPr>
      </w:pPr>
    </w:p>
    <w:p>
      <w:pPr>
        <w:ind w:left="680" w:right="40" w:firstLine="399"/>
        <w:spacing w:after="0" w:line="281" w:lineRule="auto"/>
        <w:rPr>
          <w:sz w:val="20"/>
          <w:szCs w:val="20"/>
          <w:color w:val="auto"/>
        </w:rPr>
      </w:pPr>
      <w:r>
        <w:rPr>
          <w:rFonts w:ascii="Arial" w:cs="Arial" w:eastAsia="Arial" w:hAnsi="Arial"/>
          <w:sz w:val="12"/>
          <w:szCs w:val="12"/>
          <w:color w:val="auto"/>
        </w:rPr>
        <w:t>Under the 2000 Plan, the Company has the ability to provide employees, outside directors and consultants an opportunity to acquire a proprietary interest in the success of the Company or to increase such interest by receiving options or purchasing shares of the Company’s stock at a price not less than the fair market value at the date of grant for incentive stock options and a price not less than 30% of the fair market value at the date of grant for non-qualified options. Under the 2006 Plan, the Company may grant to its employees, outside directors and consultants awards in the form of incentive stock options, non-qualified stock options, shares of restricted stock and stock units or stock appreciation rights. During the year ended December 31, 2009, options to purchase 1,376 shares of common stock were granted under the 2006 Plan. Under the Company’s Plans, options may be exercised in whole or in part for 100% of the shares subject to vesting at any time after the date of grant. Options under the Company’s Plans generally vest 25% on the first year anniversary of the date of grant plus an additional 1/48 for each month thereafter. During fiscal year 2009 the Company reserved for grant 178 shares of restricted stock. The actual number of shares to be issued, which could range from 0 to 178, will depend upon the Company’s revenue and operating income during fiscal 2010. The shares, if any, will be issued in December 2010. As of December 31, 2009, there were 310 shares available for grant or award under the Company’s Plans.</w:t>
      </w:r>
    </w:p>
    <w:p>
      <w:pPr>
        <w:spacing w:after="0" w:line="5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The Company utilizes the Black-Scholes option pricing model for determining the estimated fair value for stock option awards. Use of a valuation model requires management to make certain assumptions with respect to selected model inputs. Expected volatility was calculated based on a blended weighted-average of historical information of similar public entities for which historical information was available. The Company will continue to use this approach using other similar public entity volatility information until its historical volatility is relevant to measure expected volatility for future option grants. The average expected life was determined using the SEC shortcut approach, which is the mid-point between the vesting date and the end of the contractual term. The risk-free interest rate is based on U.S. Treasury zero-coupon issues with a remaining term equal to the expected life assumed at the date of grant. The Company has never declared or paid cash dividends on its common or preferred equity and does not anticipate paying any cash dividends in the foreseeable future. Forfeitures are estimated based on voluntary</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termination behavior, as well as a historical analysis of actual option forfeitures. The weighted-average assumptions used in the Black-Scholes option pricing model are as follows:</w:t>
      </w:r>
    </w:p>
    <w:p>
      <w:pPr>
        <w:spacing w:after="0" w:line="110"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8040" w:type="dxa"/>
            <w:vAlign w:val="bottom"/>
          </w:tcPr>
          <w:p>
            <w:pPr>
              <w:spacing w:after="0"/>
              <w:rPr>
                <w:sz w:val="10"/>
                <w:szCs w:val="10"/>
                <w:color w:val="auto"/>
              </w:rPr>
            </w:pPr>
          </w:p>
        </w:tc>
        <w:tc>
          <w:tcPr>
            <w:tcW w:w="1940" w:type="dxa"/>
            <w:vAlign w:val="bottom"/>
            <w:gridSpan w:val="6"/>
          </w:tcPr>
          <w:p>
            <w:pPr>
              <w:jc w:val="right"/>
              <w:ind w:right="280"/>
              <w:spacing w:after="0"/>
              <w:rPr>
                <w:sz w:val="20"/>
                <w:szCs w:val="20"/>
                <w:color w:val="auto"/>
              </w:rPr>
            </w:pPr>
            <w:r>
              <w:rPr>
                <w:rFonts w:ascii="Arial" w:cs="Arial" w:eastAsia="Arial" w:hAnsi="Arial"/>
                <w:sz w:val="11"/>
                <w:szCs w:val="11"/>
                <w:b w:val="1"/>
                <w:bCs w:val="1"/>
                <w:color w:val="auto"/>
                <w:w w:val="93"/>
              </w:rPr>
              <w:t>For the Year Ended December 31,</w:t>
            </w:r>
          </w:p>
        </w:tc>
      </w:tr>
      <w:tr>
        <w:trPr>
          <w:trHeight w:val="99"/>
        </w:trPr>
        <w:tc>
          <w:tcPr>
            <w:tcW w:w="8040" w:type="dxa"/>
            <w:vAlign w:val="bottom"/>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97"/>
              </w:rPr>
              <w:t>2009</w:t>
            </w:r>
          </w:p>
        </w:tc>
        <w:tc>
          <w:tcPr>
            <w:tcW w:w="420" w:type="dxa"/>
            <w:vAlign w:val="bottom"/>
            <w:tcBorders>
              <w:top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rPr>
              <w:t>2008</w:t>
            </w:r>
          </w:p>
        </w:tc>
        <w:tc>
          <w:tcPr>
            <w:tcW w:w="420" w:type="dxa"/>
            <w:vAlign w:val="bottom"/>
            <w:tcBorders>
              <w:top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97"/>
              </w:rPr>
              <w:t>2007</w:t>
            </w:r>
          </w:p>
        </w:tc>
        <w:tc>
          <w:tcPr>
            <w:tcW w:w="120" w:type="dxa"/>
            <w:vAlign w:val="bottom"/>
          </w:tcPr>
          <w:p>
            <w:pPr>
              <w:spacing w:after="0"/>
              <w:rPr>
                <w:sz w:val="8"/>
                <w:szCs w:val="8"/>
                <w:color w:val="auto"/>
              </w:rPr>
            </w:pPr>
          </w:p>
        </w:tc>
      </w:tr>
      <w:tr>
        <w:trPr>
          <w:trHeight w:val="179"/>
        </w:trPr>
        <w:tc>
          <w:tcPr>
            <w:tcW w:w="8040" w:type="dxa"/>
            <w:vAlign w:val="bottom"/>
          </w:tcPr>
          <w:p>
            <w:pPr>
              <w:spacing w:after="0"/>
              <w:rPr>
                <w:sz w:val="20"/>
                <w:szCs w:val="20"/>
                <w:color w:val="auto"/>
              </w:rPr>
            </w:pPr>
            <w:r>
              <w:rPr>
                <w:rFonts w:ascii="Arial" w:cs="Arial" w:eastAsia="Arial" w:hAnsi="Arial"/>
                <w:sz w:val="13"/>
                <w:szCs w:val="13"/>
                <w:color w:val="auto"/>
              </w:rPr>
              <w:t>Expected stock price volatility</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62%</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64%</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59%</w:t>
            </w:r>
          </w:p>
        </w:tc>
      </w:tr>
      <w:tr>
        <w:trPr>
          <w:trHeight w:val="158"/>
        </w:trPr>
        <w:tc>
          <w:tcPr>
            <w:tcW w:w="8040" w:type="dxa"/>
            <w:vAlign w:val="bottom"/>
          </w:tcPr>
          <w:p>
            <w:pPr>
              <w:spacing w:after="0"/>
              <w:rPr>
                <w:sz w:val="20"/>
                <w:szCs w:val="20"/>
                <w:color w:val="auto"/>
              </w:rPr>
            </w:pPr>
            <w:r>
              <w:rPr>
                <w:rFonts w:ascii="Arial" w:cs="Arial" w:eastAsia="Arial" w:hAnsi="Arial"/>
                <w:sz w:val="13"/>
                <w:szCs w:val="13"/>
                <w:color w:val="auto"/>
              </w:rPr>
              <w:t>Risk-free interest rate</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2.81%</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3.81%</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4.63%</w:t>
            </w:r>
          </w:p>
        </w:tc>
      </w:tr>
      <w:tr>
        <w:trPr>
          <w:trHeight w:val="158"/>
        </w:trPr>
        <w:tc>
          <w:tcPr>
            <w:tcW w:w="8040" w:type="dxa"/>
            <w:vAlign w:val="bottom"/>
          </w:tcPr>
          <w:p>
            <w:pPr>
              <w:spacing w:after="0"/>
              <w:rPr>
                <w:sz w:val="20"/>
                <w:szCs w:val="20"/>
                <w:color w:val="auto"/>
              </w:rPr>
            </w:pPr>
            <w:r>
              <w:rPr>
                <w:rFonts w:ascii="Arial" w:cs="Arial" w:eastAsia="Arial" w:hAnsi="Arial"/>
                <w:sz w:val="13"/>
                <w:szCs w:val="13"/>
                <w:color w:val="auto"/>
              </w:rPr>
              <w:t>Expected life of options (in years)</w:t>
            </w:r>
          </w:p>
        </w:tc>
        <w:tc>
          <w:tcPr>
            <w:tcW w:w="320" w:type="dxa"/>
            <w:vAlign w:val="bottom"/>
          </w:tcPr>
          <w:p>
            <w:pPr>
              <w:jc w:val="right"/>
              <w:spacing w:after="0"/>
              <w:rPr>
                <w:sz w:val="20"/>
                <w:szCs w:val="20"/>
                <w:color w:val="auto"/>
              </w:rPr>
            </w:pPr>
            <w:r>
              <w:rPr>
                <w:rFonts w:ascii="Arial" w:cs="Arial" w:eastAsia="Arial" w:hAnsi="Arial"/>
                <w:sz w:val="13"/>
                <w:szCs w:val="13"/>
                <w:color w:val="auto"/>
              </w:rPr>
              <w:t>4.9</w:t>
            </w:r>
          </w:p>
        </w:tc>
        <w:tc>
          <w:tcPr>
            <w:tcW w:w="4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5.2</w:t>
            </w:r>
          </w:p>
        </w:tc>
        <w:tc>
          <w:tcPr>
            <w:tcW w:w="42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3"/>
                <w:szCs w:val="13"/>
                <w:color w:val="auto"/>
              </w:rPr>
            </w:pPr>
          </w:p>
        </w:tc>
      </w:tr>
      <w:tr>
        <w:trPr>
          <w:trHeight w:val="165"/>
        </w:trPr>
        <w:tc>
          <w:tcPr>
            <w:tcW w:w="8040" w:type="dxa"/>
            <w:vAlign w:val="bottom"/>
          </w:tcPr>
          <w:p>
            <w:pPr>
              <w:spacing w:after="0"/>
              <w:rPr>
                <w:sz w:val="20"/>
                <w:szCs w:val="20"/>
                <w:color w:val="auto"/>
              </w:rPr>
            </w:pPr>
            <w:r>
              <w:rPr>
                <w:rFonts w:ascii="Arial" w:cs="Arial" w:eastAsia="Arial" w:hAnsi="Arial"/>
                <w:sz w:val="13"/>
                <w:szCs w:val="13"/>
                <w:color w:val="auto"/>
              </w:rPr>
              <w:t>Expected dividend yield</w:t>
            </w:r>
          </w:p>
        </w:tc>
        <w:tc>
          <w:tcPr>
            <w:tcW w:w="740" w:type="dxa"/>
            <w:vAlign w:val="bottom"/>
            <w:gridSpan w:val="2"/>
          </w:tcPr>
          <w:p>
            <w:pPr>
              <w:jc w:val="right"/>
              <w:ind w:right="300"/>
              <w:spacing w:after="0"/>
              <w:rPr>
                <w:sz w:val="20"/>
                <w:szCs w:val="20"/>
                <w:color w:val="auto"/>
              </w:rPr>
            </w:pPr>
            <w:r>
              <w:rPr>
                <w:rFonts w:ascii="Arial" w:cs="Arial" w:eastAsia="Arial" w:hAnsi="Arial"/>
                <w:sz w:val="13"/>
                <w:szCs w:val="13"/>
                <w:color w:val="auto"/>
              </w:rPr>
              <w:t>0%</w:t>
            </w:r>
          </w:p>
        </w:tc>
        <w:tc>
          <w:tcPr>
            <w:tcW w:w="760" w:type="dxa"/>
            <w:vAlign w:val="bottom"/>
            <w:gridSpan w:val="2"/>
          </w:tcPr>
          <w:p>
            <w:pPr>
              <w:jc w:val="right"/>
              <w:ind w:right="320"/>
              <w:spacing w:after="0"/>
              <w:rPr>
                <w:sz w:val="20"/>
                <w:szCs w:val="20"/>
                <w:color w:val="auto"/>
              </w:rPr>
            </w:pPr>
            <w:r>
              <w:rPr>
                <w:rFonts w:ascii="Arial" w:cs="Arial" w:eastAsia="Arial" w:hAnsi="Arial"/>
                <w:sz w:val="13"/>
                <w:szCs w:val="13"/>
                <w:color w:val="auto"/>
              </w:rPr>
              <w:t>0%</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0%</w:t>
            </w:r>
          </w:p>
        </w:tc>
      </w:tr>
    </w:tbl>
    <w:p>
      <w:pPr>
        <w:spacing w:after="0" w:line="82"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weighted-average fair value (as of the date of grant) of the options granted during the year ended December 31, 2009, 2008 and 2007 was $6.67, $8.42 and $12.52, respectively. During the year ended December 31, 2009, the Company recorded total pre-tax stock-based compensation expense of $8.3 million ($6.1 million after tax or $0.20 per diluted share), which includes both intrinsic value for equity awards issued prior to 2006 and fair value for equity awards issued after January 1, 2006. The total stock-based compensation cost related to non-vested equity awards not yet recognized as an expense as of December 31, 2009 was approximately $15.5 million. That cost is expected to be recognized over a weighted-average period of approximately 2.83 years.</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information about stock options outstanding.</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4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1"/>
                <w:szCs w:val="11"/>
                <w:b w:val="1"/>
                <w:bCs w:val="1"/>
                <w:color w:val="auto"/>
                <w:w w:val="93"/>
              </w:rPr>
              <w:t>Options Outstanding</w:t>
            </w: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4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20" w:type="dxa"/>
            <w:vAlign w:val="bottom"/>
            <w:gridSpan w:val="2"/>
          </w:tcPr>
          <w:p>
            <w:pPr>
              <w:jc w:val="center"/>
              <w:ind w:right="434"/>
              <w:spacing w:after="0" w:line="82" w:lineRule="exact"/>
              <w:rPr>
                <w:sz w:val="20"/>
                <w:szCs w:val="20"/>
                <w:color w:val="auto"/>
              </w:rPr>
            </w:pPr>
            <w:r>
              <w:rPr>
                <w:rFonts w:ascii="Arial" w:cs="Arial" w:eastAsia="Arial" w:hAnsi="Arial"/>
                <w:sz w:val="9"/>
                <w:szCs w:val="9"/>
                <w:b w:val="1"/>
                <w:bCs w:val="1"/>
                <w:color w:val="auto"/>
              </w:rPr>
              <w:t>Option</w:t>
            </w: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gridSpan w:val="3"/>
          </w:tcPr>
          <w:p>
            <w:pPr>
              <w:jc w:val="center"/>
              <w:ind w:right="560"/>
              <w:spacing w:after="0" w:line="109" w:lineRule="exact"/>
              <w:rPr>
                <w:sz w:val="20"/>
                <w:szCs w:val="20"/>
                <w:color w:val="auto"/>
              </w:rPr>
            </w:pPr>
            <w:r>
              <w:rPr>
                <w:rFonts w:ascii="Arial" w:cs="Arial" w:eastAsia="Arial" w:hAnsi="Arial"/>
                <w:sz w:val="11"/>
                <w:szCs w:val="11"/>
                <w:b w:val="1"/>
                <w:bCs w:val="1"/>
                <w:color w:val="auto"/>
                <w:w w:val="81"/>
              </w:rPr>
              <w:t>Shares</w:t>
            </w:r>
          </w:p>
        </w:tc>
        <w:tc>
          <w:tcPr>
            <w:tcW w:w="640" w:type="dxa"/>
            <w:vAlign w:val="bottom"/>
            <w:gridSpan w:val="3"/>
          </w:tcPr>
          <w:p>
            <w:pPr>
              <w:jc w:val="center"/>
              <w:ind w:right="20"/>
              <w:spacing w:after="0" w:line="109" w:lineRule="exact"/>
              <w:rPr>
                <w:sz w:val="20"/>
                <w:szCs w:val="20"/>
                <w:color w:val="auto"/>
              </w:rPr>
            </w:pPr>
            <w:r>
              <w:rPr>
                <w:rFonts w:ascii="Arial" w:cs="Arial" w:eastAsia="Arial" w:hAnsi="Arial"/>
                <w:sz w:val="11"/>
                <w:szCs w:val="11"/>
                <w:b w:val="1"/>
                <w:bCs w:val="1"/>
                <w:color w:val="auto"/>
                <w:w w:val="91"/>
              </w:rPr>
              <w:t>Number</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gridSpan w:val="2"/>
          </w:tcPr>
          <w:p>
            <w:pPr>
              <w:jc w:val="center"/>
              <w:ind w:right="434"/>
              <w:spacing w:after="0" w:line="109" w:lineRule="exact"/>
              <w:rPr>
                <w:sz w:val="20"/>
                <w:szCs w:val="20"/>
                <w:color w:val="auto"/>
              </w:rPr>
            </w:pPr>
            <w:r>
              <w:rPr>
                <w:rFonts w:ascii="Arial" w:cs="Arial" w:eastAsia="Arial" w:hAnsi="Arial"/>
                <w:sz w:val="11"/>
                <w:szCs w:val="11"/>
                <w:b w:val="1"/>
                <w:bCs w:val="1"/>
                <w:color w:val="auto"/>
                <w:w w:val="85"/>
              </w:rPr>
              <w:t>Exercise Price</w:t>
            </w:r>
          </w:p>
        </w:tc>
        <w:tc>
          <w:tcPr>
            <w:tcW w:w="260" w:type="dxa"/>
            <w:vAlign w:val="bottom"/>
          </w:tcPr>
          <w:p>
            <w:pPr>
              <w:spacing w:after="0"/>
              <w:rPr>
                <w:sz w:val="9"/>
                <w:szCs w:val="9"/>
                <w:color w:val="auto"/>
              </w:rPr>
            </w:pPr>
          </w:p>
        </w:tc>
        <w:tc>
          <w:tcPr>
            <w:tcW w:w="104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90"/>
              </w:rPr>
              <w:t>Weighted-</w:t>
            </w:r>
          </w:p>
        </w:tc>
        <w:tc>
          <w:tcPr>
            <w:tcW w:w="0" w:type="dxa"/>
            <w:vAlign w:val="bottom"/>
          </w:tcPr>
          <w:p>
            <w:pPr>
              <w:spacing w:after="0"/>
              <w:rPr>
                <w:sz w:val="1"/>
                <w:szCs w:val="1"/>
                <w:color w:val="auto"/>
              </w:rPr>
            </w:pPr>
          </w:p>
        </w:tc>
      </w:tr>
      <w:tr>
        <w:trPr>
          <w:trHeight w:val="109"/>
        </w:trPr>
        <w:tc>
          <w:tcPr>
            <w:tcW w:w="4880" w:type="dxa"/>
            <w:vAlign w:val="bottom"/>
          </w:tcPr>
          <w:p>
            <w:pPr>
              <w:spacing w:after="0"/>
              <w:rPr>
                <w:sz w:val="9"/>
                <w:szCs w:val="9"/>
                <w:color w:val="auto"/>
              </w:rPr>
            </w:pPr>
          </w:p>
        </w:tc>
        <w:tc>
          <w:tcPr>
            <w:tcW w:w="1180" w:type="dxa"/>
            <w:vAlign w:val="bottom"/>
            <w:gridSpan w:val="4"/>
          </w:tcPr>
          <w:p>
            <w:pPr>
              <w:jc w:val="center"/>
              <w:ind w:right="280"/>
              <w:spacing w:after="0" w:line="109" w:lineRule="exact"/>
              <w:rPr>
                <w:sz w:val="20"/>
                <w:szCs w:val="20"/>
                <w:color w:val="auto"/>
              </w:rPr>
            </w:pPr>
            <w:r>
              <w:rPr>
                <w:rFonts w:ascii="Arial" w:cs="Arial" w:eastAsia="Arial" w:hAnsi="Arial"/>
                <w:sz w:val="11"/>
                <w:szCs w:val="11"/>
                <w:b w:val="1"/>
                <w:bCs w:val="1"/>
                <w:color w:val="auto"/>
                <w:w w:val="86"/>
              </w:rPr>
              <w:t>Available</w:t>
            </w:r>
          </w:p>
        </w:tc>
        <w:tc>
          <w:tcPr>
            <w:tcW w:w="180" w:type="dxa"/>
            <w:vAlign w:val="bottom"/>
          </w:tcPr>
          <w:p>
            <w:pPr>
              <w:spacing w:after="0"/>
              <w:rPr>
                <w:sz w:val="9"/>
                <w:szCs w:val="9"/>
                <w:color w:val="auto"/>
              </w:rPr>
            </w:pPr>
          </w:p>
        </w:tc>
        <w:tc>
          <w:tcPr>
            <w:tcW w:w="460" w:type="dxa"/>
            <w:vAlign w:val="bottom"/>
            <w:gridSpan w:val="2"/>
          </w:tcPr>
          <w:p>
            <w:pPr>
              <w:jc w:val="center"/>
              <w:ind w:right="180"/>
              <w:spacing w:after="0" w:line="109" w:lineRule="exact"/>
              <w:rPr>
                <w:sz w:val="20"/>
                <w:szCs w:val="20"/>
                <w:color w:val="auto"/>
              </w:rPr>
            </w:pPr>
            <w:r>
              <w:rPr>
                <w:rFonts w:ascii="Arial" w:cs="Arial" w:eastAsia="Arial" w:hAnsi="Arial"/>
                <w:sz w:val="11"/>
                <w:szCs w:val="11"/>
                <w:b w:val="1"/>
                <w:bCs w:val="1"/>
                <w:color w:val="auto"/>
                <w:w w:val="76"/>
              </w:rPr>
              <w:t>of</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20" w:type="dxa"/>
            <w:vAlign w:val="bottom"/>
            <w:gridSpan w:val="2"/>
          </w:tcPr>
          <w:p>
            <w:pPr>
              <w:jc w:val="center"/>
              <w:ind w:right="434"/>
              <w:spacing w:after="0" w:line="109" w:lineRule="exact"/>
              <w:rPr>
                <w:sz w:val="20"/>
                <w:szCs w:val="20"/>
                <w:color w:val="auto"/>
              </w:rPr>
            </w:pPr>
            <w:r>
              <w:rPr>
                <w:rFonts w:ascii="Arial" w:cs="Arial" w:eastAsia="Arial" w:hAnsi="Arial"/>
                <w:sz w:val="11"/>
                <w:szCs w:val="11"/>
                <w:b w:val="1"/>
                <w:bCs w:val="1"/>
                <w:color w:val="auto"/>
                <w:w w:val="86"/>
              </w:rPr>
              <w:t>per Share</w:t>
            </w:r>
          </w:p>
        </w:tc>
        <w:tc>
          <w:tcPr>
            <w:tcW w:w="260" w:type="dxa"/>
            <w:vAlign w:val="bottom"/>
          </w:tcPr>
          <w:p>
            <w:pPr>
              <w:spacing w:after="0"/>
              <w:rPr>
                <w:sz w:val="9"/>
                <w:szCs w:val="9"/>
                <w:color w:val="auto"/>
              </w:rPr>
            </w:pPr>
          </w:p>
        </w:tc>
        <w:tc>
          <w:tcPr>
            <w:tcW w:w="1040" w:type="dxa"/>
            <w:vAlign w:val="bottom"/>
            <w:gridSpan w:val="2"/>
          </w:tcPr>
          <w:p>
            <w:pPr>
              <w:jc w:val="center"/>
              <w:spacing w:after="0" w:line="109" w:lineRule="exact"/>
              <w:rPr>
                <w:sz w:val="20"/>
                <w:szCs w:val="20"/>
                <w:color w:val="auto"/>
              </w:rPr>
            </w:pPr>
            <w:r>
              <w:rPr>
                <w:rFonts w:ascii="Arial" w:cs="Arial" w:eastAsia="Arial" w:hAnsi="Arial"/>
                <w:sz w:val="11"/>
                <w:szCs w:val="11"/>
                <w:b w:val="1"/>
                <w:bCs w:val="1"/>
                <w:color w:val="auto"/>
                <w:w w:val="82"/>
              </w:rPr>
              <w:t>Average</w:t>
            </w:r>
          </w:p>
        </w:tc>
        <w:tc>
          <w:tcPr>
            <w:tcW w:w="0" w:type="dxa"/>
            <w:vAlign w:val="bottom"/>
          </w:tcPr>
          <w:p>
            <w:pPr>
              <w:spacing w:after="0"/>
              <w:rPr>
                <w:sz w:val="1"/>
                <w:szCs w:val="1"/>
                <w:color w:val="auto"/>
              </w:rPr>
            </w:pPr>
          </w:p>
        </w:tc>
      </w:tr>
      <w:tr>
        <w:trPr>
          <w:trHeight w:val="126"/>
        </w:trPr>
        <w:tc>
          <w:tcPr>
            <w:tcW w:w="4880" w:type="dxa"/>
            <w:vAlign w:val="bottom"/>
          </w:tcPr>
          <w:p>
            <w:pPr>
              <w:spacing w:after="0"/>
              <w:rPr>
                <w:sz w:val="10"/>
                <w:szCs w:val="1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3"/>
              </w:rPr>
              <w:t>for Grant</w:t>
            </w:r>
          </w:p>
        </w:tc>
        <w:tc>
          <w:tcPr>
            <w:tcW w:w="260" w:type="dxa"/>
            <w:vAlign w:val="bottom"/>
          </w:tcPr>
          <w:p>
            <w:pPr>
              <w:spacing w:after="0"/>
              <w:rPr>
                <w:sz w:val="10"/>
                <w:szCs w:val="10"/>
                <w:color w:val="auto"/>
              </w:rPr>
            </w:pPr>
          </w:p>
        </w:tc>
        <w:tc>
          <w:tcPr>
            <w:tcW w:w="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1"/>
              </w:rPr>
              <w:t>Shares</w:t>
            </w:r>
          </w:p>
        </w:tc>
        <w:tc>
          <w:tcPr>
            <w:tcW w:w="26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gridSpan w:val="2"/>
          </w:tcPr>
          <w:p>
            <w:pPr>
              <w:jc w:val="center"/>
              <w:ind w:right="434"/>
              <w:spacing w:after="0"/>
              <w:rPr>
                <w:sz w:val="20"/>
                <w:szCs w:val="20"/>
                <w:color w:val="auto"/>
              </w:rPr>
            </w:pPr>
            <w:r>
              <w:rPr>
                <w:rFonts w:ascii="Arial" w:cs="Arial" w:eastAsia="Arial" w:hAnsi="Arial"/>
                <w:sz w:val="11"/>
                <w:szCs w:val="11"/>
                <w:b w:val="1"/>
                <w:bCs w:val="1"/>
                <w:color w:val="auto"/>
                <w:w w:val="83"/>
              </w:rPr>
              <w:t>Range</w:t>
            </w:r>
          </w:p>
        </w:tc>
        <w:tc>
          <w:tcPr>
            <w:tcW w:w="260" w:type="dxa"/>
            <w:vAlign w:val="bottom"/>
          </w:tcPr>
          <w:p>
            <w:pPr>
              <w:spacing w:after="0"/>
              <w:rPr>
                <w:sz w:val="10"/>
                <w:szCs w:val="1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85"/>
              </w:rPr>
              <w:t>Exercise Price</w:t>
            </w:r>
          </w:p>
        </w:tc>
        <w:tc>
          <w:tcPr>
            <w:tcW w:w="0" w:type="dxa"/>
            <w:vAlign w:val="bottom"/>
          </w:tcPr>
          <w:p>
            <w:pPr>
              <w:spacing w:after="0"/>
              <w:rPr>
                <w:sz w:val="1"/>
                <w:szCs w:val="1"/>
                <w:color w:val="auto"/>
              </w:rPr>
            </w:pPr>
          </w:p>
        </w:tc>
      </w:tr>
      <w:tr>
        <w:trPr>
          <w:trHeight w:val="179"/>
        </w:trPr>
        <w:tc>
          <w:tcPr>
            <w:tcW w:w="4880" w:type="dxa"/>
            <w:vAlign w:val="bottom"/>
          </w:tcPr>
          <w:p>
            <w:pPr>
              <w:spacing w:after="0"/>
              <w:rPr>
                <w:sz w:val="20"/>
                <w:szCs w:val="20"/>
                <w:color w:val="auto"/>
              </w:rPr>
            </w:pPr>
            <w:r>
              <w:rPr>
                <w:rFonts w:ascii="Arial" w:cs="Arial" w:eastAsia="Arial" w:hAnsi="Arial"/>
                <w:sz w:val="13"/>
                <w:szCs w:val="13"/>
                <w:color w:val="auto"/>
              </w:rPr>
              <w:t>Balance at December 31, 2006</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1,796</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2,187</w:t>
            </w: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- 12.68</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7.62</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(1,059)</w:t>
            </w: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1,059</w:t>
            </w:r>
          </w:p>
        </w:tc>
        <w:tc>
          <w:tcPr>
            <w:tcW w:w="1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w w:val="85"/>
              </w:rPr>
              <w:t>14.00</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- 42.77</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28.06</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280" w:type="dxa"/>
            <w:vAlign w:val="bottom"/>
          </w:tcPr>
          <w:p>
            <w:pPr>
              <w:spacing w:after="0"/>
              <w:rPr>
                <w:sz w:val="13"/>
                <w:szCs w:val="13"/>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(342)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- 14.00</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4.60</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forfeited</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(73)</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- 38.62</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12.40</w:t>
            </w:r>
          </w:p>
        </w:tc>
        <w:tc>
          <w:tcPr>
            <w:tcW w:w="0" w:type="dxa"/>
            <w:vAlign w:val="bottom"/>
          </w:tcPr>
          <w:p>
            <w:pPr>
              <w:spacing w:after="0"/>
              <w:rPr>
                <w:sz w:val="1"/>
                <w:szCs w:val="1"/>
                <w:color w:val="auto"/>
              </w:rPr>
            </w:pPr>
          </w:p>
        </w:tc>
      </w:tr>
      <w:tr>
        <w:trPr>
          <w:trHeight w:val="165"/>
        </w:trPr>
        <w:tc>
          <w:tcPr>
            <w:tcW w:w="4880" w:type="dxa"/>
            <w:vAlign w:val="bottom"/>
          </w:tcPr>
          <w:p>
            <w:pPr>
              <w:ind w:left="140"/>
              <w:spacing w:after="0"/>
              <w:rPr>
                <w:sz w:val="20"/>
                <w:szCs w:val="20"/>
                <w:color w:val="auto"/>
              </w:rPr>
            </w:pPr>
            <w:r>
              <w:rPr>
                <w:rFonts w:ascii="Arial" w:cs="Arial" w:eastAsia="Arial" w:hAnsi="Arial"/>
                <w:sz w:val="13"/>
                <w:szCs w:val="13"/>
                <w:color w:val="auto"/>
              </w:rPr>
              <w:t>Net restricted stock purchased, granted and forfeited</w:t>
            </w:r>
          </w:p>
        </w:tc>
        <w:tc>
          <w:tcPr>
            <w:tcW w:w="2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(56)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color w:val="auto"/>
              </w:rPr>
              <w:t>Balance at December 31, 2007</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0.29</w:t>
            </w:r>
          </w:p>
        </w:tc>
        <w:tc>
          <w:tcPr>
            <w:tcW w:w="900" w:type="dxa"/>
            <w:vAlign w:val="bottom"/>
            <w:vMerge w:val="restart"/>
          </w:tcPr>
          <w:p>
            <w:pPr>
              <w:jc w:val="right"/>
              <w:ind w:right="434"/>
              <w:spacing w:after="0"/>
              <w:rPr>
                <w:sz w:val="20"/>
                <w:szCs w:val="20"/>
                <w:color w:val="auto"/>
              </w:rPr>
            </w:pPr>
            <w:r>
              <w:rPr>
                <w:rFonts w:ascii="Arial" w:cs="Arial" w:eastAsia="Arial" w:hAnsi="Arial"/>
                <w:sz w:val="13"/>
                <w:szCs w:val="13"/>
                <w:color w:val="auto"/>
                <w:w w:val="93"/>
              </w:rPr>
              <w:t>- 42.77</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14"/>
              <w:spacing w:after="0"/>
              <w:rPr>
                <w:sz w:val="20"/>
                <w:szCs w:val="20"/>
                <w:color w:val="auto"/>
              </w:rPr>
            </w:pPr>
            <w:r>
              <w:rPr>
                <w:rFonts w:ascii="Arial" w:cs="Arial" w:eastAsia="Arial" w:hAnsi="Arial"/>
                <w:sz w:val="13"/>
                <w:szCs w:val="13"/>
                <w:color w:val="auto"/>
                <w:w w:val="79"/>
              </w:rPr>
              <w:t>15.51</w:t>
            </w:r>
          </w:p>
        </w:tc>
        <w:tc>
          <w:tcPr>
            <w:tcW w:w="0" w:type="dxa"/>
            <w:vAlign w:val="bottom"/>
          </w:tcPr>
          <w:p>
            <w:pPr>
              <w:spacing w:after="0" w:line="20" w:lineRule="exact"/>
              <w:rPr>
                <w:sz w:val="1"/>
                <w:szCs w:val="1"/>
                <w:color w:val="auto"/>
              </w:rPr>
            </w:pPr>
          </w:p>
        </w:tc>
      </w:tr>
      <w:tr>
        <w:trPr>
          <w:trHeight w:val="151"/>
        </w:trPr>
        <w:tc>
          <w:tcPr>
            <w:tcW w:w="4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754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2,831</w:t>
            </w: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Increase in options available for grant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2,000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(1,420)</w:t>
            </w: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1,420</w:t>
            </w:r>
          </w:p>
        </w:tc>
        <w:tc>
          <w:tcPr>
            <w:tcW w:w="1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6.04</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- 35.62</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11.40</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280" w:type="dxa"/>
            <w:vAlign w:val="bottom"/>
          </w:tcPr>
          <w:p>
            <w:pPr>
              <w:spacing w:after="0"/>
              <w:rPr>
                <w:sz w:val="13"/>
                <w:szCs w:val="13"/>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(161)</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- 15.44</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4.96</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forfeited</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407</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(407)</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- 42.77</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22.93</w:t>
            </w:r>
          </w:p>
        </w:tc>
        <w:tc>
          <w:tcPr>
            <w:tcW w:w="0" w:type="dxa"/>
            <w:vAlign w:val="bottom"/>
          </w:tcPr>
          <w:p>
            <w:pPr>
              <w:spacing w:after="0"/>
              <w:rPr>
                <w:sz w:val="1"/>
                <w:szCs w:val="1"/>
                <w:color w:val="auto"/>
              </w:rPr>
            </w:pPr>
          </w:p>
        </w:tc>
      </w:tr>
      <w:tr>
        <w:trPr>
          <w:trHeight w:val="165"/>
        </w:trPr>
        <w:tc>
          <w:tcPr>
            <w:tcW w:w="4880" w:type="dxa"/>
            <w:vAlign w:val="bottom"/>
          </w:tcPr>
          <w:p>
            <w:pPr>
              <w:ind w:left="140"/>
              <w:spacing w:after="0"/>
              <w:rPr>
                <w:sz w:val="20"/>
                <w:szCs w:val="20"/>
                <w:color w:val="auto"/>
              </w:rPr>
            </w:pPr>
            <w:r>
              <w:rPr>
                <w:rFonts w:ascii="Arial" w:cs="Arial" w:eastAsia="Arial" w:hAnsi="Arial"/>
                <w:sz w:val="13"/>
                <w:szCs w:val="13"/>
                <w:color w:val="auto"/>
              </w:rPr>
              <w:t>Net Restricted stock granted and forfeited</w:t>
            </w:r>
          </w:p>
        </w:tc>
        <w:tc>
          <w:tcPr>
            <w:tcW w:w="2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(87)</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color w:val="auto"/>
              </w:rPr>
              <w:t>Balance at December 31, 2008</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0.29</w:t>
            </w:r>
          </w:p>
        </w:tc>
        <w:tc>
          <w:tcPr>
            <w:tcW w:w="900" w:type="dxa"/>
            <w:vAlign w:val="bottom"/>
            <w:vMerge w:val="restart"/>
          </w:tcPr>
          <w:p>
            <w:pPr>
              <w:jc w:val="right"/>
              <w:ind w:right="434"/>
              <w:spacing w:after="0"/>
              <w:rPr>
                <w:sz w:val="20"/>
                <w:szCs w:val="20"/>
                <w:color w:val="auto"/>
              </w:rPr>
            </w:pPr>
            <w:r>
              <w:rPr>
                <w:rFonts w:ascii="Arial" w:cs="Arial" w:eastAsia="Arial" w:hAnsi="Arial"/>
                <w:sz w:val="13"/>
                <w:szCs w:val="13"/>
                <w:color w:val="auto"/>
                <w:w w:val="93"/>
              </w:rPr>
              <w:t>- 38.62</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14"/>
              <w:spacing w:after="0"/>
              <w:rPr>
                <w:sz w:val="20"/>
                <w:szCs w:val="20"/>
                <w:color w:val="auto"/>
              </w:rPr>
            </w:pPr>
            <w:r>
              <w:rPr>
                <w:rFonts w:ascii="Arial" w:cs="Arial" w:eastAsia="Arial" w:hAnsi="Arial"/>
                <w:sz w:val="13"/>
                <w:szCs w:val="13"/>
                <w:color w:val="auto"/>
                <w:w w:val="79"/>
              </w:rPr>
              <w:t>13.60</w:t>
            </w:r>
          </w:p>
        </w:tc>
        <w:tc>
          <w:tcPr>
            <w:tcW w:w="0" w:type="dxa"/>
            <w:vAlign w:val="bottom"/>
          </w:tcPr>
          <w:p>
            <w:pPr>
              <w:spacing w:after="0" w:line="20" w:lineRule="exact"/>
              <w:rPr>
                <w:sz w:val="1"/>
                <w:szCs w:val="1"/>
                <w:color w:val="auto"/>
              </w:rPr>
            </w:pPr>
          </w:p>
        </w:tc>
      </w:tr>
      <w:tr>
        <w:trPr>
          <w:trHeight w:val="151"/>
        </w:trPr>
        <w:tc>
          <w:tcPr>
            <w:tcW w:w="4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w w:val="98"/>
              </w:rPr>
              <w:t>1,654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3,683</w:t>
            </w: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granted</w:t>
            </w: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(1,376)</w:t>
            </w: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1,376</w:t>
            </w:r>
          </w:p>
        </w:tc>
        <w:tc>
          <w:tcPr>
            <w:tcW w:w="1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8.67</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- 14.00</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12.55</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exercised</w:t>
            </w:r>
          </w:p>
        </w:tc>
        <w:tc>
          <w:tcPr>
            <w:tcW w:w="280" w:type="dxa"/>
            <w:vAlign w:val="bottom"/>
          </w:tcPr>
          <w:p>
            <w:pPr>
              <w:spacing w:after="0"/>
              <w:rPr>
                <w:sz w:val="13"/>
                <w:szCs w:val="13"/>
                <w:color w:val="auto"/>
              </w:rPr>
            </w:pPr>
          </w:p>
        </w:tc>
        <w:tc>
          <w:tcPr>
            <w:tcW w:w="900" w:type="dxa"/>
            <w:vAlign w:val="bottom"/>
            <w:gridSpan w:val="3"/>
          </w:tcPr>
          <w:p>
            <w:pPr>
              <w:jc w:val="right"/>
              <w:ind w:right="560"/>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(222)</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0.29</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- 12.68</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6.74</w:t>
            </w:r>
          </w:p>
        </w:tc>
        <w:tc>
          <w:tcPr>
            <w:tcW w:w="0" w:type="dxa"/>
            <w:vAlign w:val="bottom"/>
          </w:tcPr>
          <w:p>
            <w:pPr>
              <w:spacing w:after="0"/>
              <w:rPr>
                <w:sz w:val="1"/>
                <w:szCs w:val="1"/>
                <w:color w:val="auto"/>
              </w:rPr>
            </w:pPr>
          </w:p>
        </w:tc>
      </w:tr>
      <w:tr>
        <w:trPr>
          <w:trHeight w:val="158"/>
        </w:trPr>
        <w:tc>
          <w:tcPr>
            <w:tcW w:w="4880" w:type="dxa"/>
            <w:vAlign w:val="bottom"/>
          </w:tcPr>
          <w:p>
            <w:pPr>
              <w:ind w:left="140"/>
              <w:spacing w:after="0"/>
              <w:rPr>
                <w:sz w:val="20"/>
                <w:szCs w:val="20"/>
                <w:color w:val="auto"/>
              </w:rPr>
            </w:pPr>
            <w:r>
              <w:rPr>
                <w:rFonts w:ascii="Arial" w:cs="Arial" w:eastAsia="Arial" w:hAnsi="Arial"/>
                <w:sz w:val="13"/>
                <w:szCs w:val="13"/>
                <w:color w:val="auto"/>
              </w:rPr>
              <w:t>Options forfeited</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214</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3"/>
                <w:szCs w:val="13"/>
                <w:color w:val="auto"/>
              </w:rPr>
              <w:t>(214)</w:t>
            </w: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6.95</w:t>
            </w:r>
          </w:p>
        </w:tc>
        <w:tc>
          <w:tcPr>
            <w:tcW w:w="900" w:type="dxa"/>
            <w:vAlign w:val="bottom"/>
          </w:tcPr>
          <w:p>
            <w:pPr>
              <w:jc w:val="right"/>
              <w:ind w:right="434"/>
              <w:spacing w:after="0"/>
              <w:rPr>
                <w:sz w:val="20"/>
                <w:szCs w:val="20"/>
                <w:color w:val="auto"/>
              </w:rPr>
            </w:pPr>
            <w:r>
              <w:rPr>
                <w:rFonts w:ascii="Arial" w:cs="Arial" w:eastAsia="Arial" w:hAnsi="Arial"/>
                <w:sz w:val="13"/>
                <w:szCs w:val="13"/>
                <w:color w:val="auto"/>
                <w:w w:val="93"/>
              </w:rPr>
              <w:t>- 38.62</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14"/>
              <w:spacing w:after="0"/>
              <w:rPr>
                <w:sz w:val="20"/>
                <w:szCs w:val="20"/>
                <w:color w:val="auto"/>
              </w:rPr>
            </w:pPr>
            <w:r>
              <w:rPr>
                <w:rFonts w:ascii="Arial" w:cs="Arial" w:eastAsia="Arial" w:hAnsi="Arial"/>
                <w:sz w:val="13"/>
                <w:szCs w:val="13"/>
                <w:color w:val="auto"/>
                <w:w w:val="79"/>
              </w:rPr>
              <w:t>17.20</w:t>
            </w:r>
          </w:p>
        </w:tc>
        <w:tc>
          <w:tcPr>
            <w:tcW w:w="0" w:type="dxa"/>
            <w:vAlign w:val="bottom"/>
          </w:tcPr>
          <w:p>
            <w:pPr>
              <w:spacing w:after="0"/>
              <w:rPr>
                <w:sz w:val="1"/>
                <w:szCs w:val="1"/>
                <w:color w:val="auto"/>
              </w:rPr>
            </w:pPr>
          </w:p>
        </w:tc>
      </w:tr>
      <w:tr>
        <w:trPr>
          <w:trHeight w:val="158"/>
        </w:trPr>
        <w:tc>
          <w:tcPr>
            <w:tcW w:w="4880" w:type="dxa"/>
            <w:vAlign w:val="bottom"/>
          </w:tcPr>
          <w:p>
            <w:pPr>
              <w:spacing w:after="0"/>
              <w:rPr>
                <w:sz w:val="20"/>
                <w:szCs w:val="20"/>
                <w:color w:val="auto"/>
              </w:rPr>
            </w:pPr>
            <w:r>
              <w:rPr>
                <w:rFonts w:ascii="Arial" w:cs="Arial" w:eastAsia="Arial" w:hAnsi="Arial"/>
                <w:sz w:val="13"/>
                <w:szCs w:val="13"/>
                <w:color w:val="auto"/>
              </w:rPr>
              <w:t>Net restricted stock purchased, granted and forfeited</w:t>
            </w:r>
          </w:p>
        </w:tc>
        <w:tc>
          <w:tcPr>
            <w:tcW w:w="920" w:type="dxa"/>
            <w:vAlign w:val="bottom"/>
            <w:gridSpan w:val="3"/>
          </w:tcPr>
          <w:p>
            <w:pPr>
              <w:jc w:val="right"/>
              <w:ind w:right="260"/>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880" w:type="dxa"/>
            <w:vAlign w:val="bottom"/>
          </w:tcPr>
          <w:p>
            <w:pPr>
              <w:spacing w:after="0"/>
              <w:rPr>
                <w:sz w:val="20"/>
                <w:szCs w:val="20"/>
                <w:color w:val="auto"/>
              </w:rPr>
            </w:pPr>
            <w:r>
              <w:rPr>
                <w:rFonts w:ascii="Arial" w:cs="Arial" w:eastAsia="Arial" w:hAnsi="Arial"/>
                <w:sz w:val="13"/>
                <w:szCs w:val="13"/>
                <w:color w:val="auto"/>
              </w:rPr>
              <w:t>Restricted stock reserved for grant</w:t>
            </w:r>
          </w:p>
        </w:tc>
        <w:tc>
          <w:tcPr>
            <w:tcW w:w="28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(178)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right"/>
              <w:ind w:right="434"/>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jc w:val="right"/>
              <w:ind w:right="3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color w:val="auto"/>
              </w:rPr>
              <w:t>Balance at December 31, 2009</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0.29</w:t>
            </w:r>
          </w:p>
        </w:tc>
        <w:tc>
          <w:tcPr>
            <w:tcW w:w="900" w:type="dxa"/>
            <w:vAlign w:val="bottom"/>
            <w:vMerge w:val="restart"/>
          </w:tcPr>
          <w:p>
            <w:pPr>
              <w:jc w:val="right"/>
              <w:ind w:right="434"/>
              <w:spacing w:after="0"/>
              <w:rPr>
                <w:sz w:val="20"/>
                <w:szCs w:val="20"/>
                <w:color w:val="auto"/>
              </w:rPr>
            </w:pPr>
            <w:r>
              <w:rPr>
                <w:rFonts w:ascii="Arial" w:cs="Arial" w:eastAsia="Arial" w:hAnsi="Arial"/>
                <w:sz w:val="13"/>
                <w:szCs w:val="13"/>
                <w:color w:val="auto"/>
                <w:w w:val="93"/>
              </w:rPr>
              <w:t>- 38.62</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14"/>
              <w:spacing w:after="0"/>
              <w:rPr>
                <w:sz w:val="20"/>
                <w:szCs w:val="20"/>
                <w:color w:val="auto"/>
              </w:rPr>
            </w:pPr>
            <w:r>
              <w:rPr>
                <w:rFonts w:ascii="Arial" w:cs="Arial" w:eastAsia="Arial" w:hAnsi="Arial"/>
                <w:sz w:val="13"/>
                <w:szCs w:val="13"/>
                <w:color w:val="auto"/>
                <w:w w:val="79"/>
              </w:rPr>
              <w:t>13.44</w:t>
            </w:r>
          </w:p>
        </w:tc>
        <w:tc>
          <w:tcPr>
            <w:tcW w:w="0" w:type="dxa"/>
            <w:vAlign w:val="bottom"/>
          </w:tcPr>
          <w:p>
            <w:pPr>
              <w:spacing w:after="0" w:line="20" w:lineRule="exact"/>
              <w:rPr>
                <w:sz w:val="1"/>
                <w:szCs w:val="1"/>
                <w:color w:val="auto"/>
              </w:rPr>
            </w:pPr>
          </w:p>
        </w:tc>
      </w:tr>
      <w:tr>
        <w:trPr>
          <w:trHeight w:val="159"/>
        </w:trPr>
        <w:tc>
          <w:tcPr>
            <w:tcW w:w="4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4,623</w:t>
            </w: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3"/>
                <w:szCs w:val="13"/>
                <w:color w:val="auto"/>
              </w:rPr>
              <w:t>Expected to vest at December 31, 2009</w:t>
            </w: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jc w:val="right"/>
              <w:spacing w:after="0"/>
              <w:rPr>
                <w:sz w:val="20"/>
                <w:szCs w:val="20"/>
                <w:color w:val="auto"/>
              </w:rPr>
            </w:pPr>
            <w:r>
              <w:rPr>
                <w:rFonts w:ascii="Arial" w:cs="Arial" w:eastAsia="Arial" w:hAnsi="Arial"/>
                <w:sz w:val="13"/>
                <w:szCs w:val="13"/>
                <w:color w:val="auto"/>
              </w:rPr>
              <w:t>6.04</w:t>
            </w:r>
          </w:p>
        </w:tc>
        <w:tc>
          <w:tcPr>
            <w:tcW w:w="900" w:type="dxa"/>
            <w:vAlign w:val="bottom"/>
            <w:vMerge w:val="restart"/>
          </w:tcPr>
          <w:p>
            <w:pPr>
              <w:jc w:val="right"/>
              <w:ind w:right="434"/>
              <w:spacing w:after="0"/>
              <w:rPr>
                <w:sz w:val="20"/>
                <w:szCs w:val="20"/>
                <w:color w:val="auto"/>
              </w:rPr>
            </w:pPr>
            <w:r>
              <w:rPr>
                <w:rFonts w:ascii="Arial" w:cs="Arial" w:eastAsia="Arial" w:hAnsi="Arial"/>
                <w:sz w:val="13"/>
                <w:szCs w:val="13"/>
                <w:color w:val="auto"/>
                <w:w w:val="93"/>
              </w:rPr>
              <w:t>- 38.62</w:t>
            </w:r>
          </w:p>
        </w:tc>
        <w:tc>
          <w:tcPr>
            <w:tcW w:w="64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14"/>
              <w:spacing w:after="0"/>
              <w:rPr>
                <w:sz w:val="20"/>
                <w:szCs w:val="20"/>
                <w:color w:val="auto"/>
              </w:rPr>
            </w:pPr>
            <w:r>
              <w:rPr>
                <w:rFonts w:ascii="Arial" w:cs="Arial" w:eastAsia="Arial" w:hAnsi="Arial"/>
                <w:sz w:val="13"/>
                <w:szCs w:val="13"/>
                <w:color w:val="auto"/>
                <w:w w:val="79"/>
              </w:rPr>
              <w:t>13.50</w:t>
            </w:r>
          </w:p>
        </w:tc>
        <w:tc>
          <w:tcPr>
            <w:tcW w:w="0" w:type="dxa"/>
            <w:vAlign w:val="bottom"/>
          </w:tcPr>
          <w:p>
            <w:pPr>
              <w:spacing w:after="0" w:line="20" w:lineRule="exact"/>
              <w:rPr>
                <w:sz w:val="1"/>
                <w:szCs w:val="1"/>
                <w:color w:val="auto"/>
              </w:rPr>
            </w:pPr>
          </w:p>
        </w:tc>
      </w:tr>
      <w:tr>
        <w:trPr>
          <w:trHeight w:val="156"/>
        </w:trPr>
        <w:tc>
          <w:tcPr>
            <w:tcW w:w="4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1,447</w:t>
            </w: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880" w:type="dxa"/>
            <w:vAlign w:val="bottom"/>
            <w:vMerge w:val="restart"/>
          </w:tcPr>
          <w:p>
            <w:pPr>
              <w:spacing w:after="0"/>
              <w:rPr>
                <w:sz w:val="20"/>
                <w:szCs w:val="20"/>
                <w:color w:val="auto"/>
              </w:rPr>
            </w:pPr>
            <w:r>
              <w:rPr>
                <w:rFonts w:ascii="Arial" w:cs="Arial" w:eastAsia="Arial" w:hAnsi="Arial"/>
                <w:sz w:val="13"/>
                <w:szCs w:val="13"/>
                <w:color w:val="auto"/>
              </w:rPr>
              <w:t>Vested and exercisable at December 31, 2009</w:t>
            </w: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48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2,111</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the Company’s non-vested restricted stock at December 31, 2009, and changes during the year ended December 31, 2009, is presented below:</w:t>
      </w:r>
    </w:p>
    <w:p>
      <w:pPr>
        <w:spacing w:after="0" w:line="92"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70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Non-Vested Restricted Stock</w:t>
            </w:r>
          </w:p>
        </w:tc>
        <w:tc>
          <w:tcPr>
            <w:tcW w:w="8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Number of</w:t>
            </w:r>
          </w:p>
        </w:tc>
        <w:tc>
          <w:tcPr>
            <w:tcW w:w="280" w:type="dxa"/>
            <w:vAlign w:val="bottom"/>
          </w:tcPr>
          <w:p>
            <w:pPr>
              <w:spacing w:after="0"/>
              <w:rPr>
                <w:sz w:val="10"/>
                <w:szCs w:val="10"/>
                <w:color w:val="auto"/>
              </w:rPr>
            </w:pPr>
          </w:p>
        </w:tc>
        <w:tc>
          <w:tcPr>
            <w:tcW w:w="1860" w:type="dxa"/>
            <w:vAlign w:val="bottom"/>
          </w:tcPr>
          <w:p>
            <w:pPr>
              <w:jc w:val="right"/>
              <w:ind w:right="447"/>
              <w:spacing w:after="0"/>
              <w:rPr>
                <w:sz w:val="20"/>
                <w:szCs w:val="20"/>
                <w:color w:val="auto"/>
              </w:rPr>
            </w:pPr>
            <w:r>
              <w:rPr>
                <w:rFonts w:ascii="Arial" w:cs="Arial" w:eastAsia="Arial" w:hAnsi="Arial"/>
                <w:sz w:val="11"/>
                <w:szCs w:val="11"/>
                <w:b w:val="1"/>
                <w:bCs w:val="1"/>
                <w:color w:val="auto"/>
              </w:rPr>
              <w:t>Weighted-Average</w:t>
            </w:r>
          </w:p>
        </w:tc>
        <w:tc>
          <w:tcPr>
            <w:tcW w:w="0" w:type="dxa"/>
            <w:vAlign w:val="bottom"/>
          </w:tcPr>
          <w:p>
            <w:pPr>
              <w:spacing w:after="0"/>
              <w:rPr>
                <w:sz w:val="1"/>
                <w:szCs w:val="1"/>
                <w:color w:val="auto"/>
              </w:rPr>
            </w:pPr>
          </w:p>
        </w:tc>
      </w:tr>
      <w:tr>
        <w:trPr>
          <w:trHeight w:val="126"/>
        </w:trPr>
        <w:tc>
          <w:tcPr>
            <w:tcW w:w="7040" w:type="dxa"/>
            <w:vAlign w:val="bottom"/>
            <w:gridSpan w:val="2"/>
            <w:vMerge w:val="continue"/>
          </w:tcPr>
          <w:p>
            <w:pPr>
              <w:spacing w:after="0"/>
              <w:rPr>
                <w:sz w:val="10"/>
                <w:szCs w:val="10"/>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1"/>
                <w:szCs w:val="11"/>
                <w:b w:val="1"/>
                <w:bCs w:val="1"/>
                <w:color w:val="auto"/>
              </w:rPr>
              <w:t>Awards</w:t>
            </w:r>
          </w:p>
        </w:tc>
        <w:tc>
          <w:tcPr>
            <w:tcW w:w="280" w:type="dxa"/>
            <w:vAlign w:val="bottom"/>
          </w:tcPr>
          <w:p>
            <w:pPr>
              <w:spacing w:after="0"/>
              <w:rPr>
                <w:sz w:val="10"/>
                <w:szCs w:val="10"/>
                <w:color w:val="auto"/>
              </w:rPr>
            </w:pPr>
          </w:p>
        </w:tc>
        <w:tc>
          <w:tcPr>
            <w:tcW w:w="1860" w:type="dxa"/>
            <w:vAlign w:val="bottom"/>
          </w:tcPr>
          <w:p>
            <w:pPr>
              <w:jc w:val="right"/>
              <w:ind w:right="367"/>
              <w:spacing w:after="0"/>
              <w:rPr>
                <w:sz w:val="20"/>
                <w:szCs w:val="20"/>
                <w:color w:val="auto"/>
              </w:rPr>
            </w:pPr>
            <w:r>
              <w:rPr>
                <w:rFonts w:ascii="Arial" w:cs="Arial" w:eastAsia="Arial" w:hAnsi="Arial"/>
                <w:sz w:val="11"/>
                <w:szCs w:val="11"/>
                <w:b w:val="1"/>
                <w:bCs w:val="1"/>
                <w:color w:val="auto"/>
              </w:rPr>
              <w:t>Grant Date Fair Value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040" w:type="dxa"/>
            <w:vAlign w:val="bottom"/>
            <w:gridSpan w:val="2"/>
          </w:tcPr>
          <w:p>
            <w:pPr>
              <w:spacing w:after="0"/>
              <w:rPr>
                <w:sz w:val="20"/>
                <w:szCs w:val="20"/>
                <w:color w:val="auto"/>
              </w:rPr>
            </w:pPr>
            <w:r>
              <w:rPr>
                <w:rFonts w:ascii="Arial" w:cs="Arial" w:eastAsia="Arial" w:hAnsi="Arial"/>
                <w:sz w:val="13"/>
                <w:szCs w:val="13"/>
                <w:color w:val="auto"/>
              </w:rPr>
              <w:t>Non-vested at January 1, 2009</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193</w:t>
            </w:r>
          </w:p>
        </w:tc>
        <w:tc>
          <w:tcPr>
            <w:tcW w:w="300" w:type="dxa"/>
            <w:vAlign w:val="bottom"/>
          </w:tcPr>
          <w:p>
            <w:pPr>
              <w:spacing w:after="0"/>
              <w:rPr>
                <w:sz w:val="15"/>
                <w:szCs w:val="15"/>
                <w:color w:val="auto"/>
              </w:rPr>
            </w:pPr>
          </w:p>
        </w:tc>
        <w:tc>
          <w:tcPr>
            <w:tcW w:w="2140" w:type="dxa"/>
            <w:vAlign w:val="bottom"/>
            <w:gridSpan w:val="2"/>
          </w:tcPr>
          <w:p>
            <w:pPr>
              <w:jc w:val="right"/>
              <w:ind w:right="727"/>
              <w:spacing w:after="0"/>
              <w:rPr>
                <w:sz w:val="20"/>
                <w:szCs w:val="20"/>
                <w:color w:val="auto"/>
              </w:rPr>
            </w:pPr>
            <w:r>
              <w:rPr>
                <w:rFonts w:ascii="Arial" w:cs="Arial" w:eastAsia="Arial" w:hAnsi="Arial"/>
                <w:sz w:val="13"/>
                <w:szCs w:val="13"/>
                <w:color w:val="auto"/>
              </w:rPr>
              <w:t>$11.98</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6960" w:type="dxa"/>
            <w:vAlign w:val="bottom"/>
          </w:tcPr>
          <w:p>
            <w:pPr>
              <w:ind w:left="60"/>
              <w:spacing w:after="0"/>
              <w:rPr>
                <w:sz w:val="20"/>
                <w:szCs w:val="20"/>
                <w:color w:val="auto"/>
              </w:rPr>
            </w:pPr>
            <w:r>
              <w:rPr>
                <w:rFonts w:ascii="Arial" w:cs="Arial" w:eastAsia="Arial" w:hAnsi="Arial"/>
                <w:sz w:val="13"/>
                <w:szCs w:val="13"/>
                <w:color w:val="auto"/>
              </w:rPr>
              <w:t>Granted</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300" w:type="dxa"/>
            <w:vAlign w:val="bottom"/>
          </w:tcPr>
          <w:p>
            <w:pPr>
              <w:spacing w:after="0"/>
              <w:rPr>
                <w:sz w:val="13"/>
                <w:szCs w:val="13"/>
                <w:color w:val="auto"/>
              </w:rPr>
            </w:pPr>
          </w:p>
        </w:tc>
        <w:tc>
          <w:tcPr>
            <w:tcW w:w="2140" w:type="dxa"/>
            <w:vAlign w:val="bottom"/>
            <w:gridSpan w:val="2"/>
          </w:tcPr>
          <w:p>
            <w:pPr>
              <w:jc w:val="right"/>
              <w:ind w:right="727"/>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6960" w:type="dxa"/>
            <w:vAlign w:val="bottom"/>
          </w:tcPr>
          <w:p>
            <w:pPr>
              <w:ind w:left="60"/>
              <w:spacing w:after="0"/>
              <w:rPr>
                <w:sz w:val="20"/>
                <w:szCs w:val="20"/>
                <w:color w:val="auto"/>
              </w:rPr>
            </w:pPr>
            <w:r>
              <w:rPr>
                <w:rFonts w:ascii="Arial" w:cs="Arial" w:eastAsia="Arial" w:hAnsi="Arial"/>
                <w:sz w:val="13"/>
                <w:szCs w:val="13"/>
                <w:color w:val="auto"/>
              </w:rPr>
              <w:t>Vested</w:t>
            </w:r>
          </w:p>
        </w:tc>
        <w:tc>
          <w:tcPr>
            <w:tcW w:w="800" w:type="dxa"/>
            <w:vAlign w:val="bottom"/>
            <w:gridSpan w:val="3"/>
          </w:tcPr>
          <w:p>
            <w:pPr>
              <w:jc w:val="right"/>
              <w:ind w:right="260"/>
              <w:spacing w:after="0"/>
              <w:rPr>
                <w:sz w:val="20"/>
                <w:szCs w:val="20"/>
                <w:color w:val="auto"/>
              </w:rPr>
            </w:pPr>
            <w:r>
              <w:rPr>
                <w:rFonts w:ascii="Arial" w:cs="Arial" w:eastAsia="Arial" w:hAnsi="Arial"/>
                <w:sz w:val="13"/>
                <w:szCs w:val="13"/>
                <w:color w:val="auto"/>
              </w:rPr>
              <w:t>(83)</w:t>
            </w:r>
          </w:p>
        </w:tc>
        <w:tc>
          <w:tcPr>
            <w:tcW w:w="2140" w:type="dxa"/>
            <w:vAlign w:val="bottom"/>
            <w:gridSpan w:val="2"/>
          </w:tcPr>
          <w:p>
            <w:pPr>
              <w:jc w:val="right"/>
              <w:ind w:right="727"/>
              <w:spacing w:after="0"/>
              <w:rPr>
                <w:sz w:val="20"/>
                <w:szCs w:val="20"/>
                <w:color w:val="auto"/>
              </w:rPr>
            </w:pPr>
            <w:r>
              <w:rPr>
                <w:rFonts w:ascii="Arial" w:cs="Arial" w:eastAsia="Arial" w:hAnsi="Arial"/>
                <w:sz w:val="13"/>
                <w:szCs w:val="13"/>
                <w:color w:val="auto"/>
              </w:rPr>
              <w:t>$11.00</w:t>
            </w:r>
          </w:p>
        </w:tc>
        <w:tc>
          <w:tcPr>
            <w:tcW w:w="0" w:type="dxa"/>
            <w:vAlign w:val="bottom"/>
          </w:tcPr>
          <w:p>
            <w:pPr>
              <w:spacing w:after="0"/>
              <w:rPr>
                <w:sz w:val="1"/>
                <w:szCs w:val="1"/>
                <w:color w:val="auto"/>
              </w:rPr>
            </w:pPr>
          </w:p>
        </w:tc>
      </w:tr>
      <w:tr>
        <w:trPr>
          <w:trHeight w:val="165"/>
        </w:trPr>
        <w:tc>
          <w:tcPr>
            <w:tcW w:w="80" w:type="dxa"/>
            <w:vAlign w:val="bottom"/>
          </w:tcPr>
          <w:p>
            <w:pPr>
              <w:spacing w:after="0"/>
              <w:rPr>
                <w:sz w:val="14"/>
                <w:szCs w:val="14"/>
                <w:color w:val="auto"/>
              </w:rPr>
            </w:pPr>
          </w:p>
        </w:tc>
        <w:tc>
          <w:tcPr>
            <w:tcW w:w="6960" w:type="dxa"/>
            <w:vAlign w:val="bottom"/>
          </w:tcPr>
          <w:p>
            <w:pPr>
              <w:ind w:left="60"/>
              <w:spacing w:after="0"/>
              <w:rPr>
                <w:sz w:val="20"/>
                <w:szCs w:val="20"/>
                <w:color w:val="auto"/>
              </w:rPr>
            </w:pPr>
            <w:r>
              <w:rPr>
                <w:rFonts w:ascii="Arial" w:cs="Arial" w:eastAsia="Arial" w:hAnsi="Arial"/>
                <w:sz w:val="13"/>
                <w:szCs w:val="13"/>
                <w:color w:val="auto"/>
              </w:rPr>
              <w:t>Forfeited</w:t>
            </w:r>
          </w:p>
        </w:tc>
        <w:tc>
          <w:tcPr>
            <w:tcW w:w="3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3"/>
                <w:szCs w:val="13"/>
                <w:color w:val="auto"/>
              </w:rPr>
              <w:t>(4)</w:t>
            </w:r>
          </w:p>
        </w:tc>
        <w:tc>
          <w:tcPr>
            <w:tcW w:w="2140" w:type="dxa"/>
            <w:vAlign w:val="bottom"/>
            <w:gridSpan w:val="2"/>
          </w:tcPr>
          <w:p>
            <w:pPr>
              <w:jc w:val="right"/>
              <w:ind w:right="727"/>
              <w:spacing w:after="0"/>
              <w:rPr>
                <w:sz w:val="20"/>
                <w:szCs w:val="20"/>
                <w:color w:val="auto"/>
              </w:rPr>
            </w:pPr>
            <w:r>
              <w:rPr>
                <w:rFonts w:ascii="Arial" w:cs="Arial" w:eastAsia="Arial" w:hAnsi="Arial"/>
                <w:sz w:val="13"/>
                <w:szCs w:val="13"/>
                <w:color w:val="auto"/>
              </w:rPr>
              <w:t>$12.27</w:t>
            </w:r>
          </w:p>
        </w:tc>
        <w:tc>
          <w:tcPr>
            <w:tcW w:w="0" w:type="dxa"/>
            <w:vAlign w:val="bottom"/>
          </w:tcPr>
          <w:p>
            <w:pPr>
              <w:spacing w:after="0"/>
              <w:rPr>
                <w:sz w:val="1"/>
                <w:szCs w:val="1"/>
                <w:color w:val="auto"/>
              </w:rPr>
            </w:pPr>
          </w:p>
        </w:tc>
      </w:tr>
      <w:tr>
        <w:trPr>
          <w:trHeight w:val="169"/>
        </w:trPr>
        <w:tc>
          <w:tcPr>
            <w:tcW w:w="7040" w:type="dxa"/>
            <w:vAlign w:val="bottom"/>
            <w:gridSpan w:val="2"/>
          </w:tcPr>
          <w:p>
            <w:pPr>
              <w:spacing w:after="0"/>
              <w:rPr>
                <w:sz w:val="20"/>
                <w:szCs w:val="20"/>
                <w:color w:val="auto"/>
              </w:rPr>
            </w:pPr>
            <w:r>
              <w:rPr>
                <w:rFonts w:ascii="Arial" w:cs="Arial" w:eastAsia="Arial" w:hAnsi="Arial"/>
                <w:sz w:val="13"/>
                <w:szCs w:val="13"/>
                <w:color w:val="auto"/>
              </w:rPr>
              <w:t>Non-vested at December 31, 2009</w:t>
            </w:r>
          </w:p>
        </w:tc>
        <w:tc>
          <w:tcPr>
            <w:tcW w:w="3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114</w:t>
            </w:r>
          </w:p>
        </w:tc>
        <w:tc>
          <w:tcPr>
            <w:tcW w:w="300" w:type="dxa"/>
            <w:vAlign w:val="bottom"/>
          </w:tcPr>
          <w:p>
            <w:pPr>
              <w:spacing w:after="0"/>
              <w:rPr>
                <w:sz w:val="14"/>
                <w:szCs w:val="14"/>
                <w:color w:val="auto"/>
              </w:rPr>
            </w:pPr>
          </w:p>
        </w:tc>
        <w:tc>
          <w:tcPr>
            <w:tcW w:w="2140" w:type="dxa"/>
            <w:vAlign w:val="bottom"/>
            <w:gridSpan w:val="2"/>
          </w:tcPr>
          <w:p>
            <w:pPr>
              <w:jc w:val="right"/>
              <w:ind w:right="727"/>
              <w:spacing w:after="0"/>
              <w:rPr>
                <w:sz w:val="20"/>
                <w:szCs w:val="20"/>
                <w:color w:val="auto"/>
              </w:rPr>
            </w:pPr>
            <w:r>
              <w:rPr>
                <w:rFonts w:ascii="Arial" w:cs="Arial" w:eastAsia="Arial" w:hAnsi="Arial"/>
                <w:sz w:val="13"/>
                <w:szCs w:val="13"/>
                <w:color w:val="auto"/>
              </w:rPr>
              <w:t>$12.62</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As of December 31, 2009 and 2008, the weighted-average remaining contractual life of outstanding options was approximately 6.2 and 7.1 years, respectively. Options vested as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2009 have an aggregate intrinsic value of approximately $10.7 million. Options outstanding as of December 31, 2009 have an aggregate intrinsic value of approximately</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$20.5 million. The total intrinsic value (the excess of the market price over the exercise price) for stock options exercised in 2009 was approximately $1.4 million and $2.4 million for 2008</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and $8.9 million for 2007. The amount of cash received from the exercise of stock options was approximately</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260"/>
        <w:spacing w:after="0" w:line="299" w:lineRule="auto"/>
        <w:rPr>
          <w:sz w:val="20"/>
          <w:szCs w:val="20"/>
          <w:color w:val="auto"/>
        </w:rPr>
      </w:pPr>
      <w:r>
        <w:rPr>
          <w:rFonts w:ascii="Arial" w:cs="Arial" w:eastAsia="Arial" w:hAnsi="Arial"/>
          <w:sz w:val="12"/>
          <w:szCs w:val="12"/>
          <w:color w:val="auto"/>
        </w:rPr>
        <w:t>$1.5 million in 2009. For the years ended December 31, 2009 and 2008, the total fair value of vested options was approximately $15.3 million and $9.4 million, respectively. As of December 31, 2009 and 2008 the weighted-average fair value (as of the date of grant) of the non-vested options was $7.37 and $7.81, respectively. During the year ended December 31, 2009 the weighted-average fair value (as of the date of grant) of options granted, vested and forfeited was $6.67, $7.26 and $8.69, respectively.</w:t>
      </w:r>
    </w:p>
    <w:p>
      <w:pPr>
        <w:spacing w:after="0" w:line="48" w:lineRule="exact"/>
        <w:rPr>
          <w:sz w:val="20"/>
          <w:szCs w:val="20"/>
          <w:color w:val="auto"/>
        </w:rPr>
      </w:pPr>
    </w:p>
    <w:p>
      <w:pPr>
        <w:ind w:left="680" w:right="20" w:firstLine="399"/>
        <w:spacing w:after="0" w:line="259" w:lineRule="auto"/>
        <w:rPr>
          <w:sz w:val="20"/>
          <w:szCs w:val="20"/>
          <w:color w:val="auto"/>
        </w:rPr>
      </w:pPr>
      <w:r>
        <w:rPr>
          <w:rFonts w:ascii="Arial" w:cs="Arial" w:eastAsia="Arial" w:hAnsi="Arial"/>
          <w:sz w:val="13"/>
          <w:szCs w:val="13"/>
          <w:color w:val="auto"/>
        </w:rPr>
        <w:t>During October 2009, the Compensation Committee of the Company’s Board of Directors approved amendments to stock options held by certain employees to permit transferability of such options to family members. As a result of the amendments, options to purchase an aggregate of 401,962 shares of the Company’s common stock no longer qualify as “incentive stock options” under Section 422 of the Internal Revenue Code of 1986, as amended. Accordingly, the Company treated the amended stock options as if they were non-qualified stock options since inception, which resulted in a deferred tax asset of approximately $1.7 million. Also, there was no incremental compensation cost associated with each amended stock option resulting from the measurement of the excess of the fair value of the stock option immediately following its amendment over the fair value of the stock option immediately prior to its amendment based on the share price and other pertinent factors at that date.</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stock options outstanding and exercisable at December 31, 2009:</w:t>
      </w:r>
    </w:p>
    <w:p>
      <w:pPr>
        <w:spacing w:after="0" w:line="99" w:lineRule="exact"/>
        <w:rPr>
          <w:sz w:val="20"/>
          <w:szCs w:val="20"/>
          <w:color w:val="auto"/>
        </w:rPr>
      </w:pPr>
    </w:p>
    <w:tbl>
      <w:tblPr>
        <w:tblLayout w:type="fixed"/>
        <w:tblInd w:w="680" w:type="dxa"/>
        <w:tblCellMar>
          <w:top w:w="0" w:type="dxa"/>
          <w:left w:w="0" w:type="dxa"/>
          <w:bottom w:w="0" w:type="dxa"/>
          <w:right w:w="0" w:type="dxa"/>
        </w:tblCellMar>
      </w:tblPr>
      <w:tr>
        <w:trPr>
          <w:trHeight w:val="126"/>
        </w:trPr>
        <w:tc>
          <w:tcPr>
            <w:tcW w:w="2700" w:type="dxa"/>
            <w:vAlign w:val="bottom"/>
            <w:vMerge w:val="restart"/>
          </w:tcPr>
          <w:p>
            <w:pPr>
              <w:spacing w:after="0"/>
              <w:rPr>
                <w:sz w:val="20"/>
                <w:szCs w:val="20"/>
                <w:color w:val="auto"/>
              </w:rPr>
            </w:pPr>
            <w:r>
              <w:rPr>
                <w:rFonts w:ascii="Arial" w:cs="Arial" w:eastAsia="Arial" w:hAnsi="Arial"/>
                <w:sz w:val="11"/>
                <w:szCs w:val="11"/>
                <w:b w:val="1"/>
                <w:bCs w:val="1"/>
                <w:color w:val="auto"/>
              </w:rPr>
              <w:t>Range of Exercise</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2"/>
          </w:tcPr>
          <w:p>
            <w:pPr>
              <w:ind w:left="460"/>
              <w:spacing w:after="0"/>
              <w:rPr>
                <w:sz w:val="20"/>
                <w:szCs w:val="20"/>
                <w:color w:val="auto"/>
              </w:rPr>
            </w:pPr>
            <w:r>
              <w:rPr>
                <w:rFonts w:ascii="Arial" w:cs="Arial" w:eastAsia="Arial" w:hAnsi="Arial"/>
                <w:sz w:val="11"/>
                <w:szCs w:val="11"/>
                <w:b w:val="1"/>
                <w:bCs w:val="1"/>
                <w:color w:val="auto"/>
                <w:w w:val="86"/>
              </w:rPr>
              <w:t>Outstanding</w:t>
            </w:r>
          </w:p>
        </w:tc>
        <w:tc>
          <w:tcPr>
            <w:tcW w:w="20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1"/>
                <w:szCs w:val="11"/>
                <w:b w:val="1"/>
                <w:bCs w:val="1"/>
                <w:color w:val="auto"/>
                <w:w w:val="98"/>
              </w:rPr>
              <w:t>Exercisable</w:t>
            </w: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700" w:type="dxa"/>
            <w:vAlign w:val="bottom"/>
            <w:vMerge w:val="continue"/>
          </w:tcPr>
          <w:p>
            <w:pPr>
              <w:spacing w:after="0"/>
              <w:rPr>
                <w:sz w:val="7"/>
                <w:szCs w:val="7"/>
                <w:color w:val="auto"/>
              </w:rPr>
            </w:pPr>
          </w:p>
        </w:tc>
        <w:tc>
          <w:tcPr>
            <w:tcW w:w="880" w:type="dxa"/>
            <w:vAlign w:val="bottom"/>
            <w:gridSpan w:val="3"/>
          </w:tcPr>
          <w:p>
            <w:pPr>
              <w:jc w:val="center"/>
              <w:ind w:right="20"/>
              <w:spacing w:after="0" w:line="82" w:lineRule="exact"/>
              <w:rPr>
                <w:sz w:val="20"/>
                <w:szCs w:val="20"/>
                <w:color w:val="auto"/>
              </w:rPr>
            </w:pPr>
            <w:r>
              <w:rPr>
                <w:rFonts w:ascii="Arial" w:cs="Arial" w:eastAsia="Arial" w:hAnsi="Arial"/>
                <w:sz w:val="9"/>
                <w:szCs w:val="9"/>
                <w:b w:val="1"/>
                <w:bCs w:val="1"/>
                <w:color w:val="auto"/>
              </w:rPr>
              <w:t>Number of</w:t>
            </w:r>
          </w:p>
        </w:tc>
        <w:tc>
          <w:tcPr>
            <w:tcW w:w="160" w:type="dxa"/>
            <w:vAlign w:val="bottom"/>
          </w:tcPr>
          <w:p>
            <w:pPr>
              <w:spacing w:after="0"/>
              <w:rPr>
                <w:sz w:val="7"/>
                <w:szCs w:val="7"/>
                <w:color w:val="auto"/>
              </w:rPr>
            </w:pPr>
          </w:p>
        </w:tc>
        <w:tc>
          <w:tcPr>
            <w:tcW w:w="1580" w:type="dxa"/>
            <w:vAlign w:val="bottom"/>
            <w:gridSpan w:val="3"/>
          </w:tcPr>
          <w:p>
            <w:pPr>
              <w:ind w:left="280"/>
              <w:spacing w:after="0" w:line="82" w:lineRule="exact"/>
              <w:rPr>
                <w:sz w:val="20"/>
                <w:szCs w:val="20"/>
                <w:color w:val="auto"/>
              </w:rPr>
            </w:pPr>
            <w:r>
              <w:rPr>
                <w:rFonts w:ascii="Arial" w:cs="Arial" w:eastAsia="Arial" w:hAnsi="Arial"/>
                <w:sz w:val="9"/>
                <w:szCs w:val="9"/>
                <w:b w:val="1"/>
                <w:bCs w:val="1"/>
                <w:color w:val="auto"/>
              </w:rPr>
              <w:t>Weighted-Average</w:t>
            </w:r>
          </w:p>
        </w:tc>
        <w:tc>
          <w:tcPr>
            <w:tcW w:w="2040" w:type="dxa"/>
            <w:vAlign w:val="bottom"/>
          </w:tcPr>
          <w:p>
            <w:pPr>
              <w:jc w:val="center"/>
              <w:spacing w:after="0" w:line="82" w:lineRule="exact"/>
              <w:rPr>
                <w:sz w:val="20"/>
                <w:szCs w:val="20"/>
                <w:color w:val="auto"/>
              </w:rPr>
            </w:pPr>
            <w:r>
              <w:rPr>
                <w:rFonts w:ascii="Arial" w:cs="Arial" w:eastAsia="Arial" w:hAnsi="Arial"/>
                <w:sz w:val="9"/>
                <w:szCs w:val="9"/>
                <w:b w:val="1"/>
                <w:bCs w:val="1"/>
                <w:color w:val="auto"/>
              </w:rPr>
              <w:t>Weighted-Average Remaining</w:t>
            </w:r>
          </w:p>
        </w:tc>
        <w:tc>
          <w:tcPr>
            <w:tcW w:w="180" w:type="dxa"/>
            <w:vAlign w:val="bottom"/>
          </w:tcPr>
          <w:p>
            <w:pPr>
              <w:spacing w:after="0"/>
              <w:rPr>
                <w:sz w:val="7"/>
                <w:szCs w:val="7"/>
                <w:color w:val="auto"/>
              </w:rPr>
            </w:pPr>
          </w:p>
        </w:tc>
        <w:tc>
          <w:tcPr>
            <w:tcW w:w="860" w:type="dxa"/>
            <w:vAlign w:val="bottom"/>
            <w:gridSpan w:val="3"/>
          </w:tcPr>
          <w:p>
            <w:pPr>
              <w:jc w:val="center"/>
              <w:spacing w:after="0" w:line="82" w:lineRule="exact"/>
              <w:rPr>
                <w:sz w:val="20"/>
                <w:szCs w:val="20"/>
                <w:color w:val="auto"/>
              </w:rPr>
            </w:pPr>
            <w:r>
              <w:rPr>
                <w:rFonts w:ascii="Arial" w:cs="Arial" w:eastAsia="Arial" w:hAnsi="Arial"/>
                <w:sz w:val="9"/>
                <w:szCs w:val="9"/>
                <w:b w:val="1"/>
                <w:bCs w:val="1"/>
                <w:color w:val="auto"/>
              </w:rPr>
              <w:t>Number of</w:t>
            </w:r>
          </w:p>
        </w:tc>
        <w:tc>
          <w:tcPr>
            <w:tcW w:w="180" w:type="dxa"/>
            <w:vAlign w:val="bottom"/>
          </w:tcPr>
          <w:p>
            <w:pPr>
              <w:spacing w:after="0"/>
              <w:rPr>
                <w:sz w:val="7"/>
                <w:szCs w:val="7"/>
                <w:color w:val="auto"/>
              </w:rPr>
            </w:pPr>
          </w:p>
        </w:tc>
        <w:tc>
          <w:tcPr>
            <w:tcW w:w="1400" w:type="dxa"/>
            <w:vAlign w:val="bottom"/>
            <w:gridSpan w:val="2"/>
          </w:tcPr>
          <w:p>
            <w:pPr>
              <w:jc w:val="right"/>
              <w:ind w:right="214"/>
              <w:spacing w:after="0" w:line="82" w:lineRule="exact"/>
              <w:rPr>
                <w:sz w:val="20"/>
                <w:szCs w:val="20"/>
                <w:color w:val="auto"/>
              </w:rPr>
            </w:pPr>
            <w:r>
              <w:rPr>
                <w:rFonts w:ascii="Arial" w:cs="Arial" w:eastAsia="Arial" w:hAnsi="Arial"/>
                <w:sz w:val="9"/>
                <w:szCs w:val="9"/>
                <w:b w:val="1"/>
                <w:bCs w:val="1"/>
                <w:color w:val="auto"/>
              </w:rPr>
              <w:t>Weighted Average</w:t>
            </w:r>
          </w:p>
        </w:tc>
        <w:tc>
          <w:tcPr>
            <w:tcW w:w="0" w:type="dxa"/>
            <w:vAlign w:val="bottom"/>
          </w:tcPr>
          <w:p>
            <w:pPr>
              <w:spacing w:after="0"/>
              <w:rPr>
                <w:sz w:val="1"/>
                <w:szCs w:val="1"/>
                <w:color w:val="auto"/>
              </w:rPr>
            </w:pPr>
          </w:p>
        </w:tc>
      </w:tr>
      <w:tr>
        <w:trPr>
          <w:trHeight w:val="136"/>
        </w:trPr>
        <w:tc>
          <w:tcPr>
            <w:tcW w:w="2700" w:type="dxa"/>
            <w:vAlign w:val="bottom"/>
          </w:tcPr>
          <w:p>
            <w:pPr>
              <w:spacing w:after="0"/>
              <w:rPr>
                <w:sz w:val="20"/>
                <w:szCs w:val="20"/>
                <w:color w:val="auto"/>
              </w:rPr>
            </w:pPr>
            <w:r>
              <w:rPr>
                <w:rFonts w:ascii="Arial" w:cs="Arial" w:eastAsia="Arial" w:hAnsi="Arial"/>
                <w:sz w:val="11"/>
                <w:szCs w:val="11"/>
                <w:b w:val="1"/>
                <w:bCs w:val="1"/>
                <w:color w:val="auto"/>
              </w:rPr>
              <w:t>Price</w:t>
            </w: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6"/>
              </w:rPr>
              <w:t>Options</w:t>
            </w:r>
          </w:p>
        </w:tc>
        <w:tc>
          <w:tcPr>
            <w:tcW w:w="160" w:type="dxa"/>
            <w:vAlign w:val="bottom"/>
          </w:tcPr>
          <w:p>
            <w:pPr>
              <w:spacing w:after="0"/>
              <w:rPr>
                <w:sz w:val="11"/>
                <w:szCs w:val="11"/>
                <w:color w:val="auto"/>
              </w:rPr>
            </w:pPr>
          </w:p>
        </w:tc>
        <w:tc>
          <w:tcPr>
            <w:tcW w:w="1400" w:type="dxa"/>
            <w:vAlign w:val="bottom"/>
            <w:tcBorders>
              <w:bottom w:val="single" w:sz="8" w:color="auto"/>
            </w:tcBorders>
            <w:gridSpan w:val="2"/>
          </w:tcPr>
          <w:p>
            <w:pPr>
              <w:jc w:val="right"/>
              <w:ind w:right="316"/>
              <w:spacing w:after="0"/>
              <w:rPr>
                <w:sz w:val="20"/>
                <w:szCs w:val="20"/>
                <w:color w:val="auto"/>
              </w:rPr>
            </w:pPr>
            <w:r>
              <w:rPr>
                <w:rFonts w:ascii="Arial" w:cs="Arial" w:eastAsia="Arial" w:hAnsi="Arial"/>
                <w:sz w:val="11"/>
                <w:szCs w:val="11"/>
                <w:b w:val="1"/>
                <w:bCs w:val="1"/>
                <w:color w:val="auto"/>
              </w:rPr>
              <w:t>Exercise Price</w:t>
            </w:r>
          </w:p>
        </w:tc>
        <w:tc>
          <w:tcPr>
            <w:tcW w:w="180" w:type="dxa"/>
            <w:vAlign w:val="bottom"/>
          </w:tcPr>
          <w:p>
            <w:pPr>
              <w:spacing w:after="0"/>
              <w:rPr>
                <w:sz w:val="11"/>
                <w:szCs w:val="1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Contractual Life (in years)</w:t>
            </w:r>
          </w:p>
        </w:tc>
        <w:tc>
          <w:tcPr>
            <w:tcW w:w="180" w:type="dxa"/>
            <w:vAlign w:val="bottom"/>
          </w:tcPr>
          <w:p>
            <w:pPr>
              <w:spacing w:after="0"/>
              <w:rPr>
                <w:sz w:val="11"/>
                <w:szCs w:val="11"/>
                <w:color w:val="auto"/>
              </w:rPr>
            </w:pPr>
          </w:p>
        </w:tc>
        <w:tc>
          <w:tcPr>
            <w:tcW w:w="8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1"/>
                <w:szCs w:val="11"/>
                <w:b w:val="1"/>
                <w:bCs w:val="1"/>
                <w:color w:val="auto"/>
                <w:w w:val="86"/>
              </w:rPr>
              <w:t>Options</w:t>
            </w:r>
          </w:p>
        </w:tc>
        <w:tc>
          <w:tcPr>
            <w:tcW w:w="180" w:type="dxa"/>
            <w:vAlign w:val="bottom"/>
          </w:tcPr>
          <w:p>
            <w:pPr>
              <w:spacing w:after="0"/>
              <w:rPr>
                <w:sz w:val="11"/>
                <w:szCs w:val="11"/>
                <w:color w:val="auto"/>
              </w:rPr>
            </w:pPr>
          </w:p>
        </w:tc>
        <w:tc>
          <w:tcPr>
            <w:tcW w:w="1400" w:type="dxa"/>
            <w:vAlign w:val="bottom"/>
            <w:tcBorders>
              <w:bottom w:val="single" w:sz="8" w:color="auto"/>
            </w:tcBorders>
            <w:gridSpan w:val="2"/>
          </w:tcPr>
          <w:p>
            <w:pPr>
              <w:jc w:val="right"/>
              <w:ind w:right="314"/>
              <w:spacing w:after="0"/>
              <w:rPr>
                <w:sz w:val="20"/>
                <w:szCs w:val="20"/>
                <w:color w:val="auto"/>
              </w:rPr>
            </w:pPr>
            <w:r>
              <w:rPr>
                <w:rFonts w:ascii="Arial" w:cs="Arial" w:eastAsia="Arial" w:hAnsi="Arial"/>
                <w:sz w:val="11"/>
                <w:szCs w:val="11"/>
                <w:b w:val="1"/>
                <w:bCs w:val="1"/>
                <w:color w:val="auto"/>
              </w:rPr>
              <w:t>Exercise Price</w:t>
            </w:r>
          </w:p>
        </w:tc>
        <w:tc>
          <w:tcPr>
            <w:tcW w:w="0" w:type="dxa"/>
            <w:vAlign w:val="bottom"/>
          </w:tcPr>
          <w:p>
            <w:pPr>
              <w:spacing w:after="0"/>
              <w:rPr>
                <w:sz w:val="1"/>
                <w:szCs w:val="1"/>
                <w:color w:val="auto"/>
              </w:rPr>
            </w:pPr>
          </w:p>
        </w:tc>
      </w:tr>
      <w:tr>
        <w:trPr>
          <w:trHeight w:val="179"/>
        </w:trPr>
        <w:tc>
          <w:tcPr>
            <w:tcW w:w="2700" w:type="dxa"/>
            <w:vAlign w:val="bottom"/>
          </w:tcPr>
          <w:p>
            <w:pPr>
              <w:spacing w:after="0"/>
              <w:rPr>
                <w:sz w:val="20"/>
                <w:szCs w:val="20"/>
                <w:color w:val="auto"/>
              </w:rPr>
            </w:pPr>
            <w:r>
              <w:rPr>
                <w:rFonts w:ascii="Arial" w:cs="Arial" w:eastAsia="Arial" w:hAnsi="Arial"/>
                <w:sz w:val="13"/>
                <w:szCs w:val="13"/>
                <w:color w:val="auto"/>
              </w:rPr>
              <w:t>$ 0.29 - $ 5.50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92</w:t>
            </w:r>
          </w:p>
        </w:tc>
        <w:tc>
          <w:tcPr>
            <w:tcW w:w="30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rPr>
              <w:t>1.11</w:t>
            </w:r>
          </w:p>
        </w:tc>
        <w:tc>
          <w:tcPr>
            <w:tcW w:w="1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4.8</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92</w:t>
            </w:r>
          </w:p>
        </w:tc>
        <w:tc>
          <w:tcPr>
            <w:tcW w:w="28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$ 5.51 - $11.00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1,951</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rPr>
              <w:t>8.93</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6.1</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1,162</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rPr>
              <w:t>8.79</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$11.01 - $16.50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1,908</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12.82</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6.5</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441</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13.07</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$16.51 - $22.00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19.70</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6.2</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19.29</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$22.01 - $27.50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264</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24.02</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7.3</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178</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23.96</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$27.51 - $33.00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73</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28.02</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5.7</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65</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27.99</w:t>
            </w:r>
          </w:p>
        </w:tc>
        <w:tc>
          <w:tcPr>
            <w:tcW w:w="0" w:type="dxa"/>
            <w:vAlign w:val="bottom"/>
          </w:tcPr>
          <w:p>
            <w:pPr>
              <w:spacing w:after="0"/>
              <w:rPr>
                <w:sz w:val="1"/>
                <w:szCs w:val="1"/>
                <w:color w:val="auto"/>
              </w:rPr>
            </w:pPr>
          </w:p>
        </w:tc>
      </w:tr>
      <w:tr>
        <w:trPr>
          <w:trHeight w:val="158"/>
        </w:trPr>
        <w:tc>
          <w:tcPr>
            <w:tcW w:w="2700" w:type="dxa"/>
            <w:vAlign w:val="bottom"/>
          </w:tcPr>
          <w:p>
            <w:pPr>
              <w:spacing w:after="0"/>
              <w:rPr>
                <w:sz w:val="20"/>
                <w:szCs w:val="20"/>
                <w:color w:val="auto"/>
              </w:rPr>
            </w:pPr>
            <w:r>
              <w:rPr>
                <w:rFonts w:ascii="Arial" w:cs="Arial" w:eastAsia="Arial" w:hAnsi="Arial"/>
                <w:sz w:val="13"/>
                <w:szCs w:val="13"/>
                <w:color w:val="auto"/>
              </w:rPr>
              <w:t>$33.01 - $38.50</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272</w:t>
            </w:r>
          </w:p>
        </w:tc>
        <w:tc>
          <w:tcPr>
            <w:tcW w:w="300" w:type="dxa"/>
            <w:vAlign w:val="bottom"/>
          </w:tcPr>
          <w:p>
            <w:pPr>
              <w:spacing w:after="0"/>
              <w:rPr>
                <w:sz w:val="13"/>
                <w:szCs w:val="13"/>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36.12</w:t>
            </w:r>
          </w:p>
        </w:tc>
        <w:tc>
          <w:tcPr>
            <w:tcW w:w="180" w:type="dxa"/>
            <w:vAlign w:val="bottom"/>
          </w:tcPr>
          <w:p>
            <w:pPr>
              <w:spacing w:after="0"/>
              <w:rPr>
                <w:sz w:val="13"/>
                <w:szCs w:val="13"/>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5.1</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139</w:t>
            </w:r>
          </w:p>
        </w:tc>
        <w:tc>
          <w:tcPr>
            <w:tcW w:w="28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36.12</w:t>
            </w:r>
          </w:p>
        </w:tc>
        <w:tc>
          <w:tcPr>
            <w:tcW w:w="0" w:type="dxa"/>
            <w:vAlign w:val="bottom"/>
          </w:tcPr>
          <w:p>
            <w:pPr>
              <w:spacing w:after="0"/>
              <w:rPr>
                <w:sz w:val="1"/>
                <w:szCs w:val="1"/>
                <w:color w:val="auto"/>
              </w:rPr>
            </w:pPr>
          </w:p>
        </w:tc>
      </w:tr>
      <w:tr>
        <w:trPr>
          <w:trHeight w:val="166"/>
        </w:trPr>
        <w:tc>
          <w:tcPr>
            <w:tcW w:w="2700" w:type="dxa"/>
            <w:vAlign w:val="bottom"/>
          </w:tcPr>
          <w:p>
            <w:pPr>
              <w:spacing w:after="0"/>
              <w:rPr>
                <w:sz w:val="20"/>
                <w:szCs w:val="20"/>
                <w:color w:val="auto"/>
              </w:rPr>
            </w:pPr>
            <w:r>
              <w:rPr>
                <w:rFonts w:ascii="Arial" w:cs="Arial" w:eastAsia="Arial" w:hAnsi="Arial"/>
                <w:sz w:val="13"/>
                <w:szCs w:val="13"/>
                <w:color w:val="auto"/>
              </w:rPr>
              <w:t>$38.51 - $44.00</w:t>
            </w:r>
          </w:p>
        </w:tc>
        <w:tc>
          <w:tcPr>
            <w:tcW w:w="2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3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496"/>
              <w:spacing w:after="0"/>
              <w:rPr>
                <w:sz w:val="20"/>
                <w:szCs w:val="20"/>
                <w:color w:val="auto"/>
              </w:rPr>
            </w:pPr>
            <w:r>
              <w:rPr>
                <w:rFonts w:ascii="Arial" w:cs="Arial" w:eastAsia="Arial" w:hAnsi="Arial"/>
                <w:sz w:val="13"/>
                <w:szCs w:val="13"/>
                <w:color w:val="auto"/>
                <w:w w:val="85"/>
              </w:rPr>
              <w:t>38.62</w:t>
            </w:r>
          </w:p>
        </w:tc>
        <w:tc>
          <w:tcPr>
            <w:tcW w:w="1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w w:val="88"/>
              </w:rPr>
              <w:t>7.8</w:t>
            </w:r>
          </w:p>
        </w:tc>
        <w:tc>
          <w:tcPr>
            <w:tcW w:w="460" w:type="dxa"/>
            <w:vAlign w:val="bottom"/>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74"/>
              <w:spacing w:after="0"/>
              <w:rPr>
                <w:sz w:val="20"/>
                <w:szCs w:val="20"/>
                <w:color w:val="auto"/>
              </w:rPr>
            </w:pPr>
            <w:r>
              <w:rPr>
                <w:rFonts w:ascii="Arial" w:cs="Arial" w:eastAsia="Arial" w:hAnsi="Arial"/>
                <w:sz w:val="13"/>
                <w:szCs w:val="13"/>
                <w:color w:val="auto"/>
                <w:w w:val="85"/>
              </w:rPr>
              <w:t>38.62</w:t>
            </w:r>
          </w:p>
        </w:tc>
        <w:tc>
          <w:tcPr>
            <w:tcW w:w="0" w:type="dxa"/>
            <w:vAlign w:val="bottom"/>
          </w:tcPr>
          <w:p>
            <w:pPr>
              <w:spacing w:after="0"/>
              <w:rPr>
                <w:sz w:val="1"/>
                <w:szCs w:val="1"/>
                <w:color w:val="auto"/>
              </w:rPr>
            </w:pPr>
          </w:p>
        </w:tc>
      </w:tr>
      <w:tr>
        <w:trPr>
          <w:trHeight w:val="168"/>
        </w:trPr>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4,623</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60" w:type="dxa"/>
            <w:vAlign w:val="bottom"/>
            <w:gridSpan w:val="2"/>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2,111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-966470</wp:posOffset>
            </wp:positionV>
            <wp:extent cx="12700"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45" w:lineRule="exact"/>
        <w:rPr>
          <w:sz w:val="20"/>
          <w:szCs w:val="20"/>
          <w:color w:val="auto"/>
        </w:rPr>
      </w:pPr>
    </w:p>
    <w:p>
      <w:pPr>
        <w:ind w:left="1200" w:hanging="513"/>
        <w:spacing w:after="0"/>
        <w:tabs>
          <w:tab w:leader="none" w:pos="12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401(k) Plan</w:t>
      </w:r>
    </w:p>
    <w:p>
      <w:pPr>
        <w:spacing w:after="0" w:line="102" w:lineRule="exact"/>
        <w:rPr>
          <w:sz w:val="20"/>
          <w:szCs w:val="20"/>
          <w:color w:val="auto"/>
        </w:rPr>
      </w:pPr>
    </w:p>
    <w:p>
      <w:pPr>
        <w:ind w:left="680" w:right="100" w:firstLine="399"/>
        <w:spacing w:after="0" w:line="266" w:lineRule="auto"/>
        <w:rPr>
          <w:sz w:val="20"/>
          <w:szCs w:val="20"/>
          <w:color w:val="auto"/>
        </w:rPr>
      </w:pPr>
      <w:r>
        <w:rPr>
          <w:rFonts w:ascii="Arial" w:cs="Arial" w:eastAsia="Arial" w:hAnsi="Arial"/>
          <w:sz w:val="13"/>
          <w:szCs w:val="13"/>
          <w:color w:val="auto"/>
        </w:rPr>
        <w:t>The Company has a 401(k) plan (the “Plan”) covering all eligible employees. The Plan allows for a discretionary employer match. In 2007, the Company elected to increase its match as a percentage of employee contributions. The Company incurred and expensed $580, $531, and $503 for the years ended December 31, 2009, 2008 and 2007, respectively, in Plan match contributions.</w:t>
      </w:r>
    </w:p>
    <w:p>
      <w:pPr>
        <w:spacing w:after="0" w:line="67" w:lineRule="exact"/>
        <w:rPr>
          <w:sz w:val="20"/>
          <w:szCs w:val="20"/>
          <w:color w:val="auto"/>
        </w:rPr>
      </w:pPr>
    </w:p>
    <w:p>
      <w:pPr>
        <w:ind w:left="680" w:right="80" w:firstLine="399"/>
        <w:spacing w:after="0" w:line="279" w:lineRule="auto"/>
        <w:rPr>
          <w:sz w:val="20"/>
          <w:szCs w:val="20"/>
          <w:color w:val="auto"/>
        </w:rPr>
      </w:pPr>
      <w:r>
        <w:rPr>
          <w:rFonts w:ascii="Arial" w:cs="Arial" w:eastAsia="Arial" w:hAnsi="Arial"/>
          <w:sz w:val="13"/>
          <w:szCs w:val="13"/>
          <w:color w:val="auto"/>
        </w:rPr>
        <w:t>As part of the Wisor acquisition, the Company acquired the existing Wisor 401(k) plan. However, no Plan match contributions were made to the Wisor 401(k) plan. During the year ended December 31, 2009 the Wisor’s 401(k) plan assets were rolled over to the Company’s 401(k) plan.</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p>
      <w:pPr>
        <w:ind w:left="1200" w:hanging="513"/>
        <w:spacing w:after="0"/>
        <w:tabs>
          <w:tab w:leader="none" w:pos="1200" w:val="left"/>
        </w:tabs>
        <w:numPr>
          <w:ilvl w:val="0"/>
          <w:numId w:val="31"/>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2"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3"/>
          <w:szCs w:val="13"/>
          <w:color w:val="auto"/>
        </w:rPr>
        <w:t>Deferred income taxes reflect the net effects of temporary differences between the carrying amounts of assets and liabilities for financial reporting purposes and the amounts used for income tax purposes. Significant components of the Company’s deferred tax assets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December 31,</w:t>
            </w: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2009</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jc w:val="right"/>
              <w:ind w:right="121"/>
              <w:spacing w:after="0" w:line="99" w:lineRule="exact"/>
              <w:rPr>
                <w:sz w:val="20"/>
                <w:szCs w:val="20"/>
                <w:color w:val="auto"/>
              </w:rPr>
            </w:pPr>
            <w:r>
              <w:rPr>
                <w:rFonts w:ascii="Arial" w:cs="Arial" w:eastAsia="Arial" w:hAnsi="Arial"/>
                <w:sz w:val="11"/>
                <w:szCs w:val="11"/>
                <w:b w:val="1"/>
                <w:bCs w:val="1"/>
                <w:color w:val="auto"/>
                <w:w w:val="97"/>
              </w:rPr>
              <w:t>2008</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8320" w:type="dxa"/>
            <w:vAlign w:val="bottom"/>
          </w:tcPr>
          <w:p>
            <w:pPr>
              <w:ind w:left="680"/>
              <w:spacing w:after="0"/>
              <w:rPr>
                <w:sz w:val="20"/>
                <w:szCs w:val="20"/>
                <w:color w:val="auto"/>
              </w:rPr>
            </w:pPr>
            <w:r>
              <w:rPr>
                <w:rFonts w:ascii="Arial" w:cs="Arial" w:eastAsia="Arial" w:hAnsi="Arial"/>
                <w:sz w:val="13"/>
                <w:szCs w:val="13"/>
                <w:color w:val="auto"/>
              </w:rPr>
              <w:t>Deferred tax assets:</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Accrued liabilities</w:t>
            </w:r>
          </w:p>
        </w:tc>
        <w:tc>
          <w:tcPr>
            <w:tcW w:w="8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195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263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Deferred revenue</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284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118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Bad debts reserve</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323</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81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State net operating loss carry forwards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640</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1,240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Depreciation and amortization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902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Deferred compensation</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4,040</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2,251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Federal net operating loss carry forwards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7,422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8,171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Deferred rent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258</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820"/>
              <w:spacing w:after="0"/>
              <w:rPr>
                <w:sz w:val="20"/>
                <w:szCs w:val="20"/>
                <w:color w:val="auto"/>
              </w:rPr>
            </w:pPr>
            <w:r>
              <w:rPr>
                <w:rFonts w:ascii="Arial" w:cs="Arial" w:eastAsia="Arial" w:hAnsi="Arial"/>
                <w:sz w:val="13"/>
                <w:szCs w:val="13"/>
                <w:color w:val="auto"/>
              </w:rPr>
              <w:t>Other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8320" w:type="dxa"/>
            <w:vAlign w:val="bottom"/>
          </w:tcPr>
          <w:p>
            <w:pPr>
              <w:ind w:left="820"/>
              <w:spacing w:after="0"/>
              <w:rPr>
                <w:sz w:val="20"/>
                <w:szCs w:val="20"/>
                <w:color w:val="auto"/>
              </w:rPr>
            </w:pPr>
            <w:r>
              <w:rPr>
                <w:rFonts w:ascii="Arial" w:cs="Arial" w:eastAsia="Arial" w:hAnsi="Arial"/>
                <w:sz w:val="13"/>
                <w:szCs w:val="13"/>
                <w:color w:val="auto"/>
              </w:rPr>
              <w:t>Total deferred tax assets</w:t>
            </w: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13,160</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13,303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680"/>
              <w:spacing w:after="0"/>
              <w:rPr>
                <w:sz w:val="20"/>
                <w:szCs w:val="20"/>
                <w:color w:val="auto"/>
              </w:rPr>
            </w:pPr>
            <w:r>
              <w:rPr>
                <w:rFonts w:ascii="Arial" w:cs="Arial" w:eastAsia="Arial" w:hAnsi="Arial"/>
                <w:sz w:val="13"/>
                <w:szCs w:val="13"/>
                <w:color w:val="auto"/>
              </w:rPr>
              <w:t>Deferred tax liabilities: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820"/>
              <w:spacing w:after="0"/>
              <w:rPr>
                <w:sz w:val="20"/>
                <w:szCs w:val="20"/>
                <w:color w:val="auto"/>
              </w:rPr>
            </w:pPr>
            <w:r>
              <w:rPr>
                <w:rFonts w:ascii="Arial" w:cs="Arial" w:eastAsia="Arial" w:hAnsi="Arial"/>
                <w:sz w:val="13"/>
                <w:szCs w:val="13"/>
                <w:color w:val="auto"/>
              </w:rPr>
              <w:t>Intangible assets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(1,056)</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(1,662)</w:t>
            </w:r>
          </w:p>
        </w:tc>
        <w:tc>
          <w:tcPr>
            <w:tcW w:w="0" w:type="dxa"/>
            <w:vAlign w:val="bottom"/>
          </w:tcPr>
          <w:p>
            <w:pPr>
              <w:spacing w:after="0"/>
              <w:rPr>
                <w:sz w:val="1"/>
                <w:szCs w:val="1"/>
                <w:color w:val="auto"/>
              </w:rPr>
            </w:pPr>
          </w:p>
        </w:tc>
      </w:tr>
      <w:tr>
        <w:trPr>
          <w:trHeight w:val="165"/>
        </w:trPr>
        <w:tc>
          <w:tcPr>
            <w:tcW w:w="8320" w:type="dxa"/>
            <w:vAlign w:val="bottom"/>
          </w:tcPr>
          <w:p>
            <w:pPr>
              <w:ind w:left="820"/>
              <w:spacing w:after="0"/>
              <w:rPr>
                <w:sz w:val="20"/>
                <w:szCs w:val="20"/>
                <w:color w:val="auto"/>
              </w:rPr>
            </w:pPr>
            <w:r>
              <w:rPr>
                <w:rFonts w:ascii="Arial" w:cs="Arial" w:eastAsia="Arial" w:hAnsi="Arial"/>
                <w:sz w:val="13"/>
                <w:szCs w:val="13"/>
                <w:color w:val="auto"/>
              </w:rPr>
              <w:t>Other</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(52)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820"/>
              <w:spacing w:after="0"/>
              <w:rPr>
                <w:sz w:val="20"/>
                <w:szCs w:val="20"/>
                <w:color w:val="auto"/>
              </w:rPr>
            </w:pPr>
            <w:r>
              <w:rPr>
                <w:rFonts w:ascii="Arial" w:cs="Arial" w:eastAsia="Arial" w:hAnsi="Arial"/>
                <w:sz w:val="13"/>
                <w:szCs w:val="13"/>
                <w:color w:val="auto"/>
              </w:rPr>
              <w:t>Total deferred tax liabilities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3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(1,108)</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(1,847)</w:t>
            </w:r>
          </w:p>
        </w:tc>
        <w:tc>
          <w:tcPr>
            <w:tcW w:w="0" w:type="dxa"/>
            <w:vAlign w:val="bottom"/>
          </w:tcPr>
          <w:p>
            <w:pPr>
              <w:spacing w:after="0"/>
              <w:rPr>
                <w:sz w:val="1"/>
                <w:szCs w:val="1"/>
                <w:color w:val="auto"/>
              </w:rPr>
            </w:pPr>
          </w:p>
        </w:tc>
      </w:tr>
      <w:tr>
        <w:trPr>
          <w:trHeight w:val="165"/>
        </w:trPr>
        <w:tc>
          <w:tcPr>
            <w:tcW w:w="8320" w:type="dxa"/>
            <w:vAlign w:val="bottom"/>
          </w:tcPr>
          <w:p>
            <w:pPr>
              <w:ind w:left="820"/>
              <w:spacing w:after="0"/>
              <w:rPr>
                <w:sz w:val="20"/>
                <w:szCs w:val="20"/>
                <w:color w:val="auto"/>
              </w:rPr>
            </w:pPr>
            <w:r>
              <w:rPr>
                <w:rFonts w:ascii="Arial" w:cs="Arial" w:eastAsia="Arial" w:hAnsi="Arial"/>
                <w:sz w:val="13"/>
                <w:szCs w:val="13"/>
                <w:color w:val="auto"/>
              </w:rPr>
              <w:t>Valuation allowance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(1,598)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(1,886)</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820"/>
              <w:spacing w:after="0"/>
              <w:rPr>
                <w:sz w:val="20"/>
                <w:szCs w:val="20"/>
                <w:color w:val="auto"/>
              </w:rPr>
            </w:pPr>
            <w:r>
              <w:rPr>
                <w:rFonts w:ascii="Arial" w:cs="Arial" w:eastAsia="Arial" w:hAnsi="Arial"/>
                <w:sz w:val="13"/>
                <w:szCs w:val="13"/>
                <w:color w:val="auto"/>
              </w:rPr>
              <w:t>Net Deferred Income Tax Assets</w:t>
            </w: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832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10,454</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9,570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8320" w:type="dxa"/>
            <w:vAlign w:val="bottom"/>
          </w:tcPr>
          <w:p>
            <w:pPr>
              <w:ind w:left="1080"/>
              <w:spacing w:after="0"/>
              <w:rPr>
                <w:sz w:val="20"/>
                <w:szCs w:val="20"/>
                <w:color w:val="auto"/>
              </w:rPr>
            </w:pPr>
            <w:r>
              <w:rPr>
                <w:rFonts w:ascii="Arial" w:cs="Arial" w:eastAsia="Arial" w:hAnsi="Arial"/>
                <w:sz w:val="13"/>
                <w:szCs w:val="13"/>
                <w:color w:val="auto"/>
              </w:rPr>
              <w:t>The following table indicates where net deferred income taxes have been classified in the Balance Sheet:</w:t>
            </w:r>
          </w:p>
        </w:tc>
        <w:tc>
          <w:tcPr>
            <w:tcW w:w="6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1"/>
                <w:szCs w:val="11"/>
                <w:b w:val="1"/>
                <w:bCs w:val="1"/>
                <w:color w:val="auto"/>
              </w:rPr>
              <w:t>December 31,</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w w:val="97"/>
              </w:rPr>
              <w:t>2009</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gridSpan w:val="2"/>
          </w:tcPr>
          <w:p>
            <w:pPr>
              <w:jc w:val="right"/>
              <w:ind w:right="121"/>
              <w:spacing w:after="0" w:line="99" w:lineRule="exact"/>
              <w:rPr>
                <w:sz w:val="20"/>
                <w:szCs w:val="20"/>
                <w:color w:val="auto"/>
              </w:rPr>
            </w:pPr>
            <w:r>
              <w:rPr>
                <w:rFonts w:ascii="Arial" w:cs="Arial" w:eastAsia="Arial" w:hAnsi="Arial"/>
                <w:sz w:val="11"/>
                <w:szCs w:val="11"/>
                <w:b w:val="1"/>
                <w:bCs w:val="1"/>
                <w:color w:val="auto"/>
                <w:w w:val="97"/>
              </w:rPr>
              <w:t>2008</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8320" w:type="dxa"/>
            <w:vAlign w:val="bottom"/>
          </w:tcPr>
          <w:p>
            <w:pPr>
              <w:ind w:left="680"/>
              <w:spacing w:after="0"/>
              <w:rPr>
                <w:sz w:val="20"/>
                <w:szCs w:val="20"/>
                <w:color w:val="auto"/>
              </w:rPr>
            </w:pPr>
            <w:r>
              <w:rPr>
                <w:rFonts w:ascii="Arial" w:cs="Arial" w:eastAsia="Arial" w:hAnsi="Arial"/>
                <w:sz w:val="13"/>
                <w:szCs w:val="13"/>
                <w:color w:val="auto"/>
              </w:rPr>
              <w:t>Current deferred tax assets</w:t>
            </w:r>
          </w:p>
        </w:tc>
        <w:tc>
          <w:tcPr>
            <w:tcW w:w="8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1,617</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1,242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680"/>
              <w:spacing w:after="0"/>
              <w:rPr>
                <w:sz w:val="20"/>
                <w:szCs w:val="20"/>
                <w:color w:val="auto"/>
              </w:rPr>
            </w:pPr>
            <w:r>
              <w:rPr>
                <w:rFonts w:ascii="Arial" w:cs="Arial" w:eastAsia="Arial" w:hAnsi="Arial"/>
                <w:sz w:val="13"/>
                <w:szCs w:val="13"/>
                <w:color w:val="auto"/>
              </w:rPr>
              <w:t>Less: Valuation allowance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(155)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(177)</w:t>
            </w:r>
          </w:p>
        </w:tc>
        <w:tc>
          <w:tcPr>
            <w:tcW w:w="0" w:type="dxa"/>
            <w:vAlign w:val="bottom"/>
          </w:tcPr>
          <w:p>
            <w:pPr>
              <w:spacing w:after="0"/>
              <w:rPr>
                <w:sz w:val="1"/>
                <w:szCs w:val="1"/>
                <w:color w:val="auto"/>
              </w:rPr>
            </w:pPr>
          </w:p>
        </w:tc>
      </w:tr>
      <w:tr>
        <w:trPr>
          <w:trHeight w:val="151"/>
        </w:trPr>
        <w:tc>
          <w:tcPr>
            <w:tcW w:w="8320" w:type="dxa"/>
            <w:vAlign w:val="bottom"/>
          </w:tcPr>
          <w:p>
            <w:pPr>
              <w:ind w:left="680"/>
              <w:spacing w:after="0"/>
              <w:rPr>
                <w:sz w:val="20"/>
                <w:szCs w:val="20"/>
                <w:color w:val="auto"/>
              </w:rPr>
            </w:pPr>
            <w:r>
              <w:rPr>
                <w:rFonts w:ascii="Arial" w:cs="Arial" w:eastAsia="Arial" w:hAnsi="Arial"/>
                <w:sz w:val="13"/>
                <w:szCs w:val="13"/>
                <w:color w:val="auto"/>
              </w:rPr>
              <w:t>Net current deferred tax assets</w:t>
            </w:r>
          </w:p>
        </w:tc>
        <w:tc>
          <w:tcPr>
            <w:tcW w:w="6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1,462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1,065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680"/>
              <w:spacing w:after="0"/>
              <w:rPr>
                <w:sz w:val="20"/>
                <w:szCs w:val="20"/>
                <w:color w:val="auto"/>
              </w:rPr>
            </w:pPr>
            <w:r>
              <w:rPr>
                <w:rFonts w:ascii="Arial" w:cs="Arial" w:eastAsia="Arial" w:hAnsi="Arial"/>
                <w:sz w:val="13"/>
                <w:szCs w:val="13"/>
                <w:color w:val="auto"/>
              </w:rPr>
              <w:t>Non-current deferred tax assets</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10,435</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10,214</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680"/>
              <w:spacing w:after="0"/>
              <w:rPr>
                <w:sz w:val="20"/>
                <w:szCs w:val="20"/>
                <w:color w:val="auto"/>
              </w:rPr>
            </w:pPr>
            <w:r>
              <w:rPr>
                <w:rFonts w:ascii="Arial" w:cs="Arial" w:eastAsia="Arial" w:hAnsi="Arial"/>
                <w:sz w:val="13"/>
                <w:szCs w:val="13"/>
                <w:color w:val="auto"/>
              </w:rPr>
              <w:t>Less: Valuation allowance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203"/>
              <w:spacing w:after="0"/>
              <w:rPr>
                <w:sz w:val="20"/>
                <w:szCs w:val="20"/>
                <w:color w:val="auto"/>
              </w:rPr>
            </w:pPr>
            <w:r>
              <w:rPr>
                <w:rFonts w:ascii="Arial" w:cs="Arial" w:eastAsia="Arial" w:hAnsi="Arial"/>
                <w:sz w:val="13"/>
                <w:szCs w:val="13"/>
                <w:color w:val="auto"/>
              </w:rPr>
              <w:t>(1,443)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3"/>
          </w:tcPr>
          <w:p>
            <w:pPr>
              <w:jc w:val="right"/>
              <w:ind w:right="840"/>
              <w:spacing w:after="0"/>
              <w:rPr>
                <w:sz w:val="20"/>
                <w:szCs w:val="20"/>
                <w:color w:val="auto"/>
              </w:rPr>
            </w:pPr>
            <w:r>
              <w:rPr>
                <w:rFonts w:ascii="Arial" w:cs="Arial" w:eastAsia="Arial" w:hAnsi="Arial"/>
                <w:sz w:val="13"/>
                <w:szCs w:val="13"/>
                <w:color w:val="auto"/>
              </w:rPr>
              <w:t>(1,709)</w:t>
            </w:r>
          </w:p>
        </w:tc>
        <w:tc>
          <w:tcPr>
            <w:tcW w:w="0" w:type="dxa"/>
            <w:vAlign w:val="bottom"/>
          </w:tcPr>
          <w:p>
            <w:pPr>
              <w:spacing w:after="0"/>
              <w:rPr>
                <w:sz w:val="1"/>
                <w:szCs w:val="1"/>
                <w:color w:val="auto"/>
              </w:rPr>
            </w:pPr>
          </w:p>
        </w:tc>
      </w:tr>
      <w:tr>
        <w:trPr>
          <w:trHeight w:val="158"/>
        </w:trPr>
        <w:tc>
          <w:tcPr>
            <w:tcW w:w="8320" w:type="dxa"/>
            <w:vAlign w:val="bottom"/>
          </w:tcPr>
          <w:p>
            <w:pPr>
              <w:ind w:left="680"/>
              <w:spacing w:after="0"/>
              <w:rPr>
                <w:sz w:val="20"/>
                <w:szCs w:val="20"/>
                <w:color w:val="auto"/>
              </w:rPr>
            </w:pPr>
            <w:r>
              <w:rPr>
                <w:rFonts w:ascii="Arial" w:cs="Arial" w:eastAsia="Arial" w:hAnsi="Arial"/>
                <w:sz w:val="13"/>
                <w:szCs w:val="13"/>
                <w:color w:val="auto"/>
              </w:rPr>
              <w:t>Net non-current deferred tax assets</w:t>
            </w:r>
          </w:p>
        </w:tc>
        <w:tc>
          <w:tcPr>
            <w:tcW w:w="6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8,992</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rPr>
              <w:t>8,505</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320" w:type="dxa"/>
            <w:vAlign w:val="bottom"/>
          </w:tcPr>
          <w:p>
            <w:pPr>
              <w:ind w:left="680"/>
              <w:spacing w:after="0"/>
              <w:rPr>
                <w:sz w:val="20"/>
                <w:szCs w:val="20"/>
                <w:color w:val="auto"/>
              </w:rPr>
            </w:pPr>
            <w:r>
              <w:rPr>
                <w:rFonts w:ascii="Arial" w:cs="Arial" w:eastAsia="Arial" w:hAnsi="Arial"/>
                <w:sz w:val="13"/>
                <w:szCs w:val="13"/>
                <w:color w:val="auto"/>
              </w:rPr>
              <w:t>Net Deferred Tax Assets</w:t>
            </w:r>
          </w:p>
        </w:tc>
        <w:tc>
          <w:tcPr>
            <w:tcW w:w="800" w:type="dxa"/>
            <w:vAlign w:val="bottom"/>
            <w:gridSpan w:val="2"/>
          </w:tcPr>
          <w:p>
            <w:pPr>
              <w:jc w:val="right"/>
              <w:ind w:right="3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10,454</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9,570</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8320" w:type="dxa"/>
            <w:vAlign w:val="bottom"/>
          </w:tcPr>
          <w:p>
            <w:pPr>
              <w:ind w:left="1080"/>
              <w:spacing w:after="0"/>
              <w:rPr>
                <w:sz w:val="20"/>
                <w:szCs w:val="20"/>
                <w:color w:val="auto"/>
              </w:rPr>
            </w:pPr>
            <w:r>
              <w:rPr>
                <w:rFonts w:ascii="Arial" w:cs="Arial" w:eastAsia="Arial" w:hAnsi="Arial"/>
                <w:sz w:val="13"/>
                <w:szCs w:val="13"/>
                <w:color w:val="auto"/>
              </w:rPr>
              <w:t>A reconciliation of the beginning and ending amount of unrecognized tax benefits is as follows:</w:t>
            </w:r>
          </w:p>
        </w:tc>
        <w:tc>
          <w:tcPr>
            <w:tcW w:w="6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80" w:type="dxa"/>
            <w:vAlign w:val="bottom"/>
            <w:gridSpan w:val="7"/>
          </w:tcPr>
          <w:p>
            <w:pPr>
              <w:jc w:val="right"/>
              <w:ind w:right="1080"/>
              <w:spacing w:after="0"/>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99"/>
        </w:trPr>
        <w:tc>
          <w:tcPr>
            <w:tcW w:w="8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97"/>
              </w:rPr>
              <w:t>2009</w:t>
            </w:r>
          </w:p>
        </w:tc>
        <w:tc>
          <w:tcPr>
            <w:tcW w:w="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9"/>
              </w:rPr>
              <w:t>2008</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8320" w:type="dxa"/>
            <w:vAlign w:val="bottom"/>
          </w:tcPr>
          <w:p>
            <w:pPr>
              <w:ind w:left="680"/>
              <w:spacing w:after="0"/>
              <w:rPr>
                <w:sz w:val="20"/>
                <w:szCs w:val="20"/>
                <w:color w:val="auto"/>
              </w:rPr>
            </w:pPr>
            <w:r>
              <w:rPr>
                <w:rFonts w:ascii="Arial" w:cs="Arial" w:eastAsia="Arial" w:hAnsi="Arial"/>
                <w:sz w:val="13"/>
                <w:szCs w:val="13"/>
                <w:color w:val="auto"/>
              </w:rPr>
              <w:t>Unrecognized tax benefit (beginning balance)</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$ 825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$ 649</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8320" w:type="dxa"/>
            <w:vAlign w:val="bottom"/>
          </w:tcPr>
          <w:p>
            <w:pPr>
              <w:ind w:left="680"/>
              <w:spacing w:after="0"/>
              <w:rPr>
                <w:sz w:val="20"/>
                <w:szCs w:val="20"/>
                <w:color w:val="auto"/>
              </w:rPr>
            </w:pPr>
            <w:r>
              <w:rPr>
                <w:rFonts w:ascii="Arial" w:cs="Arial" w:eastAsia="Arial" w:hAnsi="Arial"/>
                <w:sz w:val="13"/>
                <w:szCs w:val="13"/>
                <w:color w:val="auto"/>
                <w:w w:val="99"/>
              </w:rPr>
              <w:t>Increases and (decreases) in unrecognized tax benefits as a result of tax positions taken during prior year (excludes accrued interest)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3"/>
                <w:szCs w:val="13"/>
                <w:color w:val="auto"/>
              </w:rPr>
              <w:t>(38)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320" w:type="dxa"/>
            <w:vAlign w:val="bottom"/>
          </w:tcPr>
          <w:p>
            <w:pPr>
              <w:ind w:left="680"/>
              <w:spacing w:after="0"/>
              <w:rPr>
                <w:sz w:val="20"/>
                <w:szCs w:val="20"/>
                <w:color w:val="auto"/>
              </w:rPr>
            </w:pPr>
            <w:r>
              <w:rPr>
                <w:rFonts w:ascii="Arial" w:cs="Arial" w:eastAsia="Arial" w:hAnsi="Arial"/>
                <w:sz w:val="13"/>
                <w:szCs w:val="13"/>
                <w:color w:val="auto"/>
              </w:rPr>
              <w:t>Additions for tax positions of current period (excludes accrued interest)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173</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320" w:type="dxa"/>
            <w:vAlign w:val="bottom"/>
          </w:tcPr>
          <w:p>
            <w:pPr>
              <w:ind w:left="680"/>
              <w:spacing w:after="0"/>
              <w:rPr>
                <w:sz w:val="20"/>
                <w:szCs w:val="20"/>
                <w:color w:val="auto"/>
              </w:rPr>
            </w:pPr>
            <w:r>
              <w:rPr>
                <w:rFonts w:ascii="Arial" w:cs="Arial" w:eastAsia="Arial" w:hAnsi="Arial"/>
                <w:sz w:val="13"/>
                <w:szCs w:val="13"/>
                <w:color w:val="auto"/>
              </w:rPr>
              <w:t>Unrecognized tax benefits (ending balance)</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$ 875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color w:val="auto"/>
              </w:rPr>
              <w:t>$ 825</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3"/>
        </w:trPr>
        <w:tc>
          <w:tcPr>
            <w:tcW w:w="8320" w:type="dxa"/>
            <w:vAlign w:val="bottom"/>
          </w:tcPr>
          <w:p>
            <w:pPr>
              <w:ind w:left="5620"/>
              <w:spacing w:after="0"/>
              <w:rPr>
                <w:sz w:val="20"/>
                <w:szCs w:val="20"/>
                <w:color w:val="auto"/>
              </w:rPr>
            </w:pPr>
            <w:r>
              <w:rPr>
                <w:rFonts w:ascii="Arial" w:cs="Arial" w:eastAsia="Arial" w:hAnsi="Arial"/>
                <w:sz w:val="13"/>
                <w:szCs w:val="13"/>
                <w:color w:val="auto"/>
              </w:rPr>
              <w:t>61</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32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right="800" w:firstLine="399"/>
        <w:spacing w:after="0" w:line="279" w:lineRule="auto"/>
        <w:rPr>
          <w:sz w:val="20"/>
          <w:szCs w:val="20"/>
          <w:color w:val="auto"/>
        </w:rPr>
      </w:pPr>
      <w:r>
        <w:rPr>
          <w:rFonts w:ascii="Arial" w:cs="Arial" w:eastAsia="Arial" w:hAnsi="Arial"/>
          <w:sz w:val="13"/>
          <w:szCs w:val="13"/>
          <w:color w:val="auto"/>
        </w:rPr>
        <w:t>The Company recognizes interest and penalties, if any, related to unrecognized tax benefits in interest expense. The liability for unrecognized tax benefits includes accrued interest of $119 and $68 at December 31, 2009 and 2008, respectively.</w:t>
      </w:r>
    </w:p>
    <w:p>
      <w:pPr>
        <w:spacing w:after="0" w:line="58" w:lineRule="exact"/>
        <w:rPr>
          <w:sz w:val="20"/>
          <w:szCs w:val="20"/>
          <w:color w:val="auto"/>
        </w:rPr>
      </w:pPr>
    </w:p>
    <w:p>
      <w:pPr>
        <w:ind w:left="680" w:right="800" w:firstLine="399"/>
        <w:spacing w:after="0" w:line="259" w:lineRule="auto"/>
        <w:rPr>
          <w:sz w:val="20"/>
          <w:szCs w:val="20"/>
          <w:color w:val="auto"/>
        </w:rPr>
      </w:pPr>
      <w:r>
        <w:rPr>
          <w:rFonts w:ascii="Arial" w:cs="Arial" w:eastAsia="Arial" w:hAnsi="Arial"/>
          <w:sz w:val="13"/>
          <w:szCs w:val="13"/>
          <w:color w:val="auto"/>
        </w:rPr>
        <w:t>At December 31, 2009, the Company had approximately $21.2 million of federal net operating losses and $7.3 million of state net operating losses, which were the result of the Wisor acquisition. These net operating loss carry forwards will begin to expire in 2012 and are subject to certain limitations under Internal Revenue Code Section 382 due to the change in ownership. The Company performed a Section 382 study and determined that certain net operating losses will expire prior to utilization of the carry forwards due to the annual Section 382 limitation. The Company maintains a valuation allowance against a portion of the federal net operating loss carry forwards and a full valuation against the state net operating carry forwards, as the Company believes that it is more likely than not that the benefits will not be realized prior to expiration. The Company also has approximately $3.5 million of other state net operating losses that will begin to expire in 2021.</w:t>
      </w:r>
    </w:p>
    <w:p>
      <w:pPr>
        <w:spacing w:after="0" w:line="70" w:lineRule="exact"/>
        <w:rPr>
          <w:sz w:val="20"/>
          <w:szCs w:val="20"/>
          <w:color w:val="auto"/>
        </w:rPr>
      </w:pPr>
    </w:p>
    <w:p>
      <w:pPr>
        <w:ind w:left="680" w:right="1040" w:firstLine="399"/>
        <w:spacing w:after="0" w:line="266" w:lineRule="auto"/>
        <w:rPr>
          <w:sz w:val="20"/>
          <w:szCs w:val="20"/>
          <w:color w:val="auto"/>
        </w:rPr>
      </w:pPr>
      <w:r>
        <w:rPr>
          <w:rFonts w:ascii="Arial" w:cs="Arial" w:eastAsia="Arial" w:hAnsi="Arial"/>
          <w:sz w:val="13"/>
          <w:szCs w:val="13"/>
          <w:color w:val="auto"/>
        </w:rPr>
        <w:t>During June 2009, the Company settled a tax audit with the State of New Jersey for tax years ending December 31, 2004 through December 31, 2007. The audit resulted in an immaterial assessment of additional tax, interest and penalties. The Company believes that the results of any prospective audits will not have a material effect on its financial position or results of operations</w:t>
      </w:r>
    </w:p>
    <w:p>
      <w:pPr>
        <w:spacing w:after="0" w:line="67" w:lineRule="exact"/>
        <w:rPr>
          <w:sz w:val="20"/>
          <w:szCs w:val="20"/>
          <w:color w:val="auto"/>
        </w:rPr>
      </w:pPr>
    </w:p>
    <w:p>
      <w:pPr>
        <w:ind w:left="680" w:right="1100" w:firstLine="399"/>
        <w:spacing w:after="0" w:line="322" w:lineRule="auto"/>
        <w:rPr>
          <w:sz w:val="20"/>
          <w:szCs w:val="20"/>
          <w:color w:val="auto"/>
        </w:rPr>
      </w:pPr>
      <w:r>
        <w:rPr>
          <w:rFonts w:ascii="Arial" w:cs="Arial" w:eastAsia="Arial" w:hAnsi="Arial"/>
          <w:sz w:val="12"/>
          <w:szCs w:val="12"/>
          <w:color w:val="auto"/>
        </w:rPr>
        <w:t>The Company has elected to permanently reinvest earnings and profits related to its foreign subsidiaries, accordingly, no provision has been recorded for U.S. income taxes that might result from the repatriation of these earnings. The undistributed earnings of its foreign subsidiaries are approximately $3.1 million as of December 31, 2009.</w:t>
      </w:r>
    </w:p>
    <w:p>
      <w:pPr>
        <w:spacing w:after="0" w:line="35"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tax rates and the effective tax rates for the years ended December 31, 2009, 2008 and 2007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8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80" w:type="dxa"/>
            <w:vAlign w:val="bottom"/>
            <w:gridSpan w:val="10"/>
          </w:tcPr>
          <w:p>
            <w:pPr>
              <w:jc w:val="right"/>
              <w:ind w:right="1180"/>
              <w:spacing w:after="0"/>
              <w:rPr>
                <w:sz w:val="20"/>
                <w:szCs w:val="20"/>
                <w:color w:val="auto"/>
              </w:rPr>
            </w:pPr>
            <w:r>
              <w:rPr>
                <w:rFonts w:ascii="Arial" w:cs="Arial" w:eastAsia="Arial" w:hAnsi="Arial"/>
                <w:sz w:val="11"/>
                <w:szCs w:val="11"/>
                <w:b w:val="1"/>
                <w:bCs w:val="1"/>
                <w:color w:val="auto"/>
                <w:w w:val="94"/>
              </w:rPr>
              <w:t>Year Ended 31, December</w:t>
            </w:r>
          </w:p>
        </w:tc>
        <w:tc>
          <w:tcPr>
            <w:tcW w:w="0" w:type="dxa"/>
            <w:vAlign w:val="bottom"/>
          </w:tcPr>
          <w:p>
            <w:pPr>
              <w:spacing w:after="0"/>
              <w:rPr>
                <w:sz w:val="1"/>
                <w:szCs w:val="1"/>
                <w:color w:val="auto"/>
              </w:rPr>
            </w:pPr>
          </w:p>
        </w:tc>
      </w:tr>
      <w:tr>
        <w:trPr>
          <w:trHeight w:val="99"/>
        </w:trPr>
        <w:tc>
          <w:tcPr>
            <w:tcW w:w="5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top w:val="single" w:sz="8" w:color="auto"/>
              <w:bottom w:val="single" w:sz="8" w:color="auto"/>
            </w:tcBorders>
            <w:gridSpan w:val="2"/>
          </w:tcPr>
          <w:p>
            <w:pPr>
              <w:spacing w:after="0" w:line="99" w:lineRule="exact"/>
              <w:rPr>
                <w:sz w:val="20"/>
                <w:szCs w:val="20"/>
                <w:color w:val="auto"/>
              </w:rPr>
            </w:pPr>
            <w:r>
              <w:rPr>
                <w:rFonts w:ascii="Arial" w:cs="Arial" w:eastAsia="Arial" w:hAnsi="Arial"/>
                <w:sz w:val="11"/>
                <w:szCs w:val="11"/>
                <w:b w:val="1"/>
                <w:bCs w:val="1"/>
                <w:color w:val="auto"/>
                <w:w w:val="81"/>
              </w:rPr>
              <w:t>2009</w:t>
            </w:r>
          </w:p>
        </w:tc>
        <w:tc>
          <w:tcPr>
            <w:tcW w:w="3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2008</w:t>
            </w: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jc w:val="right"/>
              <w:spacing w:after="0" w:line="99" w:lineRule="exact"/>
              <w:rPr>
                <w:sz w:val="20"/>
                <w:szCs w:val="20"/>
                <w:color w:val="auto"/>
              </w:rPr>
            </w:pPr>
            <w:r>
              <w:rPr>
                <w:rFonts w:ascii="Arial" w:cs="Arial" w:eastAsia="Arial" w:hAnsi="Arial"/>
                <w:sz w:val="11"/>
                <w:szCs w:val="11"/>
                <w:b w:val="1"/>
                <w:bCs w:val="1"/>
                <w:color w:val="auto"/>
                <w:w w:val="81"/>
              </w:rPr>
              <w:t>2007</w:t>
            </w: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180" w:type="dxa"/>
            <w:vAlign w:val="bottom"/>
          </w:tcPr>
          <w:p>
            <w:pPr>
              <w:ind w:left="680"/>
              <w:spacing w:after="0"/>
              <w:rPr>
                <w:sz w:val="20"/>
                <w:szCs w:val="20"/>
                <w:color w:val="auto"/>
              </w:rPr>
            </w:pPr>
            <w:r>
              <w:rPr>
                <w:rFonts w:ascii="Arial" w:cs="Arial" w:eastAsia="Arial" w:hAnsi="Arial"/>
                <w:sz w:val="13"/>
                <w:szCs w:val="13"/>
                <w:color w:val="auto"/>
              </w:rPr>
              <w:t>Statutory rate</w:t>
            </w: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tcPr>
          <w:p>
            <w:pPr>
              <w:jc w:val="right"/>
              <w:ind w:right="174"/>
              <w:spacing w:after="0"/>
              <w:rPr>
                <w:sz w:val="20"/>
                <w:szCs w:val="20"/>
                <w:color w:val="auto"/>
              </w:rPr>
            </w:pPr>
            <w:r>
              <w:rPr>
                <w:rFonts w:ascii="Arial" w:cs="Arial" w:eastAsia="Arial" w:hAnsi="Arial"/>
                <w:sz w:val="13"/>
                <w:szCs w:val="13"/>
                <w:color w:val="auto"/>
                <w:w w:val="92"/>
              </w:rPr>
              <w:t>35%</w:t>
            </w:r>
          </w:p>
        </w:tc>
        <w:tc>
          <w:tcPr>
            <w:tcW w:w="100" w:type="dxa"/>
            <w:vAlign w:val="bottom"/>
          </w:tcPr>
          <w:p>
            <w:pPr>
              <w:spacing w:after="0"/>
              <w:rPr>
                <w:sz w:val="15"/>
                <w:szCs w:val="15"/>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35%</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8"/>
        </w:trPr>
        <w:tc>
          <w:tcPr>
            <w:tcW w:w="5180" w:type="dxa"/>
            <w:vAlign w:val="bottom"/>
          </w:tcPr>
          <w:p>
            <w:pPr>
              <w:ind w:left="680"/>
              <w:spacing w:after="0"/>
              <w:rPr>
                <w:sz w:val="20"/>
                <w:szCs w:val="20"/>
                <w:color w:val="auto"/>
              </w:rPr>
            </w:pPr>
            <w:r>
              <w:rPr>
                <w:rFonts w:ascii="Arial" w:cs="Arial" w:eastAsia="Arial" w:hAnsi="Arial"/>
                <w:sz w:val="13"/>
                <w:szCs w:val="13"/>
                <w:color w:val="auto"/>
              </w:rPr>
              <w:t>State taxes, net of federal benefit</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74"/>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5%</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8"/>
        </w:trPr>
        <w:tc>
          <w:tcPr>
            <w:tcW w:w="5180" w:type="dxa"/>
            <w:vAlign w:val="bottom"/>
          </w:tcPr>
          <w:p>
            <w:pPr>
              <w:ind w:left="680"/>
              <w:spacing w:after="0"/>
              <w:rPr>
                <w:sz w:val="20"/>
                <w:szCs w:val="20"/>
                <w:color w:val="auto"/>
              </w:rPr>
            </w:pPr>
            <w:r>
              <w:rPr>
                <w:rFonts w:ascii="Arial" w:cs="Arial" w:eastAsia="Arial" w:hAnsi="Arial"/>
                <w:sz w:val="13"/>
                <w:szCs w:val="13"/>
                <w:color w:val="auto"/>
              </w:rPr>
              <w:t>Permanent adjustments</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7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3%</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8"/>
        </w:trPr>
        <w:tc>
          <w:tcPr>
            <w:tcW w:w="5180" w:type="dxa"/>
            <w:vAlign w:val="bottom"/>
          </w:tcPr>
          <w:p>
            <w:pPr>
              <w:ind w:left="680"/>
              <w:spacing w:after="0"/>
              <w:rPr>
                <w:sz w:val="20"/>
                <w:szCs w:val="20"/>
                <w:color w:val="auto"/>
              </w:rPr>
            </w:pPr>
            <w:r>
              <w:rPr>
                <w:rFonts w:ascii="Arial" w:cs="Arial" w:eastAsia="Arial" w:hAnsi="Arial"/>
                <w:sz w:val="13"/>
                <w:szCs w:val="13"/>
                <w:color w:val="auto"/>
              </w:rPr>
              <w:t>Research and development credit</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34"/>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1420" w:type="dxa"/>
            <w:vAlign w:val="bottom"/>
            <w:gridSpan w:val="4"/>
          </w:tcPr>
          <w:p>
            <w:pPr>
              <w:jc w:val="right"/>
              <w:ind w:right="80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5"/>
        </w:trPr>
        <w:tc>
          <w:tcPr>
            <w:tcW w:w="5180" w:type="dxa"/>
            <w:vAlign w:val="bottom"/>
          </w:tcPr>
          <w:p>
            <w:pPr>
              <w:ind w:left="680"/>
              <w:spacing w:after="0"/>
              <w:rPr>
                <w:sz w:val="20"/>
                <w:szCs w:val="20"/>
                <w:color w:val="auto"/>
              </w:rPr>
            </w:pPr>
            <w:r>
              <w:rPr>
                <w:rFonts w:ascii="Arial" w:cs="Arial" w:eastAsia="Arial" w:hAnsi="Arial"/>
                <w:sz w:val="13"/>
                <w:szCs w:val="13"/>
                <w:color w:val="auto"/>
              </w:rPr>
              <w:t>Other</w:t>
            </w: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34"/>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460" w:type="dxa"/>
            <w:vAlign w:val="bottom"/>
            <w:gridSpan w:val="3"/>
          </w:tcPr>
          <w:p>
            <w:pPr>
              <w:jc w:val="right"/>
              <w:ind w:right="80"/>
              <w:spacing w:after="0"/>
              <w:rPr>
                <w:sz w:val="20"/>
                <w:szCs w:val="20"/>
                <w:color w:val="auto"/>
              </w:rPr>
            </w:pPr>
            <w:r>
              <w:rPr>
                <w:rFonts w:ascii="Arial" w:cs="Arial" w:eastAsia="Arial" w:hAnsi="Arial"/>
                <w:sz w:val="13"/>
                <w:szCs w:val="13"/>
                <w:color w:val="auto"/>
              </w:rPr>
              <w:t>(1)%</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680"/>
              <w:spacing w:after="0"/>
              <w:rPr>
                <w:sz w:val="20"/>
                <w:szCs w:val="20"/>
                <w:color w:val="auto"/>
              </w:rPr>
            </w:pPr>
            <w:r>
              <w:rPr>
                <w:rFonts w:ascii="Arial" w:cs="Arial" w:eastAsia="Arial" w:hAnsi="Arial"/>
                <w:sz w:val="13"/>
                <w:szCs w:val="13"/>
                <w:color w:val="auto"/>
              </w:rPr>
              <w:t>Net</w:t>
            </w: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174"/>
              <w:spacing w:after="0"/>
              <w:rPr>
                <w:sz w:val="20"/>
                <w:szCs w:val="20"/>
                <w:color w:val="auto"/>
              </w:rPr>
            </w:pPr>
            <w:r>
              <w:rPr>
                <w:rFonts w:ascii="Arial" w:cs="Arial" w:eastAsia="Arial" w:hAnsi="Arial"/>
                <w:sz w:val="13"/>
                <w:szCs w:val="13"/>
                <w:color w:val="auto"/>
                <w:w w:val="92"/>
              </w:rPr>
              <w:t>35%</w:t>
            </w:r>
          </w:p>
        </w:tc>
        <w:tc>
          <w:tcPr>
            <w:tcW w:w="100" w:type="dxa"/>
            <w:vAlign w:val="bottom"/>
          </w:tcPr>
          <w:p>
            <w:pPr>
              <w:spacing w:after="0"/>
              <w:rPr>
                <w:sz w:val="14"/>
                <w:szCs w:val="14"/>
                <w:color w:val="auto"/>
              </w:rPr>
            </w:pPr>
          </w:p>
        </w:tc>
        <w:tc>
          <w:tcPr>
            <w:tcW w:w="460" w:type="dxa"/>
            <w:vAlign w:val="bottom"/>
            <w:gridSpan w:val="3"/>
          </w:tcPr>
          <w:p>
            <w:pPr>
              <w:jc w:val="right"/>
              <w:ind w:right="120"/>
              <w:spacing w:after="0"/>
              <w:rPr>
                <w:sz w:val="20"/>
                <w:szCs w:val="20"/>
                <w:color w:val="auto"/>
              </w:rPr>
            </w:pPr>
            <w:r>
              <w:rPr>
                <w:rFonts w:ascii="Arial" w:cs="Arial" w:eastAsia="Arial" w:hAnsi="Arial"/>
                <w:sz w:val="13"/>
                <w:szCs w:val="13"/>
                <w:color w:val="auto"/>
              </w:rPr>
              <w:t>41%</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256"/>
        </w:trPr>
        <w:tc>
          <w:tcPr>
            <w:tcW w:w="5180" w:type="dxa"/>
            <w:vAlign w:val="bottom"/>
          </w:tcPr>
          <w:p>
            <w:pPr>
              <w:ind w:left="1080"/>
              <w:spacing w:after="0"/>
              <w:rPr>
                <w:sz w:val="20"/>
                <w:szCs w:val="20"/>
                <w:color w:val="auto"/>
              </w:rPr>
            </w:pPr>
            <w:r>
              <w:rPr>
                <w:rFonts w:ascii="Arial" w:cs="Arial" w:eastAsia="Arial" w:hAnsi="Arial"/>
                <w:sz w:val="13"/>
                <w:szCs w:val="13"/>
                <w:color w:val="auto"/>
              </w:rPr>
              <w:t>Income tax (expense) benefit consisted of the following components:</w:t>
            </w:r>
          </w:p>
        </w:tc>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8"/>
          </w:tcPr>
          <w:p>
            <w:pPr>
              <w:jc w:val="right"/>
              <w:ind w:right="220"/>
              <w:spacing w:after="0"/>
              <w:rPr>
                <w:sz w:val="20"/>
                <w:szCs w:val="20"/>
                <w:color w:val="auto"/>
              </w:rPr>
            </w:pPr>
            <w:r>
              <w:rPr>
                <w:rFonts w:ascii="Arial" w:cs="Arial" w:eastAsia="Arial" w:hAnsi="Arial"/>
                <w:sz w:val="11"/>
                <w:szCs w:val="11"/>
                <w:b w:val="1"/>
                <w:bCs w:val="1"/>
                <w:color w:val="auto"/>
                <w:w w:val="90"/>
              </w:rPr>
              <w:t>Year Ended December 31,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9"/>
        </w:trPr>
        <w:tc>
          <w:tcPr>
            <w:tcW w:w="51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9" w:lineRule="exact"/>
              <w:rPr>
                <w:sz w:val="20"/>
                <w:szCs w:val="20"/>
                <w:color w:val="auto"/>
              </w:rPr>
            </w:pPr>
            <w:r>
              <w:rPr>
                <w:rFonts w:ascii="Arial" w:cs="Arial" w:eastAsia="Arial" w:hAnsi="Arial"/>
                <w:sz w:val="11"/>
                <w:szCs w:val="11"/>
                <w:b w:val="1"/>
                <w:bCs w:val="1"/>
                <w:color w:val="auto"/>
              </w:rPr>
              <w:t>2009</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gridSpan w:val="2"/>
          </w:tcPr>
          <w:p>
            <w:pPr>
              <w:jc w:val="right"/>
              <w:ind w:right="134"/>
              <w:spacing w:after="0" w:line="99" w:lineRule="exact"/>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jc w:val="right"/>
              <w:ind w:right="118"/>
              <w:spacing w:after="0" w:line="99" w:lineRule="exact"/>
              <w:rPr>
                <w:sz w:val="20"/>
                <w:szCs w:val="20"/>
                <w:color w:val="auto"/>
              </w:rPr>
            </w:pPr>
            <w:r>
              <w:rPr>
                <w:rFonts w:ascii="Arial" w:cs="Arial" w:eastAsia="Arial" w:hAnsi="Arial"/>
                <w:sz w:val="11"/>
                <w:szCs w:val="11"/>
                <w:b w:val="1"/>
                <w:bCs w:val="1"/>
                <w:color w:val="auto"/>
              </w:rPr>
              <w:t>2007</w:t>
            </w:r>
          </w:p>
        </w:tc>
        <w:tc>
          <w:tcPr>
            <w:tcW w:w="6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180" w:type="dxa"/>
            <w:vAlign w:val="bottom"/>
          </w:tcPr>
          <w:p>
            <w:pPr>
              <w:ind w:left="680"/>
              <w:spacing w:after="0"/>
              <w:rPr>
                <w:sz w:val="20"/>
                <w:szCs w:val="20"/>
                <w:color w:val="auto"/>
              </w:rPr>
            </w:pPr>
            <w:r>
              <w:rPr>
                <w:rFonts w:ascii="Arial" w:cs="Arial" w:eastAsia="Arial" w:hAnsi="Arial"/>
                <w:sz w:val="13"/>
                <w:szCs w:val="13"/>
                <w:color w:val="auto"/>
              </w:rPr>
              <w:t>Current:</w:t>
            </w:r>
          </w:p>
        </w:tc>
        <w:tc>
          <w:tcPr>
            <w:tcW w:w="2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180" w:type="dxa"/>
            <w:vAlign w:val="bottom"/>
          </w:tcPr>
          <w:p>
            <w:pPr>
              <w:ind w:left="820"/>
              <w:spacing w:after="0"/>
              <w:rPr>
                <w:sz w:val="20"/>
                <w:szCs w:val="20"/>
                <w:color w:val="auto"/>
              </w:rPr>
            </w:pPr>
            <w:r>
              <w:rPr>
                <w:rFonts w:ascii="Arial" w:cs="Arial" w:eastAsia="Arial" w:hAnsi="Arial"/>
                <w:sz w:val="13"/>
                <w:szCs w:val="13"/>
                <w:color w:val="auto"/>
              </w:rPr>
              <w:t>Federal</w:t>
            </w:r>
          </w:p>
        </w:tc>
        <w:tc>
          <w:tcPr>
            <w:tcW w:w="28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(6,898)</w:t>
            </w: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(7,758)</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(12,431)</w:t>
            </w:r>
          </w:p>
        </w:tc>
        <w:tc>
          <w:tcPr>
            <w:tcW w:w="0" w:type="dxa"/>
            <w:vAlign w:val="bottom"/>
          </w:tcPr>
          <w:p>
            <w:pPr>
              <w:spacing w:after="0"/>
              <w:rPr>
                <w:sz w:val="1"/>
                <w:szCs w:val="1"/>
                <w:color w:val="auto"/>
              </w:rPr>
            </w:pPr>
          </w:p>
        </w:tc>
      </w:tr>
      <w:tr>
        <w:trPr>
          <w:trHeight w:val="158"/>
        </w:trPr>
        <w:tc>
          <w:tcPr>
            <w:tcW w:w="5180" w:type="dxa"/>
            <w:vAlign w:val="bottom"/>
          </w:tcPr>
          <w:p>
            <w:pPr>
              <w:ind w:left="820"/>
              <w:spacing w:after="0"/>
              <w:rPr>
                <w:sz w:val="20"/>
                <w:szCs w:val="20"/>
                <w:color w:val="auto"/>
              </w:rPr>
            </w:pPr>
            <w:r>
              <w:rPr>
                <w:rFonts w:ascii="Arial" w:cs="Arial" w:eastAsia="Arial" w:hAnsi="Arial"/>
                <w:sz w:val="13"/>
                <w:szCs w:val="13"/>
                <w:color w:val="auto"/>
              </w:rPr>
              <w:t>State</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(725)</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(1,376)</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(2,347)</w:t>
            </w:r>
          </w:p>
        </w:tc>
        <w:tc>
          <w:tcPr>
            <w:tcW w:w="0" w:type="dxa"/>
            <w:vAlign w:val="bottom"/>
          </w:tcPr>
          <w:p>
            <w:pPr>
              <w:spacing w:after="0"/>
              <w:rPr>
                <w:sz w:val="1"/>
                <w:szCs w:val="1"/>
                <w:color w:val="auto"/>
              </w:rPr>
            </w:pPr>
          </w:p>
        </w:tc>
      </w:tr>
      <w:tr>
        <w:trPr>
          <w:trHeight w:val="158"/>
        </w:trPr>
        <w:tc>
          <w:tcPr>
            <w:tcW w:w="5180" w:type="dxa"/>
            <w:vAlign w:val="bottom"/>
          </w:tcPr>
          <w:p>
            <w:pPr>
              <w:ind w:left="820"/>
              <w:spacing w:after="0"/>
              <w:rPr>
                <w:sz w:val="20"/>
                <w:szCs w:val="20"/>
                <w:color w:val="auto"/>
              </w:rPr>
            </w:pPr>
            <w:r>
              <w:rPr>
                <w:rFonts w:ascii="Arial" w:cs="Arial" w:eastAsia="Arial" w:hAnsi="Arial"/>
                <w:sz w:val="13"/>
                <w:szCs w:val="13"/>
                <w:color w:val="auto"/>
              </w:rPr>
              <w:t>Foreign</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(88)</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(3)</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3"/>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5180" w:type="dxa"/>
            <w:vAlign w:val="bottom"/>
          </w:tcPr>
          <w:p>
            <w:pPr>
              <w:ind w:left="680"/>
              <w:spacing w:after="0"/>
              <w:rPr>
                <w:sz w:val="20"/>
                <w:szCs w:val="20"/>
                <w:color w:val="auto"/>
              </w:rPr>
            </w:pPr>
            <w:r>
              <w:rPr>
                <w:rFonts w:ascii="Arial" w:cs="Arial" w:eastAsia="Arial" w:hAnsi="Arial"/>
                <w:sz w:val="13"/>
                <w:szCs w:val="13"/>
                <w:color w:val="auto"/>
              </w:rPr>
              <w:t>Deferred:</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80" w:type="dxa"/>
            <w:vAlign w:val="bottom"/>
          </w:tcPr>
          <w:p>
            <w:pPr>
              <w:ind w:left="820"/>
              <w:spacing w:after="0"/>
              <w:rPr>
                <w:sz w:val="20"/>
                <w:szCs w:val="20"/>
                <w:color w:val="auto"/>
              </w:rPr>
            </w:pPr>
            <w:r>
              <w:rPr>
                <w:rFonts w:ascii="Arial" w:cs="Arial" w:eastAsia="Arial" w:hAnsi="Arial"/>
                <w:sz w:val="13"/>
                <w:szCs w:val="13"/>
                <w:color w:val="auto"/>
              </w:rPr>
              <w:t>Federal</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1,052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771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901</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5180" w:type="dxa"/>
            <w:vAlign w:val="bottom"/>
          </w:tcPr>
          <w:p>
            <w:pPr>
              <w:ind w:left="820"/>
              <w:spacing w:after="0"/>
              <w:rPr>
                <w:sz w:val="20"/>
                <w:szCs w:val="20"/>
                <w:color w:val="auto"/>
              </w:rPr>
            </w:pPr>
            <w:r>
              <w:rPr>
                <w:rFonts w:ascii="Arial" w:cs="Arial" w:eastAsia="Arial" w:hAnsi="Arial"/>
                <w:sz w:val="13"/>
                <w:szCs w:val="13"/>
                <w:color w:val="auto"/>
              </w:rPr>
              <w:t>State</w:t>
            </w:r>
          </w:p>
        </w:tc>
        <w:tc>
          <w:tcPr>
            <w:tcW w:w="2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(58)</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65"/>
        </w:trPr>
        <w:tc>
          <w:tcPr>
            <w:tcW w:w="5180" w:type="dxa"/>
            <w:vAlign w:val="bottom"/>
          </w:tcPr>
          <w:p>
            <w:pPr>
              <w:ind w:left="820"/>
              <w:spacing w:after="0"/>
              <w:rPr>
                <w:sz w:val="20"/>
                <w:szCs w:val="20"/>
                <w:color w:val="auto"/>
              </w:rPr>
            </w:pPr>
            <w:r>
              <w:rPr>
                <w:rFonts w:ascii="Arial" w:cs="Arial" w:eastAsia="Arial" w:hAnsi="Arial"/>
                <w:sz w:val="13"/>
                <w:szCs w:val="13"/>
                <w:color w:val="auto"/>
              </w:rPr>
              <w:t>Foreign</w:t>
            </w: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tcPr>
          <w:p>
            <w:pPr>
              <w:jc w:val="right"/>
              <w:ind w:right="9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180" w:type="dxa"/>
            <w:vAlign w:val="bottom"/>
            <w:vMerge w:val="restart"/>
          </w:tcPr>
          <w:p>
            <w:pPr>
              <w:ind w:left="680"/>
              <w:spacing w:after="0"/>
              <w:rPr>
                <w:sz w:val="20"/>
                <w:szCs w:val="20"/>
                <w:color w:val="auto"/>
              </w:rPr>
            </w:pPr>
            <w:r>
              <w:rPr>
                <w:rFonts w:ascii="Arial" w:cs="Arial" w:eastAsia="Arial" w:hAnsi="Arial"/>
                <w:sz w:val="13"/>
                <w:szCs w:val="13"/>
                <w:color w:val="auto"/>
              </w:rPr>
              <w:t>Income tax (expense) benefit</w:t>
            </w:r>
          </w:p>
        </w:tc>
        <w:tc>
          <w:tcPr>
            <w:tcW w:w="2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80" w:type="dxa"/>
            <w:vAlign w:val="bottom"/>
            <w:vMerge w:val="continue"/>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(6,536)</w:t>
            </w:r>
          </w:p>
        </w:tc>
        <w:tc>
          <w:tcPr>
            <w:tcW w:w="40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(8,424)</w:t>
            </w:r>
          </w:p>
        </w:tc>
        <w:tc>
          <w:tcPr>
            <w:tcW w:w="460" w:type="dxa"/>
            <w:vAlign w:val="bottom"/>
            <w:gridSpan w:val="3"/>
          </w:tcPr>
          <w:p>
            <w:pPr>
              <w:jc w:val="right"/>
              <w:ind w:right="100"/>
              <w:spacing w:after="0"/>
              <w:rPr>
                <w:sz w:val="20"/>
                <w:szCs w:val="20"/>
                <w:color w:val="auto"/>
              </w:rPr>
            </w:pPr>
            <w:r>
              <w:rPr>
                <w:rFonts w:ascii="Arial" w:cs="Arial" w:eastAsia="Arial" w:hAnsi="Arial"/>
                <w:sz w:val="13"/>
                <w:szCs w:val="13"/>
                <w:color w:val="auto"/>
              </w:rPr>
              <w:t>$</w:t>
            </w:r>
          </w:p>
        </w:tc>
        <w:tc>
          <w:tcPr>
            <w:tcW w:w="1420" w:type="dxa"/>
            <w:vAlign w:val="bottom"/>
            <w:gridSpan w:val="4"/>
          </w:tcPr>
          <w:p>
            <w:pPr>
              <w:jc w:val="right"/>
              <w:ind w:right="840"/>
              <w:spacing w:after="0"/>
              <w:rPr>
                <w:sz w:val="20"/>
                <w:szCs w:val="20"/>
                <w:color w:val="auto"/>
              </w:rPr>
            </w:pPr>
            <w:r>
              <w:rPr>
                <w:rFonts w:ascii="Arial" w:cs="Arial" w:eastAsia="Arial" w:hAnsi="Arial"/>
                <w:sz w:val="13"/>
                <w:szCs w:val="13"/>
                <w:color w:val="auto"/>
              </w:rPr>
              <w:t>(13,988)</w:t>
            </w:r>
          </w:p>
        </w:tc>
        <w:tc>
          <w:tcPr>
            <w:tcW w:w="0" w:type="dxa"/>
            <w:vAlign w:val="bottom"/>
          </w:tcPr>
          <w:p>
            <w:pPr>
              <w:spacing w:after="0"/>
              <w:rPr>
                <w:sz w:val="1"/>
                <w:szCs w:val="1"/>
                <w:color w:val="auto"/>
              </w:rPr>
            </w:pPr>
          </w:p>
        </w:tc>
      </w:tr>
      <w:tr>
        <w:trPr>
          <w:trHeight w:val="463"/>
        </w:trPr>
        <w:tc>
          <w:tcPr>
            <w:tcW w:w="5180" w:type="dxa"/>
            <w:vAlign w:val="bottom"/>
          </w:tcPr>
          <w:p>
            <w:pPr>
              <w:spacing w:after="0"/>
              <w:rPr>
                <w:sz w:val="24"/>
                <w:szCs w:val="24"/>
                <w:color w:val="auto"/>
              </w:rPr>
            </w:pPr>
          </w:p>
        </w:tc>
        <w:tc>
          <w:tcPr>
            <w:tcW w:w="2700" w:type="dxa"/>
            <w:vAlign w:val="bottom"/>
          </w:tcPr>
          <w:p>
            <w:pPr>
              <w:jc w:val="right"/>
              <w:ind w:right="2074"/>
              <w:spacing w:after="0"/>
              <w:rPr>
                <w:sz w:val="20"/>
                <w:szCs w:val="20"/>
                <w:color w:val="auto"/>
              </w:rPr>
            </w:pPr>
            <w:r>
              <w:rPr>
                <w:rFonts w:ascii="Arial" w:cs="Arial" w:eastAsia="Arial" w:hAnsi="Arial"/>
                <w:sz w:val="13"/>
                <w:szCs w:val="13"/>
                <w:color w:val="auto"/>
              </w:rPr>
              <w:t>62</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5180" w:type="dxa"/>
            <w:vAlign w:val="bottom"/>
            <w:tcBorders>
              <w:bottom w:val="single" w:sz="8" w:color="808080"/>
            </w:tcBorders>
          </w:tcPr>
          <w:p>
            <w:pPr>
              <w:spacing w:after="0"/>
              <w:rPr>
                <w:sz w:val="14"/>
                <w:szCs w:val="14"/>
                <w:color w:val="auto"/>
              </w:rPr>
            </w:pPr>
          </w:p>
        </w:tc>
        <w:tc>
          <w:tcPr>
            <w:tcW w:w="27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00" w:lineRule="exact"/>
        <w:rPr>
          <w:sz w:val="20"/>
          <w:szCs w:val="20"/>
          <w:color w:val="auto"/>
        </w:rPr>
      </w:pPr>
    </w:p>
    <w:p>
      <w:pPr>
        <w:spacing w:after="0" w:line="224" w:lineRule="exact"/>
        <w:rPr>
          <w:sz w:val="20"/>
          <w:szCs w:val="20"/>
          <w:color w:val="auto"/>
        </w:rPr>
      </w:pPr>
    </w:p>
    <w:p>
      <w:pPr>
        <w:ind w:left="1200" w:hanging="513"/>
        <w:spacing w:after="0"/>
        <w:tabs>
          <w:tab w:leader="none" w:pos="1200" w:val="left"/>
        </w:tabs>
        <w:numPr>
          <w:ilvl w:val="0"/>
          <w:numId w:val="32"/>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Leases</w:t>
      </w:r>
    </w:p>
    <w:p>
      <w:pPr>
        <w:spacing w:after="0" w:line="98" w:lineRule="exact"/>
        <w:rPr>
          <w:sz w:val="20"/>
          <w:szCs w:val="20"/>
          <w:color w:val="auto"/>
        </w:rPr>
      </w:pPr>
    </w:p>
    <w:p>
      <w:pPr>
        <w:ind w:left="680" w:right="500" w:firstLine="399"/>
        <w:spacing w:after="0" w:line="279" w:lineRule="auto"/>
        <w:rPr>
          <w:sz w:val="20"/>
          <w:szCs w:val="20"/>
          <w:color w:val="auto"/>
        </w:rPr>
      </w:pPr>
      <w:r>
        <w:rPr>
          <w:rFonts w:ascii="Arial" w:cs="Arial" w:eastAsia="Arial" w:hAnsi="Arial"/>
          <w:sz w:val="13"/>
          <w:szCs w:val="13"/>
          <w:color w:val="auto"/>
        </w:rPr>
        <w:t>The Company leases office space, automobiles and office equipment under non-cancellable lease agreements, which expire through October 2019. Aggregate annual future minimum lease payments under these non-cancellable leases are as follows:</w:t>
      </w:r>
    </w:p>
    <w:p>
      <w:pPr>
        <w:spacing w:after="0" w:line="68" w:lineRule="exact"/>
        <w:rPr>
          <w:sz w:val="20"/>
          <w:szCs w:val="20"/>
          <w:color w:val="auto"/>
        </w:rPr>
      </w:pPr>
    </w:p>
    <w:tbl>
      <w:tblPr>
        <w:tblLayout w:type="fixed"/>
        <w:tblInd w:w="820" w:type="dxa"/>
        <w:tblCellMar>
          <w:top w:w="0" w:type="dxa"/>
          <w:left w:w="0" w:type="dxa"/>
          <w:bottom w:w="0" w:type="dxa"/>
          <w:right w:w="0" w:type="dxa"/>
        </w:tblCellMar>
      </w:tblPr>
      <w:tr>
        <w:trPr>
          <w:trHeight w:val="158"/>
        </w:trPr>
        <w:tc>
          <w:tcPr>
            <w:tcW w:w="9160" w:type="dxa"/>
            <w:vAlign w:val="bottom"/>
          </w:tcPr>
          <w:p>
            <w:pPr>
              <w:spacing w:after="0"/>
              <w:rPr>
                <w:sz w:val="20"/>
                <w:szCs w:val="20"/>
                <w:color w:val="auto"/>
              </w:rPr>
            </w:pPr>
            <w:r>
              <w:rPr>
                <w:rFonts w:ascii="Arial" w:cs="Arial" w:eastAsia="Arial" w:hAnsi="Arial"/>
                <w:sz w:val="13"/>
                <w:szCs w:val="13"/>
                <w:color w:val="auto"/>
              </w:rPr>
              <w:t>2010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2,862</w:t>
            </w:r>
          </w:p>
        </w:tc>
      </w:tr>
      <w:tr>
        <w:trPr>
          <w:trHeight w:val="158"/>
        </w:trPr>
        <w:tc>
          <w:tcPr>
            <w:tcW w:w="9160" w:type="dxa"/>
            <w:vAlign w:val="bottom"/>
          </w:tcPr>
          <w:p>
            <w:pPr>
              <w:spacing w:after="0"/>
              <w:rPr>
                <w:sz w:val="20"/>
                <w:szCs w:val="20"/>
                <w:color w:val="auto"/>
              </w:rPr>
            </w:pPr>
            <w:r>
              <w:rPr>
                <w:rFonts w:ascii="Arial" w:cs="Arial" w:eastAsia="Arial" w:hAnsi="Arial"/>
                <w:sz w:val="13"/>
                <w:szCs w:val="13"/>
                <w:color w:val="auto"/>
              </w:rPr>
              <w:t>2011</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2,850</w:t>
            </w:r>
          </w:p>
        </w:tc>
      </w:tr>
      <w:tr>
        <w:trPr>
          <w:trHeight w:val="158"/>
        </w:trPr>
        <w:tc>
          <w:tcPr>
            <w:tcW w:w="9160" w:type="dxa"/>
            <w:vAlign w:val="bottom"/>
          </w:tcPr>
          <w:p>
            <w:pPr>
              <w:spacing w:after="0"/>
              <w:rPr>
                <w:sz w:val="20"/>
                <w:szCs w:val="20"/>
                <w:color w:val="auto"/>
              </w:rPr>
            </w:pPr>
            <w:r>
              <w:rPr>
                <w:rFonts w:ascii="Arial" w:cs="Arial" w:eastAsia="Arial" w:hAnsi="Arial"/>
                <w:sz w:val="13"/>
                <w:szCs w:val="13"/>
                <w:color w:val="auto"/>
              </w:rPr>
              <w:t>2012</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2,315</w:t>
            </w:r>
          </w:p>
        </w:tc>
      </w:tr>
      <w:tr>
        <w:trPr>
          <w:trHeight w:val="158"/>
        </w:trPr>
        <w:tc>
          <w:tcPr>
            <w:tcW w:w="9160" w:type="dxa"/>
            <w:vAlign w:val="bottom"/>
          </w:tcPr>
          <w:p>
            <w:pPr>
              <w:spacing w:after="0"/>
              <w:rPr>
                <w:sz w:val="20"/>
                <w:szCs w:val="20"/>
                <w:color w:val="auto"/>
              </w:rPr>
            </w:pPr>
            <w:r>
              <w:rPr>
                <w:rFonts w:ascii="Arial" w:cs="Arial" w:eastAsia="Arial" w:hAnsi="Arial"/>
                <w:sz w:val="13"/>
                <w:szCs w:val="13"/>
                <w:color w:val="auto"/>
              </w:rPr>
              <w:t>2013</w:t>
            </w: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1,996</w:t>
            </w:r>
          </w:p>
        </w:tc>
      </w:tr>
      <w:tr>
        <w:trPr>
          <w:trHeight w:val="166"/>
        </w:trPr>
        <w:tc>
          <w:tcPr>
            <w:tcW w:w="9160" w:type="dxa"/>
            <w:vAlign w:val="bottom"/>
          </w:tcPr>
          <w:p>
            <w:pPr>
              <w:spacing w:after="0"/>
              <w:rPr>
                <w:sz w:val="20"/>
                <w:szCs w:val="20"/>
                <w:color w:val="auto"/>
              </w:rPr>
            </w:pPr>
            <w:r>
              <w:rPr>
                <w:rFonts w:ascii="Arial" w:cs="Arial" w:eastAsia="Arial" w:hAnsi="Arial"/>
                <w:sz w:val="13"/>
                <w:szCs w:val="13"/>
                <w:color w:val="auto"/>
              </w:rPr>
              <w:t>2014 and thereafter</w:t>
            </w: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7,533</w:t>
            </w:r>
          </w:p>
        </w:tc>
      </w:tr>
      <w:tr>
        <w:trPr>
          <w:trHeight w:val="168"/>
        </w:trPr>
        <w:tc>
          <w:tcPr>
            <w:tcW w:w="9160" w:type="dxa"/>
            <w:vAlign w:val="bottom"/>
          </w:tcPr>
          <w:p>
            <w:pPr>
              <w:spacing w:after="0"/>
              <w:rPr>
                <w:sz w:val="14"/>
                <w:szCs w:val="14"/>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17,556</w:t>
            </w:r>
          </w:p>
        </w:tc>
      </w:tr>
    </w:tbl>
    <w:p>
      <w:pPr>
        <w:spacing w:after="0" w:line="9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Rent expense for the years ended December 31, 2009, 2008 and 2007 was $2.2 million, $2.1 million, and $1.9 million, respectively.</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In May 2008, the Company entered into an agreement to lease space for its Pennsylvania offices and data center in a newly constructed facility. The lease has a term of 10 years and</w:t>
      </w:r>
    </w:p>
    <w:p>
      <w:pPr>
        <w:spacing w:after="0" w:line="39" w:lineRule="exact"/>
        <w:rPr>
          <w:sz w:val="20"/>
          <w:szCs w:val="20"/>
          <w:color w:val="auto"/>
        </w:rPr>
      </w:pPr>
    </w:p>
    <w:p>
      <w:pPr>
        <w:ind w:left="680"/>
        <w:spacing w:after="0"/>
        <w:rPr>
          <w:sz w:val="20"/>
          <w:szCs w:val="20"/>
          <w:color w:val="auto"/>
        </w:rPr>
      </w:pPr>
      <w:r>
        <w:rPr>
          <w:rFonts w:ascii="Arial" w:cs="Arial" w:eastAsia="Arial" w:hAnsi="Arial"/>
          <w:sz w:val="12"/>
          <w:szCs w:val="12"/>
          <w:color w:val="auto"/>
        </w:rPr>
        <w:t>5 months with an option to extend the term of the lease for two consecutive five year periods. In August 2008, the Company amended its lease whereby the Company agreed to reimburse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the landlord for certain leasehold improvements the Company had requested. The construction phase of the building was complete as of June 30, 2009. Since the tenant improvements,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under the lease amendment, are considered structural in nature and the Company is primarily responsible for reimbursement to the landlord for the cost of these improvements, the</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Company is considered to be the owner of the construction project for accounting purposes. The Company recorded assets on its balance sheet for all of the costs paid by the lessor to</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construct the Pennsylvania facility through December 31, 2009, along with corresponding financing liabilities for amounts equal to these lessor-paid construction costs through</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December 31, 2009. As of December 31, 2009, the Company recorded $8.8 million of construction costs funded by the landlord, with an offsetting amount recorded as financing liabilities.</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1"/>
          <w:szCs w:val="11"/>
          <w:color w:val="auto"/>
        </w:rPr>
        <w:t>The lease did not qualify for sale leaseback treatment and therefore the lease is treated as a financing lease. For the year ended December 31, 2009, the Company recorded $674 and $220 of</w:t>
      </w:r>
    </w:p>
    <w:p>
      <w:pPr>
        <w:spacing w:after="0" w:line="3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interest expense and depreciation expense, respectively, related to the lease agreement.</w:t>
      </w:r>
    </w:p>
    <w:p>
      <w:pPr>
        <w:spacing w:after="0" w:line="166" w:lineRule="exact"/>
        <w:rPr>
          <w:sz w:val="20"/>
          <w:szCs w:val="20"/>
          <w:color w:val="auto"/>
        </w:rPr>
      </w:pPr>
    </w:p>
    <w:p>
      <w:pPr>
        <w:ind w:left="1200" w:hanging="513"/>
        <w:spacing w:after="0"/>
        <w:tabs>
          <w:tab w:leader="none" w:pos="1200" w:val="left"/>
        </w:tabs>
        <w:numPr>
          <w:ilvl w:val="0"/>
          <w:numId w:val="33"/>
        </w:numPr>
        <w:rPr>
          <w:rFonts w:ascii="Arial" w:cs="Arial" w:eastAsia="Arial" w:hAnsi="Arial"/>
          <w:sz w:val="13"/>
          <w:szCs w:val="13"/>
          <w:b w:val="1"/>
          <w:bCs w:val="1"/>
          <w:color w:val="auto"/>
        </w:rPr>
      </w:pPr>
      <w:r>
        <w:rPr>
          <w:rFonts w:ascii="Arial" w:cs="Arial" w:eastAsia="Arial" w:hAnsi="Arial"/>
          <w:sz w:val="13"/>
          <w:szCs w:val="13"/>
          <w:b w:val="1"/>
          <w:bCs w:val="1"/>
          <w:color w:val="auto"/>
        </w:rPr>
        <w:t>Legal Matters</w:t>
      </w:r>
    </w:p>
    <w:p>
      <w:pPr>
        <w:spacing w:after="0" w:line="102" w:lineRule="exact"/>
        <w:rPr>
          <w:sz w:val="20"/>
          <w:szCs w:val="20"/>
          <w:color w:val="auto"/>
        </w:rPr>
      </w:pPr>
    </w:p>
    <w:p>
      <w:pPr>
        <w:ind w:left="680" w:right="20" w:firstLine="399"/>
        <w:spacing w:after="0" w:line="256" w:lineRule="auto"/>
        <w:rPr>
          <w:sz w:val="20"/>
          <w:szCs w:val="20"/>
          <w:color w:val="auto"/>
        </w:rPr>
      </w:pPr>
      <w:r>
        <w:rPr>
          <w:rFonts w:ascii="Arial" w:cs="Arial" w:eastAsia="Arial" w:hAnsi="Arial"/>
          <w:sz w:val="13"/>
          <w:szCs w:val="13"/>
          <w:color w:val="auto"/>
        </w:rPr>
        <w:t>On September 5, 2008, September 18, 2008, and September 23, 2008, three complaints were filed against the Company and certain of its officers and directors in the United States District Court for the District of New Jersey purportedly on behalf of a class of shareholders who purchased the Company’s common stock between February 4, 2008 and June 9, 2008 (the “Securities Law Actions”). The complaints were consolidated and an amended complaint was filed by the plaintiffs on March 13, 2009. The Company filed a Motion to Dismiss all of the claims under the complaint on April 24, 2009. The Motion to Dismiss has been fully briefed by the parties and the Company is awaiting the Court’s decision. The plaintiffs in each complaint assert claims under Sections 10(b) and 20(a) of the Securities Exchange Act of 1934. They allege that certain of the Company’s public disclosures regarding its financial prospects during the proposed class period were false and/or misleading. The principal allegation set forth in each complaint is that the Company issued misleading statements concerning its business prospects relating to the activation of Apple Inc.’s iPhone product. The plaintiffs seek compensatory damages, costs, fees, and other relief within the Court’s discretion. The Company believes that the claims described above are without merit, and it intends to defend against all of the claims vigorously. Due to the inherent uncertainties of litigation, the Company cannot predict the outcome of the actions at this time, and it can give no assurance that these claims will not have a material adverse effect on the Company’s financial position or results of operations.</w:t>
      </w:r>
    </w:p>
    <w:p>
      <w:pPr>
        <w:spacing w:after="0" w:line="28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SYNCHRONOSS TECHNOLOGIES, INC.</w:t>
      </w:r>
    </w:p>
    <w:p>
      <w:pPr>
        <w:spacing w:after="0" w:line="98"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NOTES TO CONSOLIDATED FINANCIAL STATEMENTS — (Continued)</w:t>
      </w:r>
    </w:p>
    <w:p>
      <w:pPr>
        <w:spacing w:after="0" w:line="260" w:lineRule="exact"/>
        <w:rPr>
          <w:sz w:val="20"/>
          <w:szCs w:val="20"/>
          <w:color w:val="auto"/>
        </w:rPr>
      </w:pPr>
    </w:p>
    <w:p>
      <w:pPr>
        <w:ind w:left="680" w:firstLine="399"/>
        <w:spacing w:after="0" w:line="283" w:lineRule="auto"/>
        <w:rPr>
          <w:sz w:val="20"/>
          <w:szCs w:val="20"/>
          <w:color w:val="auto"/>
        </w:rPr>
      </w:pPr>
      <w:r>
        <w:rPr>
          <w:rFonts w:ascii="Arial" w:cs="Arial" w:eastAsia="Arial" w:hAnsi="Arial"/>
          <w:sz w:val="12"/>
          <w:szCs w:val="12"/>
          <w:color w:val="auto"/>
        </w:rPr>
        <w:t>On October 23, 2008 and November 3, 2008, complaints were filed in the state court of New Jersey and the United States District Court for the District of New Jersey against certain of the Company’s officers and directors, purportedly derivatively on behalf of the Company (the “Derivative Suits”). The Complaints in the Derivative Suits assert that the named officers and directors breached their fiduciary duties and other obligations in connection with the disclosures that also are the subject of the Securities Law Actions described above. The Company is also named as a nominal defendant in the Derivative Suits, although the lawsuits are derivative in nature and purportedly asserted on the Company’s behalf. The plaintiffs seek compensatory damages, costs, fees, and other relief within the Court’s discretion. The plaintiffs in the Derivative Suits have agreed to stay their claims pending the court’s decision in the Defendant’s Motion to Dismiss in the Securities Laws Actions. Due to the inherent uncertainties of litigation, the Company cannot predict the outcome of the Derivative Suits at this time, and the Company can give no assurance that the claims in these complaints will not have a material adverse effect on its financial position or results of operations.</w:t>
      </w:r>
    </w:p>
    <w:p>
      <w:pPr>
        <w:spacing w:after="0" w:line="57" w:lineRule="exact"/>
        <w:rPr>
          <w:sz w:val="20"/>
          <w:szCs w:val="20"/>
          <w:color w:val="auto"/>
        </w:rPr>
      </w:pPr>
    </w:p>
    <w:p>
      <w:pPr>
        <w:ind w:left="680" w:right="100" w:firstLine="399"/>
        <w:spacing w:after="0" w:line="279" w:lineRule="auto"/>
        <w:rPr>
          <w:sz w:val="20"/>
          <w:szCs w:val="20"/>
          <w:color w:val="auto"/>
        </w:rPr>
      </w:pPr>
      <w:r>
        <w:rPr>
          <w:rFonts w:ascii="Arial" w:cs="Arial" w:eastAsia="Arial" w:hAnsi="Arial"/>
          <w:sz w:val="13"/>
          <w:szCs w:val="13"/>
          <w:color w:val="auto"/>
        </w:rPr>
        <w:t>Except for the above claims, the Company is not currently subject to any legal proceedings that could have a material adverse effect on its operations; however, it may from time to time become a party to various legal proceedings arising in the ordinary course of its business.</w:t>
      </w:r>
    </w:p>
    <w:p>
      <w:pPr>
        <w:spacing w:after="0" w:line="133" w:lineRule="exact"/>
        <w:rPr>
          <w:sz w:val="20"/>
          <w:szCs w:val="20"/>
          <w:color w:val="auto"/>
        </w:rPr>
      </w:pPr>
    </w:p>
    <w:p>
      <w:pPr>
        <w:ind w:left="1200" w:hanging="513"/>
        <w:spacing w:after="0"/>
        <w:tabs>
          <w:tab w:leader="none" w:pos="1200" w:val="left"/>
        </w:tabs>
        <w:numPr>
          <w:ilvl w:val="0"/>
          <w:numId w:val="34"/>
        </w:numPr>
        <w:rPr>
          <w:rFonts w:ascii="Arial" w:cs="Arial" w:eastAsia="Arial" w:hAnsi="Arial"/>
          <w:sz w:val="13"/>
          <w:szCs w:val="13"/>
          <w:b w:val="1"/>
          <w:bCs w:val="1"/>
          <w:color w:val="auto"/>
        </w:rPr>
      </w:pPr>
      <w:r>
        <w:rPr>
          <w:rFonts w:ascii="Arial" w:cs="Arial" w:eastAsia="Arial" w:hAnsi="Arial"/>
          <w:sz w:val="13"/>
          <w:szCs w:val="13"/>
          <w:b w:val="1"/>
          <w:bCs w:val="1"/>
          <w:color w:val="auto"/>
        </w:rPr>
        <w:t>Subsequent Events Review</w:t>
      </w:r>
    </w:p>
    <w:p>
      <w:pPr>
        <w:spacing w:after="0" w:line="102" w:lineRule="exact"/>
        <w:rPr>
          <w:sz w:val="20"/>
          <w:szCs w:val="20"/>
          <w:color w:val="auto"/>
        </w:rPr>
      </w:pPr>
    </w:p>
    <w:p>
      <w:pPr>
        <w:ind w:left="680" w:right="40" w:firstLine="399"/>
        <w:spacing w:after="0" w:line="262" w:lineRule="auto"/>
        <w:rPr>
          <w:sz w:val="20"/>
          <w:szCs w:val="20"/>
          <w:color w:val="auto"/>
        </w:rPr>
      </w:pPr>
      <w:r>
        <w:rPr>
          <w:rFonts w:ascii="Arial" w:cs="Arial" w:eastAsia="Arial" w:hAnsi="Arial"/>
          <w:sz w:val="13"/>
          <w:szCs w:val="13"/>
          <w:color w:val="auto"/>
        </w:rPr>
        <w:t>The Company has evaluated all subsequent events and transactions through the filing date. On February 1, 2010, the Company filed with the Securities and Exchange Commission a universal shelf registration statement on Form S-3. The registration statement covers the offer and sale of up to $150 million of securities which may include debt securities, warrants, common stock and preferred stock. The registration statement has not yet become effective, and these securities may not be sold nor may offers to buy be accepted prior to the time the registration statement becomes effective.</w:t>
      </w:r>
    </w:p>
    <w:p>
      <w:pPr>
        <w:spacing w:after="0" w:line="27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56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Not applicable.</w:t>
      </w:r>
    </w:p>
    <w:p>
      <w:pPr>
        <w:spacing w:after="0" w:line="173"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10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98" w:lineRule="exact"/>
        <w:rPr>
          <w:sz w:val="20"/>
          <w:szCs w:val="20"/>
          <w:color w:val="auto"/>
        </w:rPr>
      </w:pPr>
    </w:p>
    <w:p>
      <w:pPr>
        <w:ind w:left="680" w:right="20" w:firstLine="399"/>
        <w:spacing w:after="0" w:line="314" w:lineRule="auto"/>
        <w:rPr>
          <w:sz w:val="20"/>
          <w:szCs w:val="20"/>
          <w:color w:val="auto"/>
        </w:rPr>
      </w:pPr>
      <w:r>
        <w:rPr>
          <w:rFonts w:ascii="Arial" w:cs="Arial" w:eastAsia="Arial" w:hAnsi="Arial"/>
          <w:sz w:val="11"/>
          <w:szCs w:val="11"/>
          <w:color w:val="auto"/>
        </w:rPr>
        <w:t>Under the supervision and with the participation of the Company’s management, including its Chief Executive Officer and Chief Financial Officer, the Company evaluated the effectiveness of the design and operation of its disclosure controls and procedures (as defined in Rules 13a-15(e) and 15d-15(e) under the Securities Exchange Act of 1934, as amended) as of December 31, 2009. Based upon that evaluation, the Company’s Chief Executive Officer and Chief Financial Officer concluded that its disclosure controls and procedures were effective as of December 31, 2009, to ensure that information required to be disclosed by the Company in the reports that it files or submits under the Securities Exchange Act of 1934, as amended, are recorded, processed, summarized and reported within the time periods specified in the rules and forms of the Securities and Exchange Commission, and that such information is accumulated and communicated to the Company’s management, including its Chief Executive Officer, as appropriate to allow timely decisions regarding required disclosures.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Management’s Annual Report on Internal Control over Financial Reporting</w:t>
      </w:r>
    </w:p>
    <w:p>
      <w:pPr>
        <w:spacing w:after="0" w:line="98" w:lineRule="exact"/>
        <w:rPr>
          <w:sz w:val="20"/>
          <w:szCs w:val="20"/>
          <w:color w:val="auto"/>
        </w:rPr>
      </w:pPr>
    </w:p>
    <w:p>
      <w:pPr>
        <w:jc w:val="both"/>
        <w:ind w:left="680" w:firstLine="399"/>
        <w:spacing w:after="0" w:line="291" w:lineRule="auto"/>
        <w:rPr>
          <w:sz w:val="20"/>
          <w:szCs w:val="20"/>
          <w:color w:val="auto"/>
        </w:rPr>
      </w:pPr>
      <w:r>
        <w:rPr>
          <w:rFonts w:ascii="Arial" w:cs="Arial" w:eastAsia="Arial" w:hAnsi="Arial"/>
          <w:sz w:val="12"/>
          <w:szCs w:val="12"/>
          <w:color w:val="auto"/>
        </w:rPr>
        <w:t>The Company’s management is responsible for establishing and maintaining adequate internal control over financial reporting. Internal control over financial reporting is defined in Rules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53" w:lineRule="exact"/>
        <w:rPr>
          <w:sz w:val="20"/>
          <w:szCs w:val="20"/>
          <w:color w:val="auto"/>
        </w:rPr>
      </w:pPr>
    </w:p>
    <w:p>
      <w:pPr>
        <w:ind w:left="1300" w:hanging="207"/>
        <w:spacing w:after="0"/>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the assets of the Company;</w:t>
      </w:r>
    </w:p>
    <w:p>
      <w:pPr>
        <w:spacing w:after="0" w:line="87" w:lineRule="exact"/>
        <w:rPr>
          <w:rFonts w:ascii="Arial" w:cs="Arial" w:eastAsia="Arial" w:hAnsi="Arial"/>
          <w:sz w:val="13"/>
          <w:szCs w:val="13"/>
          <w:color w:val="auto"/>
        </w:rPr>
      </w:pPr>
    </w:p>
    <w:p>
      <w:pPr>
        <w:jc w:val="both"/>
        <w:ind w:left="1300" w:right="440" w:hanging="207"/>
        <w:spacing w:after="0" w:line="374" w:lineRule="auto"/>
        <w:tabs>
          <w:tab w:leader="none" w:pos="1300" w:val="left"/>
        </w:tabs>
        <w:numPr>
          <w:ilvl w:val="0"/>
          <w:numId w:val="35"/>
        </w:numPr>
        <w:rPr>
          <w:rFonts w:ascii="Arial" w:cs="Arial" w:eastAsia="Arial" w:hAnsi="Arial"/>
          <w:sz w:val="11"/>
          <w:szCs w:val="11"/>
          <w:color w:val="auto"/>
        </w:rPr>
      </w:pPr>
      <w:r>
        <w:rPr>
          <w:rFonts w:ascii="Arial" w:cs="Arial" w:eastAsia="Arial" w:hAnsi="Arial"/>
          <w:sz w:val="11"/>
          <w:szCs w:val="11"/>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 w:lineRule="exact"/>
        <w:rPr>
          <w:rFonts w:ascii="Arial" w:cs="Arial" w:eastAsia="Arial" w:hAnsi="Arial"/>
          <w:sz w:val="11"/>
          <w:szCs w:val="11"/>
          <w:color w:val="auto"/>
        </w:rPr>
      </w:pPr>
    </w:p>
    <w:p>
      <w:pPr>
        <w:ind w:left="1300" w:right="100" w:hanging="207"/>
        <w:spacing w:after="0" w:line="279" w:lineRule="auto"/>
        <w:tabs>
          <w:tab w:leader="none" w:pos="13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280" w:firstLine="399"/>
        <w:spacing w:after="0" w:line="266" w:lineRule="auto"/>
        <w:rPr>
          <w:sz w:val="20"/>
          <w:szCs w:val="20"/>
          <w:color w:val="auto"/>
        </w:rPr>
      </w:pPr>
      <w:r>
        <w:rPr>
          <w:rFonts w:ascii="Arial" w:cs="Arial" w:eastAsia="Arial" w:hAnsi="Arial"/>
          <w:sz w:val="13"/>
          <w:szCs w:val="13"/>
          <w:color w:val="auto"/>
        </w:rPr>
        <w:t>To assist management, the Company has established procedures to verify and monitor its internal controls. Because of its inherent limitations, however,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67" w:lineRule="exact"/>
        <w:rPr>
          <w:sz w:val="20"/>
          <w:szCs w:val="20"/>
          <w:color w:val="auto"/>
        </w:rPr>
      </w:pPr>
    </w:p>
    <w:p>
      <w:pPr>
        <w:ind w:left="680" w:right="520" w:firstLine="399"/>
        <w:spacing w:after="0" w:line="374" w:lineRule="auto"/>
        <w:rPr>
          <w:sz w:val="20"/>
          <w:szCs w:val="20"/>
          <w:color w:val="auto"/>
        </w:rPr>
      </w:pPr>
      <w:r>
        <w:rPr>
          <w:rFonts w:ascii="Arial" w:cs="Arial" w:eastAsia="Arial" w:hAnsi="Arial"/>
          <w:sz w:val="11"/>
          <w:szCs w:val="11"/>
          <w:color w:val="auto"/>
        </w:rPr>
        <w:t xml:space="preserve">The Company’s management assessed the effectiveness of its internal control over financial reporting as of December 31, 2009. In making this assessment, the Company’s management used the criteria set forth by the Committee of Sponsoring Organizations of the Treadway Commission (COSO) in </w:t>
      </w:r>
      <w:r>
        <w:rPr>
          <w:rFonts w:ascii="Arial" w:cs="Arial" w:eastAsia="Arial" w:hAnsi="Arial"/>
          <w:sz w:val="11"/>
          <w:szCs w:val="11"/>
          <w:i w:val="1"/>
          <w:iCs w:val="1"/>
          <w:color w:val="auto"/>
        </w:rPr>
        <w:t>Internal Control — Integrated Framework.</w:t>
      </w:r>
    </w:p>
    <w:p>
      <w:pPr>
        <w:spacing w:after="0" w:line="11"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the Company’s assessment, management concluded that, as of December 31, 2009, its internal control over financial reporting was effective.</w:t>
      </w:r>
    </w:p>
    <w:p>
      <w:pPr>
        <w:spacing w:after="0" w:line="98" w:lineRule="exact"/>
        <w:rPr>
          <w:sz w:val="20"/>
          <w:szCs w:val="20"/>
          <w:color w:val="auto"/>
        </w:rPr>
      </w:pPr>
    </w:p>
    <w:p>
      <w:pPr>
        <w:ind w:left="680" w:right="240" w:firstLine="399"/>
        <w:spacing w:after="0" w:line="279" w:lineRule="auto"/>
        <w:rPr>
          <w:sz w:val="20"/>
          <w:szCs w:val="20"/>
          <w:color w:val="auto"/>
        </w:rPr>
      </w:pPr>
      <w:r>
        <w:rPr>
          <w:rFonts w:ascii="Arial" w:cs="Arial" w:eastAsia="Arial" w:hAnsi="Arial"/>
          <w:sz w:val="13"/>
          <w:szCs w:val="13"/>
          <w:color w:val="auto"/>
        </w:rPr>
        <w:t>The effectiveness of the Company’s internal control over financial reporting as of December 31, 2009 has been audited by Ernst &amp; Young LLP, its independent registered public accounting firm, as stated in their report which is included in Item 9 of this Annual Report on Form 10-K.</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20"/>
          </w:cols>
          <w:pgMar w:left="220" w:top="345" w:right="105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98" w:lineRule="exact"/>
        <w:rPr>
          <w:sz w:val="20"/>
          <w:szCs w:val="20"/>
          <w:color w:val="auto"/>
        </w:rPr>
      </w:pPr>
    </w:p>
    <w:p>
      <w:pPr>
        <w:ind w:left="680" w:right="440" w:firstLine="399"/>
        <w:spacing w:after="0" w:line="266" w:lineRule="auto"/>
        <w:rPr>
          <w:sz w:val="20"/>
          <w:szCs w:val="20"/>
          <w:color w:val="auto"/>
        </w:rPr>
      </w:pPr>
      <w:r>
        <w:rPr>
          <w:rFonts w:ascii="Arial" w:cs="Arial" w:eastAsia="Arial" w:hAnsi="Arial"/>
          <w:sz w:val="13"/>
          <w:szCs w:val="13"/>
          <w:color w:val="auto"/>
        </w:rPr>
        <w:t>There were no changes in the Company’s internal control over financial reporting identified in connection with the evaluation required by paragraph (d) of Exchange Act Rule 13a-15 that was conducted during the last fiscal quarter that have materially affected, or are reasonably likely to materially affect, the Company’s internal control over financial reporting.</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Inherent Limitations on Effectiveness of Controls</w:t>
      </w:r>
    </w:p>
    <w:p>
      <w:pPr>
        <w:spacing w:after="0" w:line="9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The Company’s management, including its Chief Executive Officer and Chief Financial Officer, does not expect that its disclosure controls or its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Company’s operations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60"/>
          </w:cols>
          <w:pgMar w:left="220" w:top="345"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8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Board of Directors and Stockholders of Synchronoss Technologies, Inc.</w:t>
      </w:r>
    </w:p>
    <w:p>
      <w:pPr>
        <w:spacing w:after="0" w:line="9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 xml:space="preserve">We have audited Synchronoss Technologies, Inc.’s internal control over financial reporting as of December 31, 2009, based on criteria established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of the Treadway Commission (the COSO criteria). Synchronoss Technologies, Inc.’s management is responsible for</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maintaining effective internal control over financial reporting, and for its assessment of the effectiveness of internal control over financial reporting included in the accompanying </w:t>
      </w:r>
      <w:r>
        <w:rPr>
          <w:rFonts w:ascii="Arial" w:cs="Arial" w:eastAsia="Arial" w:hAnsi="Arial"/>
          <w:sz w:val="13"/>
          <w:szCs w:val="13"/>
          <w:i w:val="1"/>
          <w:iCs w:val="1"/>
          <w:color w:val="auto"/>
        </w:rPr>
        <w:t>Management’s Annual Report on Internal Control over Financial Reporting</w:t>
      </w:r>
      <w:r>
        <w:rPr>
          <w:rFonts w:ascii="Arial" w:cs="Arial" w:eastAsia="Arial" w:hAnsi="Arial"/>
          <w:sz w:val="13"/>
          <w:szCs w:val="13"/>
          <w:color w:val="auto"/>
        </w:rPr>
        <w:t>. Our responsibility is to express an opinion on the company’s internal control over financial reporting based on</w:t>
      </w:r>
      <w:r>
        <w:rPr>
          <w:rFonts w:ascii="Arial" w:cs="Arial" w:eastAsia="Arial" w:hAnsi="Arial"/>
          <w:sz w:val="13"/>
          <w:szCs w:val="13"/>
          <w:i w:val="1"/>
          <w:iCs w:val="1"/>
          <w:color w:val="auto"/>
        </w:rPr>
        <w:t xml:space="preserve"> </w:t>
      </w:r>
      <w:r>
        <w:rPr>
          <w:rFonts w:ascii="Arial" w:cs="Arial" w:eastAsia="Arial" w:hAnsi="Arial"/>
          <w:sz w:val="13"/>
          <w:szCs w:val="13"/>
          <w:color w:val="auto"/>
        </w:rPr>
        <w:t>our audit.</w:t>
      </w:r>
    </w:p>
    <w:p>
      <w:pPr>
        <w:spacing w:after="0" w:line="70" w:lineRule="exact"/>
        <w:rPr>
          <w:sz w:val="20"/>
          <w:szCs w:val="20"/>
          <w:color w:val="auto"/>
        </w:rPr>
      </w:pPr>
    </w:p>
    <w:p>
      <w:pPr>
        <w:ind w:left="680" w:firstLine="399"/>
        <w:spacing w:after="0" w:line="324"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20" w:firstLine="399"/>
        <w:spacing w:after="0" w:line="284"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ind w:left="680" w:right="140" w:firstLine="399"/>
        <w:spacing w:after="0" w:line="322" w:lineRule="auto"/>
        <w:rPr>
          <w:sz w:val="20"/>
          <w:szCs w:val="20"/>
          <w:color w:val="auto"/>
        </w:rPr>
      </w:pPr>
      <w:r>
        <w:rPr>
          <w:rFonts w:ascii="Arial" w:cs="Arial" w:eastAsia="Arial" w:hAnsi="Arial"/>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5"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3"/>
          <w:szCs w:val="13"/>
          <w:color w:val="auto"/>
        </w:rPr>
        <w:t>In our opinion, Synchronoss Technologies, Inc. maintained, in all material respects, effective internal control over financial reporting as of December 31, 2009, based on the COSO criteria.</w:t>
      </w:r>
    </w:p>
    <w:p>
      <w:pPr>
        <w:spacing w:after="0" w:line="58" w:lineRule="exact"/>
        <w:rPr>
          <w:sz w:val="20"/>
          <w:szCs w:val="20"/>
          <w:color w:val="auto"/>
        </w:rPr>
      </w:pPr>
    </w:p>
    <w:p>
      <w:pPr>
        <w:ind w:left="680" w:right="140" w:firstLine="399"/>
        <w:spacing w:after="0" w:line="266"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Synchronoss Technologies, Inc. as of December 31, 2009 and 2008, and the related consolidated statements of operations, stockholders’ equity, and cash flows for each of the three years in the period ended December 31, 2009 and our report dated March 9, 2010 expressed an unqualified opinion thereon.</w:t>
      </w: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 Ernst &amp; Young LLP</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9, 2010</w:t>
      </w: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00"/>
          </w:cols>
          <w:pgMar w:left="220" w:top="345" w:right="107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2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2"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7"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AND EXECUTIVE OFFICERS OF THE REGISTRANT</w:t>
      </w:r>
    </w:p>
    <w:p>
      <w:pPr>
        <w:spacing w:after="0" w:line="102" w:lineRule="exact"/>
        <w:rPr>
          <w:sz w:val="20"/>
          <w:szCs w:val="20"/>
          <w:color w:val="auto"/>
        </w:rPr>
      </w:pPr>
    </w:p>
    <w:p>
      <w:pPr>
        <w:ind w:left="680" w:firstLine="406"/>
        <w:spacing w:after="0" w:line="279" w:lineRule="auto"/>
        <w:tabs>
          <w:tab w:leader="none" w:pos="1258" w:val="left"/>
        </w:tabs>
        <w:numPr>
          <w:ilvl w:val="0"/>
          <w:numId w:val="36"/>
        </w:numPr>
        <w:rPr>
          <w:rFonts w:ascii="Arial" w:cs="Arial" w:eastAsia="Arial" w:hAnsi="Arial"/>
          <w:sz w:val="13"/>
          <w:szCs w:val="13"/>
          <w:color w:val="auto"/>
        </w:rPr>
      </w:pPr>
      <w:r>
        <w:rPr>
          <w:rFonts w:ascii="Arial" w:cs="Arial" w:eastAsia="Arial" w:hAnsi="Arial"/>
          <w:sz w:val="13"/>
          <w:szCs w:val="13"/>
          <w:color w:val="auto"/>
        </w:rPr>
        <w:t>Identification of Directors. Information concerning the directors of Synchronoss is set forth under the heading “Election of Directors” in the Synchronoss Proxy Statement for the 2010 Annual Meeting of Stockholders and is incorporated herein by reference.</w:t>
      </w:r>
    </w:p>
    <w:p>
      <w:pPr>
        <w:spacing w:after="0" w:line="57" w:lineRule="exact"/>
        <w:rPr>
          <w:rFonts w:ascii="Arial" w:cs="Arial" w:eastAsia="Arial" w:hAnsi="Arial"/>
          <w:sz w:val="13"/>
          <w:szCs w:val="13"/>
          <w:color w:val="auto"/>
        </w:rPr>
      </w:pPr>
    </w:p>
    <w:p>
      <w:pPr>
        <w:ind w:left="680" w:right="80" w:firstLine="406"/>
        <w:spacing w:after="0" w:line="279" w:lineRule="auto"/>
        <w:tabs>
          <w:tab w:leader="none" w:pos="1258" w:val="left"/>
        </w:tabs>
        <w:numPr>
          <w:ilvl w:val="0"/>
          <w:numId w:val="36"/>
        </w:numPr>
        <w:rPr>
          <w:rFonts w:ascii="Arial" w:cs="Arial" w:eastAsia="Arial" w:hAnsi="Arial"/>
          <w:sz w:val="13"/>
          <w:szCs w:val="13"/>
          <w:color w:val="auto"/>
        </w:rPr>
      </w:pPr>
      <w:r>
        <w:rPr>
          <w:rFonts w:ascii="Arial" w:cs="Arial" w:eastAsia="Arial" w:hAnsi="Arial"/>
          <w:sz w:val="13"/>
          <w:szCs w:val="13"/>
          <w:color w:val="auto"/>
        </w:rPr>
        <w:t>Audit Committee Financial Expert. Information concerning Synchronoss’ audit committee financial expert is set forth under the heading “Audit Committee” in the Synchronoss Proxy Statement for the 2010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279" w:lineRule="auto"/>
        <w:tabs>
          <w:tab w:leader="none" w:pos="1258" w:val="left"/>
        </w:tabs>
        <w:numPr>
          <w:ilvl w:val="0"/>
          <w:numId w:val="36"/>
        </w:numPr>
        <w:rPr>
          <w:rFonts w:ascii="Arial" w:cs="Arial" w:eastAsia="Arial" w:hAnsi="Arial"/>
          <w:sz w:val="13"/>
          <w:szCs w:val="13"/>
          <w:color w:val="auto"/>
        </w:rPr>
      </w:pPr>
      <w:r>
        <w:rPr>
          <w:rFonts w:ascii="Arial" w:cs="Arial" w:eastAsia="Arial" w:hAnsi="Arial"/>
          <w:sz w:val="13"/>
          <w:szCs w:val="13"/>
          <w:color w:val="auto"/>
        </w:rPr>
        <w:t>Identification of the Audit Committee. Information concerning the audit committee of Synchronoss is set forth under the heading “Audit Committee” in the Synchronoss Proxy Statement for the 2010 Annual Meeting of Stockholders and is incorporated herein by reference.</w:t>
      </w:r>
    </w:p>
    <w:p>
      <w:pPr>
        <w:spacing w:after="0" w:line="57" w:lineRule="exact"/>
        <w:rPr>
          <w:rFonts w:ascii="Arial" w:cs="Arial" w:eastAsia="Arial" w:hAnsi="Arial"/>
          <w:sz w:val="13"/>
          <w:szCs w:val="13"/>
          <w:color w:val="auto"/>
        </w:rPr>
      </w:pPr>
    </w:p>
    <w:p>
      <w:pPr>
        <w:ind w:left="680" w:right="120" w:firstLine="406"/>
        <w:spacing w:after="0" w:line="322" w:lineRule="auto"/>
        <w:tabs>
          <w:tab w:leader="none" w:pos="1266" w:val="left"/>
        </w:tabs>
        <w:numPr>
          <w:ilvl w:val="0"/>
          <w:numId w:val="36"/>
        </w:numPr>
        <w:rPr>
          <w:rFonts w:ascii="Arial" w:cs="Arial" w:eastAsia="Arial" w:hAnsi="Arial"/>
          <w:sz w:val="12"/>
          <w:szCs w:val="12"/>
          <w:color w:val="auto"/>
        </w:rPr>
      </w:pPr>
      <w:r>
        <w:rPr>
          <w:rFonts w:ascii="Arial" w:cs="Arial" w:eastAsia="Arial" w:hAnsi="Arial"/>
          <w:sz w:val="12"/>
          <w:szCs w:val="12"/>
          <w:color w:val="auto"/>
        </w:rPr>
        <w:t>Section 16(a) Beneficial Ownership Reporting Compliance. Information concerning compliance with beneficial ownership reporting requirements is set forth under the caption “Section 16(a) Beneficial Ownership Reporting Compliance” in the Synchronoss Proxy Statement for the 2010 Annual Meeting of Stockholders and is incorporated herein by reference.</w:t>
      </w:r>
    </w:p>
    <w:p>
      <w:pPr>
        <w:spacing w:after="0" w:line="35" w:lineRule="exact"/>
        <w:rPr>
          <w:rFonts w:ascii="Arial" w:cs="Arial" w:eastAsia="Arial" w:hAnsi="Arial"/>
          <w:sz w:val="12"/>
          <w:szCs w:val="12"/>
          <w:color w:val="auto"/>
        </w:rPr>
      </w:pPr>
    </w:p>
    <w:p>
      <w:pPr>
        <w:ind w:left="680" w:right="100" w:firstLine="406"/>
        <w:spacing w:after="0" w:line="374" w:lineRule="auto"/>
        <w:tabs>
          <w:tab w:leader="none" w:pos="1258" w:val="left"/>
        </w:tabs>
        <w:numPr>
          <w:ilvl w:val="0"/>
          <w:numId w:val="36"/>
        </w:numPr>
        <w:rPr>
          <w:rFonts w:ascii="Arial" w:cs="Arial" w:eastAsia="Arial" w:hAnsi="Arial"/>
          <w:sz w:val="11"/>
          <w:szCs w:val="11"/>
          <w:color w:val="auto"/>
        </w:rPr>
      </w:pPr>
      <w:r>
        <w:rPr>
          <w:rFonts w:ascii="Arial" w:cs="Arial" w:eastAsia="Arial" w:hAnsi="Arial"/>
          <w:sz w:val="11"/>
          <w:szCs w:val="11"/>
          <w:color w:val="auto"/>
        </w:rPr>
        <w:t>Code of Ethics. Information concerning the Synchronoss Code of Business Conduct is set forth under the caption “Code of Business Conduct” in the Synchronoss Proxy Statement for the 2010 Annual Meeting of Stockholders and is incorporated herein by reference. The Code of Business Conduct can also be found on our website, www.synchronoss.com.</w:t>
      </w:r>
    </w:p>
    <w:p>
      <w:pPr>
        <w:spacing w:after="0" w:line="86"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3"/>
          <w:szCs w:val="13"/>
          <w:b w:val="1"/>
          <w:bCs w:val="1"/>
          <w:i w:val="1"/>
          <w:iCs w:val="1"/>
          <w:color w:val="auto"/>
        </w:rPr>
        <w:t>EXECUTIVE COMPENSATION</w:t>
      </w:r>
    </w:p>
    <w:p>
      <w:pPr>
        <w:spacing w:after="0" w:line="102" w:lineRule="exact"/>
        <w:rPr>
          <w:sz w:val="20"/>
          <w:szCs w:val="20"/>
          <w:color w:val="auto"/>
        </w:rPr>
      </w:pPr>
    </w:p>
    <w:p>
      <w:pPr>
        <w:ind w:left="680" w:right="260" w:firstLine="399"/>
        <w:spacing w:after="0" w:line="279" w:lineRule="auto"/>
        <w:rPr>
          <w:sz w:val="20"/>
          <w:szCs w:val="20"/>
          <w:color w:val="auto"/>
        </w:rPr>
      </w:pPr>
      <w:r>
        <w:rPr>
          <w:rFonts w:ascii="Arial" w:cs="Arial" w:eastAsia="Arial" w:hAnsi="Arial"/>
          <w:sz w:val="13"/>
          <w:szCs w:val="13"/>
          <w:color w:val="auto"/>
        </w:rPr>
        <w:t>Information concerning executive compensation is set forth under the headings “Compensation of Executive Officers” in the Synchronoss Proxy Statement for the 2010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STOCKHOLDER MATTERS</w:t>
      </w:r>
    </w:p>
    <w:p>
      <w:pPr>
        <w:spacing w:after="0" w:line="102" w:lineRule="exact"/>
        <w:rPr>
          <w:sz w:val="20"/>
          <w:szCs w:val="20"/>
          <w:color w:val="auto"/>
        </w:rPr>
      </w:pPr>
    </w:p>
    <w:p>
      <w:pPr>
        <w:ind w:left="680" w:right="60" w:firstLine="399"/>
        <w:spacing w:after="0" w:line="322" w:lineRule="auto"/>
        <w:rPr>
          <w:sz w:val="20"/>
          <w:szCs w:val="20"/>
          <w:color w:val="auto"/>
        </w:rPr>
      </w:pPr>
      <w:r>
        <w:rPr>
          <w:rFonts w:ascii="Arial" w:cs="Arial" w:eastAsia="Arial" w:hAnsi="Arial"/>
          <w:sz w:val="12"/>
          <w:szCs w:val="12"/>
          <w:color w:val="auto"/>
        </w:rPr>
        <w:t>Information concerning shares of Synchronoss equity securities beneficially owned by certain beneficial owners and by management is set forth under the heading “Equity Security Ownership of Certain Beneficial Owners and Management” in the Synchronoss Proxy Statement for the 2010 Annual Meeting of Stockholders and is incorporated herein by reference.</w:t>
      </w:r>
    </w:p>
    <w:p>
      <w:pPr>
        <w:spacing w:after="0" w:line="110"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w:t>
      </w:r>
    </w:p>
    <w:p>
      <w:pPr>
        <w:spacing w:after="0" w:line="102" w:lineRule="exact"/>
        <w:rPr>
          <w:sz w:val="20"/>
          <w:szCs w:val="20"/>
          <w:color w:val="auto"/>
        </w:rPr>
      </w:pPr>
    </w:p>
    <w:p>
      <w:pPr>
        <w:ind w:left="680" w:right="60" w:firstLine="399"/>
        <w:spacing w:after="0" w:line="279" w:lineRule="auto"/>
        <w:rPr>
          <w:sz w:val="20"/>
          <w:szCs w:val="20"/>
          <w:color w:val="auto"/>
        </w:rPr>
      </w:pPr>
      <w:r>
        <w:rPr>
          <w:rFonts w:ascii="Arial" w:cs="Arial" w:eastAsia="Arial" w:hAnsi="Arial"/>
          <w:sz w:val="13"/>
          <w:szCs w:val="13"/>
          <w:color w:val="auto"/>
        </w:rPr>
        <w:t>Information concerning certain relationships and related transactions is set forth under the heading “Certain Related Party Transactions” in the Synchronoss Proxy Statement for the 2010 Annual Meeting of Stockholders and is incorporated herein by reference.</w:t>
      </w:r>
    </w:p>
    <w:p>
      <w:pPr>
        <w:spacing w:after="0" w:line="13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2" w:lineRule="exact"/>
        <w:rPr>
          <w:sz w:val="20"/>
          <w:szCs w:val="20"/>
          <w:color w:val="auto"/>
        </w:rPr>
      </w:pPr>
    </w:p>
    <w:p>
      <w:pPr>
        <w:ind w:left="680" w:right="320" w:firstLine="399"/>
        <w:spacing w:after="0" w:line="322" w:lineRule="auto"/>
        <w:rPr>
          <w:sz w:val="20"/>
          <w:szCs w:val="20"/>
          <w:color w:val="auto"/>
        </w:rPr>
      </w:pPr>
      <w:r>
        <w:rPr>
          <w:rFonts w:ascii="Arial" w:cs="Arial" w:eastAsia="Arial" w:hAnsi="Arial"/>
          <w:sz w:val="12"/>
          <w:szCs w:val="12"/>
          <w:color w:val="auto"/>
        </w:rPr>
        <w:t>Information concerning fees and services of the Company’s principal accountants is set forth under the heading “Report of the Audit Committee” and “Independent Registered Public Accounting Firm’s Fees” in the Synchronoss Proxy Statement for the 2010 Annual Meeting of Stockholders and is incorporated herein by reference.</w:t>
      </w: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289800"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0" cy="19050"/>
                    </a:xfrm>
                    <a:prstGeom prst="rect">
                      <a:avLst/>
                    </a:prstGeom>
                    <a:noFill/>
                  </pic:spPr>
                </pic:pic>
              </a:graphicData>
            </a:graphic>
          </wp:anchor>
        </w:drawing>
      </w:r>
    </w:p>
    <w:p>
      <w:pPr>
        <w:sectPr>
          <w:pgSz w:w="11900" w:h="16838" w:orient="portrait"/>
          <w:cols w:equalWidth="0" w:num="1">
            <w:col w:w="10640"/>
          </w:cols>
          <w:pgMar w:left="220" w:top="345" w:right="10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49"/>
        </w:trPr>
        <w:tc>
          <w:tcPr>
            <w:tcW w:w="1580" w:type="dxa"/>
            <w:vAlign w:val="bottom"/>
            <w:gridSpan w:val="2"/>
          </w:tcPr>
          <w:p>
            <w:pPr>
              <w:spacing w:after="0"/>
              <w:rPr>
                <w:rFonts w:ascii="Arial" w:cs="Arial" w:eastAsia="Arial" w:hAnsi="Arial"/>
                <w:sz w:val="13"/>
                <w:szCs w:val="13"/>
                <w:b w:val="1"/>
                <w:bCs w:val="1"/>
                <w:color w:val="0000EE"/>
              </w:rPr>
            </w:pPr>
            <w:hyperlink w:anchor="page3">
              <w:r>
                <w:rPr>
                  <w:rFonts w:ascii="Arial" w:cs="Arial" w:eastAsia="Arial" w:hAnsi="Arial"/>
                  <w:sz w:val="13"/>
                  <w:szCs w:val="13"/>
                  <w:b w:val="1"/>
                  <w:bCs w:val="1"/>
                  <w:color w:val="0000EE"/>
                </w:rPr>
                <w:t>Table of Contents</w:t>
              </w:r>
            </w:hyperlink>
          </w:p>
        </w:tc>
        <w:tc>
          <w:tcPr>
            <w:tcW w:w="3620" w:type="dxa"/>
            <w:vAlign w:val="bottom"/>
          </w:tcPr>
          <w:p>
            <w:pPr>
              <w:spacing w:after="0"/>
              <w:rPr>
                <w:sz w:val="13"/>
                <w:szCs w:val="13"/>
                <w:color w:val="auto"/>
              </w:rPr>
            </w:pPr>
          </w:p>
        </w:tc>
        <w:tc>
          <w:tcPr>
            <w:tcW w:w="5420" w:type="dxa"/>
            <w:vAlign w:val="bottom"/>
          </w:tcPr>
          <w:p>
            <w:pPr>
              <w:spacing w:after="0"/>
              <w:rPr>
                <w:sz w:val="13"/>
                <w:szCs w:val="13"/>
                <w:color w:val="auto"/>
              </w:rPr>
            </w:pPr>
          </w:p>
        </w:tc>
      </w:tr>
      <w:tr>
        <w:trPr>
          <w:trHeight w:val="414"/>
        </w:trPr>
        <w:tc>
          <w:tcPr>
            <w:tcW w:w="98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5420" w:type="dxa"/>
            <w:vAlign w:val="bottom"/>
          </w:tcPr>
          <w:p>
            <w:pPr>
              <w:jc w:val="right"/>
              <w:ind w:right="4614"/>
              <w:spacing w:after="0"/>
              <w:rPr>
                <w:sz w:val="20"/>
                <w:szCs w:val="20"/>
                <w:color w:val="auto"/>
              </w:rPr>
            </w:pPr>
            <w:r>
              <w:rPr>
                <w:rFonts w:ascii="Arial" w:cs="Arial" w:eastAsia="Arial" w:hAnsi="Arial"/>
                <w:sz w:val="13"/>
                <w:szCs w:val="13"/>
                <w:b w:val="1"/>
                <w:bCs w:val="1"/>
                <w:color w:val="auto"/>
              </w:rPr>
              <w:t>PART IV</w:t>
            </w:r>
          </w:p>
        </w:tc>
      </w:tr>
      <w:tr>
        <w:trPr>
          <w:trHeight w:val="326"/>
        </w:trPr>
        <w:tc>
          <w:tcPr>
            <w:tcW w:w="15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15.</w:t>
            </w:r>
          </w:p>
        </w:tc>
        <w:tc>
          <w:tcPr>
            <w:tcW w:w="3620" w:type="dxa"/>
            <w:vAlign w:val="bottom"/>
          </w:tcPr>
          <w:p>
            <w:pPr>
              <w:ind w:left="100"/>
              <w:spacing w:after="0"/>
              <w:rPr>
                <w:sz w:val="20"/>
                <w:szCs w:val="20"/>
                <w:color w:val="auto"/>
              </w:rPr>
            </w:pPr>
            <w:r>
              <w:rPr>
                <w:rFonts w:ascii="Arial" w:cs="Arial" w:eastAsia="Arial" w:hAnsi="Arial"/>
                <w:sz w:val="13"/>
                <w:szCs w:val="13"/>
                <w:b w:val="1"/>
                <w:bCs w:val="1"/>
                <w:i w:val="1"/>
                <w:iCs w:val="1"/>
                <w:color w:val="auto"/>
              </w:rPr>
              <w:t>EXHIBITS AND FINANCIAL STATEMENT SCHEDULES</w:t>
            </w:r>
          </w:p>
        </w:tc>
        <w:tc>
          <w:tcPr>
            <w:tcW w:w="5420" w:type="dxa"/>
            <w:vAlign w:val="bottom"/>
          </w:tcPr>
          <w:p>
            <w:pPr>
              <w:spacing w:after="0"/>
              <w:rPr>
                <w:sz w:val="24"/>
                <w:szCs w:val="24"/>
                <w:color w:val="auto"/>
              </w:rPr>
            </w:pPr>
          </w:p>
        </w:tc>
      </w:tr>
      <w:tr>
        <w:trPr>
          <w:trHeight w:val="247"/>
        </w:trPr>
        <w:tc>
          <w:tcPr>
            <w:tcW w:w="980" w:type="dxa"/>
            <w:vAlign w:val="bottom"/>
          </w:tcPr>
          <w:p>
            <w:pPr>
              <w:spacing w:after="0"/>
              <w:rPr>
                <w:sz w:val="21"/>
                <w:szCs w:val="21"/>
                <w:color w:val="auto"/>
              </w:rPr>
            </w:pPr>
          </w:p>
        </w:tc>
        <w:tc>
          <w:tcPr>
            <w:tcW w:w="4220" w:type="dxa"/>
            <w:vAlign w:val="bottom"/>
            <w:gridSpan w:val="2"/>
          </w:tcPr>
          <w:p>
            <w:pPr>
              <w:ind w:left="100"/>
              <w:spacing w:after="0"/>
              <w:rPr>
                <w:sz w:val="20"/>
                <w:szCs w:val="20"/>
                <w:color w:val="auto"/>
              </w:rPr>
            </w:pPr>
            <w:r>
              <w:rPr>
                <w:rFonts w:ascii="Arial" w:cs="Arial" w:eastAsia="Arial" w:hAnsi="Arial"/>
                <w:sz w:val="13"/>
                <w:szCs w:val="13"/>
                <w:color w:val="auto"/>
              </w:rPr>
              <w:t>(a)(1) Financial Statements:</w:t>
            </w:r>
          </w:p>
        </w:tc>
        <w:tc>
          <w:tcPr>
            <w:tcW w:w="5420" w:type="dxa"/>
            <w:vAlign w:val="bottom"/>
          </w:tcPr>
          <w:p>
            <w:pPr>
              <w:spacing w:after="0"/>
              <w:rPr>
                <w:sz w:val="21"/>
                <w:szCs w:val="21"/>
                <w:color w:val="auto"/>
              </w:rPr>
            </w:pPr>
          </w:p>
        </w:tc>
      </w:tr>
      <w:tr>
        <w:trPr>
          <w:trHeight w:val="250"/>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Report of Independent Registered Public Accounting Firm</w:t>
            </w:r>
          </w:p>
        </w:tc>
        <w:tc>
          <w:tcPr>
            <w:tcW w:w="54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58"/>
        </w:trPr>
        <w:tc>
          <w:tcPr>
            <w:tcW w:w="1580" w:type="dxa"/>
            <w:vAlign w:val="bottom"/>
            <w:gridSpan w:val="2"/>
          </w:tcPr>
          <w:p>
            <w:pPr>
              <w:ind w:left="680"/>
              <w:spacing w:after="0"/>
              <w:rPr>
                <w:sz w:val="20"/>
                <w:szCs w:val="20"/>
                <w:color w:val="auto"/>
              </w:rPr>
            </w:pPr>
            <w:r>
              <w:rPr>
                <w:rFonts w:ascii="Arial" w:cs="Arial" w:eastAsia="Arial" w:hAnsi="Arial"/>
                <w:sz w:val="13"/>
                <w:szCs w:val="13"/>
                <w:color w:val="auto"/>
                <w:w w:val="96"/>
              </w:rPr>
              <w:t>Balance Sheets</w:t>
            </w:r>
          </w:p>
        </w:tc>
        <w:tc>
          <w:tcPr>
            <w:tcW w:w="3620" w:type="dxa"/>
            <w:vAlign w:val="bottom"/>
          </w:tcPr>
          <w:p>
            <w:pPr>
              <w:spacing w:after="0"/>
              <w:rPr>
                <w:sz w:val="13"/>
                <w:szCs w:val="13"/>
                <w:color w:val="auto"/>
              </w:rPr>
            </w:pPr>
          </w:p>
        </w:tc>
        <w:tc>
          <w:tcPr>
            <w:tcW w:w="5420" w:type="dxa"/>
            <w:vAlign w:val="bottom"/>
          </w:tcPr>
          <w:p>
            <w:pPr>
              <w:jc w:val="right"/>
              <w:spacing w:after="0"/>
              <w:rPr>
                <w:sz w:val="20"/>
                <w:szCs w:val="20"/>
                <w:color w:val="auto"/>
              </w:rPr>
            </w:pPr>
            <w:r>
              <w:rPr>
                <w:rFonts w:ascii="Arial" w:cs="Arial" w:eastAsia="Arial" w:hAnsi="Arial"/>
                <w:sz w:val="13"/>
                <w:szCs w:val="13"/>
                <w:color w:val="auto"/>
              </w:rPr>
              <w:t>43</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Statements of Income</w:t>
            </w:r>
          </w:p>
        </w:tc>
        <w:tc>
          <w:tcPr>
            <w:tcW w:w="5420" w:type="dxa"/>
            <w:vAlign w:val="bottom"/>
          </w:tcPr>
          <w:p>
            <w:pPr>
              <w:jc w:val="right"/>
              <w:spacing w:after="0"/>
              <w:rPr>
                <w:sz w:val="20"/>
                <w:szCs w:val="20"/>
                <w:color w:val="auto"/>
              </w:rPr>
            </w:pPr>
            <w:r>
              <w:rPr>
                <w:rFonts w:ascii="Arial" w:cs="Arial" w:eastAsia="Arial" w:hAnsi="Arial"/>
                <w:sz w:val="13"/>
                <w:szCs w:val="13"/>
                <w:color w:val="auto"/>
              </w:rPr>
              <w:t>44</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Statements of Stockholders’ Equity</w:t>
            </w:r>
          </w:p>
        </w:tc>
        <w:tc>
          <w:tcPr>
            <w:tcW w:w="542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158"/>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Statements of Cash Flows</w:t>
            </w:r>
          </w:p>
        </w:tc>
        <w:tc>
          <w:tcPr>
            <w:tcW w:w="54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65"/>
        </w:trPr>
        <w:tc>
          <w:tcPr>
            <w:tcW w:w="5200" w:type="dxa"/>
            <w:vAlign w:val="bottom"/>
            <w:gridSpan w:val="3"/>
          </w:tcPr>
          <w:p>
            <w:pPr>
              <w:ind w:left="680"/>
              <w:spacing w:after="0"/>
              <w:rPr>
                <w:sz w:val="20"/>
                <w:szCs w:val="20"/>
                <w:color w:val="auto"/>
              </w:rPr>
            </w:pPr>
            <w:r>
              <w:rPr>
                <w:rFonts w:ascii="Arial" w:cs="Arial" w:eastAsia="Arial" w:hAnsi="Arial"/>
                <w:sz w:val="13"/>
                <w:szCs w:val="13"/>
                <w:color w:val="auto"/>
              </w:rPr>
              <w:t>Notes to Financial Statements</w:t>
            </w:r>
          </w:p>
        </w:tc>
        <w:tc>
          <w:tcPr>
            <w:tcW w:w="5420" w:type="dxa"/>
            <w:vAlign w:val="bottom"/>
          </w:tcPr>
          <w:p>
            <w:pPr>
              <w:jc w:val="right"/>
              <w:spacing w:after="0"/>
              <w:rPr>
                <w:sz w:val="20"/>
                <w:szCs w:val="20"/>
                <w:color w:val="auto"/>
              </w:rPr>
            </w:pPr>
            <w:r>
              <w:rPr>
                <w:rFonts w:ascii="Arial" w:cs="Arial" w:eastAsia="Arial" w:hAnsi="Arial"/>
                <w:sz w:val="13"/>
                <w:szCs w:val="13"/>
                <w:color w:val="auto"/>
              </w:rPr>
              <w:t>47</w:t>
            </w:r>
          </w:p>
        </w:tc>
      </w:tr>
    </w:tbl>
    <w:p>
      <w:pPr>
        <w:spacing w:after="0" w:line="8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(a)(2) Schedule for the years ended December 31, 2009, 2008, 2007:</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II — Valuation and Qualifying Accounts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All other Schedules have been omitted because they are not applicable or the required information is shown in the financial statements or notes thereto.</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(a)(3)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1840" w:type="dxa"/>
            <w:vAlign w:val="bottom"/>
          </w:tcPr>
          <w:p>
            <w:pPr>
              <w:jc w:val="right"/>
              <w:ind w:right="115"/>
              <w:spacing w:after="0"/>
              <w:rPr>
                <w:sz w:val="20"/>
                <w:szCs w:val="20"/>
                <w:color w:val="auto"/>
              </w:rPr>
            </w:pPr>
            <w:r>
              <w:rPr>
                <w:rFonts w:ascii="Arial" w:cs="Arial" w:eastAsia="Arial" w:hAnsi="Arial"/>
                <w:sz w:val="11"/>
                <w:szCs w:val="11"/>
                <w:b w:val="1"/>
                <w:bCs w:val="1"/>
                <w:color w:val="auto"/>
              </w:rPr>
              <w:t>Exhibit No.</w:t>
            </w:r>
          </w:p>
        </w:tc>
        <w:tc>
          <w:tcPr>
            <w:tcW w:w="9620" w:type="dxa"/>
            <w:vAlign w:val="bottom"/>
            <w:gridSpan w:val="3"/>
          </w:tcPr>
          <w:p>
            <w:pPr>
              <w:ind w:left="4460"/>
              <w:spacing w:after="0"/>
              <w:rPr>
                <w:sz w:val="20"/>
                <w:szCs w:val="20"/>
                <w:color w:val="auto"/>
              </w:rPr>
            </w:pPr>
            <w:r>
              <w:rPr>
                <w:rFonts w:ascii="Arial" w:cs="Arial" w:eastAsia="Arial" w:hAnsi="Arial"/>
                <w:sz w:val="11"/>
                <w:szCs w:val="11"/>
                <w:b w:val="1"/>
                <w:bCs w:val="1"/>
                <w:color w:val="auto"/>
              </w:rPr>
              <w:t>Description</w:t>
            </w:r>
          </w:p>
        </w:tc>
      </w:tr>
      <w:tr>
        <w:trPr>
          <w:trHeight w:val="179"/>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3.1*</w:t>
            </w:r>
          </w:p>
        </w:tc>
        <w:tc>
          <w:tcPr>
            <w:tcW w:w="4460" w:type="dxa"/>
            <w:vAlign w:val="bottom"/>
          </w:tcPr>
          <w:p>
            <w:pPr>
              <w:ind w:left="180"/>
              <w:spacing w:after="0"/>
              <w:rPr>
                <w:sz w:val="20"/>
                <w:szCs w:val="20"/>
                <w:color w:val="auto"/>
              </w:rPr>
            </w:pPr>
            <w:r>
              <w:rPr>
                <w:rFonts w:ascii="Arial" w:cs="Arial" w:eastAsia="Arial" w:hAnsi="Arial"/>
                <w:sz w:val="13"/>
                <w:szCs w:val="13"/>
                <w:color w:val="auto"/>
              </w:rPr>
              <w:t>Amended and Restated Certificate of Incorporation of the Registrant.</w:t>
            </w:r>
          </w:p>
        </w:tc>
        <w:tc>
          <w:tcPr>
            <w:tcW w:w="80" w:type="dxa"/>
            <w:vAlign w:val="bottom"/>
            <w:tcBorders>
              <w:top w:val="single" w:sz="8" w:color="auto"/>
            </w:tcBorders>
          </w:tcPr>
          <w:p>
            <w:pPr>
              <w:spacing w:after="0"/>
              <w:rPr>
                <w:sz w:val="15"/>
                <w:szCs w:val="15"/>
                <w:color w:val="auto"/>
              </w:rPr>
            </w:pPr>
          </w:p>
        </w:tc>
        <w:tc>
          <w:tcPr>
            <w:tcW w:w="5080" w:type="dxa"/>
            <w:vAlign w:val="bottom"/>
          </w:tcPr>
          <w:p>
            <w:pPr>
              <w:spacing w:after="0"/>
              <w:rPr>
                <w:sz w:val="15"/>
                <w:szCs w:val="15"/>
                <w:color w:val="auto"/>
              </w:rPr>
            </w:pP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3.2*</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Amended and Restated Bylaws of the Registrant</w:t>
            </w:r>
          </w:p>
        </w:tc>
      </w:tr>
      <w:tr>
        <w:trPr>
          <w:trHeight w:val="158"/>
        </w:trPr>
        <w:tc>
          <w:tcPr>
            <w:tcW w:w="1840" w:type="dxa"/>
            <w:vAlign w:val="bottom"/>
          </w:tcPr>
          <w:p>
            <w:pPr>
              <w:jc w:val="right"/>
              <w:ind w:right="455"/>
              <w:spacing w:after="0"/>
              <w:rPr>
                <w:sz w:val="20"/>
                <w:szCs w:val="20"/>
                <w:color w:val="auto"/>
              </w:rPr>
            </w:pPr>
            <w:r>
              <w:rPr>
                <w:rFonts w:ascii="Arial" w:cs="Arial" w:eastAsia="Arial" w:hAnsi="Arial"/>
                <w:sz w:val="13"/>
                <w:szCs w:val="13"/>
                <w:color w:val="auto"/>
              </w:rPr>
              <w:t>4.1</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Reference is made to Exhibits 3.1 and 3.2</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4.2*</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Amended and Restated Investors Rights Agreement, dated December 22, 2000, by and among the Registrant, certain stockholders and the investors listed on the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4.3*</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Amendment No. 1 to Synchronoss Technologies, Inc. Amended and Restated Investors Rights Agreement, dated April 27, 2001, by and among the Registrant,</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certain stockholders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4.4*</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Registration Rights Agreement, dated November 13, 2000, by and among the Registrant and the investors listed on the signature pages thereto.</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4.5*</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Amendment No. 1 to Synchronoss Technologies, Inc. Registration Rights Agreement, dated May 21, 2001, by and among the Registrant, certain stockholders listed</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on the signature pages thereto and Silicon Valley Bank.</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10.1*</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Form of Indemnification Agreement between the Registrant and each of its directors and executive officers.</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10.2*</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Synchronoss Technologies, Inc. 2000 Stock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10.3*</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Amendment No. 1 to Synchronoss Technologies, Inc. 2000 Stock Plan.</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10.4*</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2006 Equity Incentive Plan and forms of agreements thereunder.</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10.5*</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Lease Agreement between the Registrant and BTCT Associates, L.L.C. for the premises located at 750 Route 202 South, Bridgewater, New Jersey, dated as of</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May 11, 2004.</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10.6*</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First Amendment dated December 23, 2003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315"/>
              <w:spacing w:after="0"/>
              <w:rPr>
                <w:sz w:val="20"/>
                <w:szCs w:val="20"/>
                <w:color w:val="auto"/>
              </w:rPr>
            </w:pPr>
            <w:r>
              <w:rPr>
                <w:rFonts w:ascii="Arial" w:cs="Arial" w:eastAsia="Arial" w:hAnsi="Arial"/>
                <w:sz w:val="13"/>
                <w:szCs w:val="13"/>
                <w:color w:val="auto"/>
              </w:rPr>
              <w:t>10.7**</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Second Amendment dated August 21, 2006 to the Lease Agreement between the Registrant and BTCT Associates, L.L.C. for the premises located at 750 Route</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202 South, Bridgewater, New Jersey, dated as of May 11, 2004.</w:t>
            </w:r>
          </w:p>
        </w:tc>
      </w:tr>
      <w:tr>
        <w:trPr>
          <w:trHeight w:val="158"/>
        </w:trPr>
        <w:tc>
          <w:tcPr>
            <w:tcW w:w="1840" w:type="dxa"/>
            <w:vAlign w:val="bottom"/>
          </w:tcPr>
          <w:p>
            <w:pPr>
              <w:jc w:val="right"/>
              <w:ind w:right="395"/>
              <w:spacing w:after="0"/>
              <w:rPr>
                <w:sz w:val="20"/>
                <w:szCs w:val="20"/>
                <w:color w:val="auto"/>
              </w:rPr>
            </w:pPr>
            <w:r>
              <w:rPr>
                <w:rFonts w:ascii="Arial" w:cs="Arial" w:eastAsia="Arial" w:hAnsi="Arial"/>
                <w:sz w:val="13"/>
                <w:szCs w:val="13"/>
                <w:color w:val="auto"/>
              </w:rPr>
              <w:t>10.8*</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Lease Agreement between the Registrant and Triple Net Investments XXV, L.P. for the premises located at Lehigh Valley Industrial Park VII, Bethlehem,</w:t>
            </w:r>
          </w:p>
        </w:tc>
      </w:tr>
      <w:tr>
        <w:trPr>
          <w:trHeight w:val="158"/>
        </w:trPr>
        <w:tc>
          <w:tcPr>
            <w:tcW w:w="1840" w:type="dxa"/>
            <w:vAlign w:val="bottom"/>
          </w:tcPr>
          <w:p>
            <w:pPr>
              <w:spacing w:after="0"/>
              <w:rPr>
                <w:sz w:val="13"/>
                <w:szCs w:val="13"/>
                <w:color w:val="auto"/>
              </w:rPr>
            </w:pP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Pennsylvania, dated as of May 16, 2008, as amended.</w:t>
            </w:r>
          </w:p>
        </w:tc>
      </w:tr>
      <w:tr>
        <w:trPr>
          <w:trHeight w:val="165"/>
        </w:trPr>
        <w:tc>
          <w:tcPr>
            <w:tcW w:w="1840" w:type="dxa"/>
            <w:vAlign w:val="bottom"/>
          </w:tcPr>
          <w:p>
            <w:pPr>
              <w:jc w:val="right"/>
              <w:ind w:right="315"/>
              <w:spacing w:after="0"/>
              <w:rPr>
                <w:sz w:val="20"/>
                <w:szCs w:val="20"/>
                <w:color w:val="auto"/>
              </w:rPr>
            </w:pPr>
            <w:r>
              <w:rPr>
                <w:rFonts w:ascii="Arial" w:cs="Arial" w:eastAsia="Arial" w:hAnsi="Arial"/>
                <w:sz w:val="13"/>
                <w:szCs w:val="13"/>
                <w:color w:val="auto"/>
              </w:rPr>
              <w:t>10.10*</w:t>
            </w:r>
          </w:p>
        </w:tc>
        <w:tc>
          <w:tcPr>
            <w:tcW w:w="9620" w:type="dxa"/>
            <w:vAlign w:val="bottom"/>
            <w:gridSpan w:val="3"/>
          </w:tcPr>
          <w:p>
            <w:pPr>
              <w:ind w:left="180"/>
              <w:spacing w:after="0"/>
              <w:rPr>
                <w:sz w:val="20"/>
                <w:szCs w:val="20"/>
                <w:color w:val="auto"/>
              </w:rPr>
            </w:pPr>
            <w:r>
              <w:rPr>
                <w:rFonts w:ascii="Arial" w:cs="Arial" w:eastAsia="Arial" w:hAnsi="Arial"/>
                <w:sz w:val="13"/>
                <w:szCs w:val="13"/>
                <w:color w:val="auto"/>
              </w:rPr>
              <w:t>Loan &amp; Security Agreement between the Registrant and Silicon Valley Bank, dated as of May 21, 2001.</w:t>
            </w:r>
          </w:p>
        </w:tc>
      </w:tr>
      <w:tr>
        <w:trPr>
          <w:trHeight w:val="455"/>
        </w:trPr>
        <w:tc>
          <w:tcPr>
            <w:tcW w:w="1840" w:type="dxa"/>
            <w:vAlign w:val="bottom"/>
          </w:tcPr>
          <w:p>
            <w:pPr>
              <w:spacing w:after="0"/>
              <w:rPr>
                <w:sz w:val="24"/>
                <w:szCs w:val="24"/>
                <w:color w:val="auto"/>
              </w:rPr>
            </w:pPr>
          </w:p>
        </w:tc>
        <w:tc>
          <w:tcPr>
            <w:tcW w:w="4460" w:type="dxa"/>
            <w:vAlign w:val="bottom"/>
          </w:tcPr>
          <w:p>
            <w:pPr>
              <w:ind w:left="3780"/>
              <w:spacing w:after="0"/>
              <w:rPr>
                <w:sz w:val="20"/>
                <w:szCs w:val="20"/>
                <w:color w:val="auto"/>
              </w:rPr>
            </w:pPr>
            <w:r>
              <w:rPr>
                <w:rFonts w:ascii="Arial" w:cs="Arial" w:eastAsia="Arial" w:hAnsi="Arial"/>
                <w:sz w:val="13"/>
                <w:szCs w:val="13"/>
                <w:color w:val="auto"/>
              </w:rPr>
              <w:t>69</w:t>
            </w:r>
          </w:p>
        </w:tc>
        <w:tc>
          <w:tcPr>
            <w:tcW w:w="8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165"/>
        </w:trPr>
        <w:tc>
          <w:tcPr>
            <w:tcW w:w="1840" w:type="dxa"/>
            <w:vAlign w:val="bottom"/>
            <w:tcBorders>
              <w:bottom w:val="single" w:sz="8" w:color="808080"/>
            </w:tcBorders>
          </w:tcPr>
          <w:p>
            <w:pPr>
              <w:spacing w:after="0"/>
              <w:rPr>
                <w:sz w:val="14"/>
                <w:szCs w:val="14"/>
                <w:color w:val="auto"/>
              </w:rPr>
            </w:pPr>
          </w:p>
        </w:tc>
        <w:tc>
          <w:tcPr>
            <w:tcW w:w="44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wp:posOffset>
            </wp:positionH>
            <wp:positionV relativeFrom="paragraph">
              <wp:posOffset>-2746375</wp:posOffset>
            </wp:positionV>
            <wp:extent cx="635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6" w:right="219" w:bottom="1440" w:gutter="0" w:footer="0" w:header="0"/>
        </w:sectPr>
      </w:pPr>
    </w:p>
    <w:bookmarkStart w:id="70" w:name="page71"/>
    <w:bookmarkEnd w:id="70"/>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32" w:lineRule="exact"/>
        <w:rPr>
          <w:sz w:val="20"/>
          <w:szCs w:val="20"/>
          <w:color w:val="auto"/>
        </w:rPr>
      </w:pPr>
    </w:p>
    <w:tbl>
      <w:tblPr>
        <w:tblLayout w:type="fixed"/>
        <w:tblInd w:w="1100" w:type="dxa"/>
        <w:tblCellMar>
          <w:top w:w="0" w:type="dxa"/>
          <w:left w:w="0" w:type="dxa"/>
          <w:bottom w:w="0" w:type="dxa"/>
          <w:right w:w="0" w:type="dxa"/>
        </w:tblCellMar>
      </w:tblPr>
      <w:tr>
        <w:trPr>
          <w:trHeight w:val="136"/>
        </w:trPr>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Exhibit No.</w:t>
            </w:r>
          </w:p>
        </w:tc>
        <w:tc>
          <w:tcPr>
            <w:tcW w:w="4460" w:type="dxa"/>
            <w:vAlign w:val="bottom"/>
          </w:tcPr>
          <w:p>
            <w:pPr>
              <w:spacing w:after="0"/>
              <w:rPr>
                <w:sz w:val="11"/>
                <w:szCs w:val="11"/>
                <w:color w:val="auto"/>
              </w:rPr>
            </w:pPr>
          </w:p>
        </w:tc>
        <w:tc>
          <w:tcPr>
            <w:tcW w:w="434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7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179"/>
        </w:trPr>
        <w:tc>
          <w:tcPr>
            <w:tcW w:w="760" w:type="dxa"/>
            <w:vAlign w:val="bottom"/>
          </w:tcPr>
          <w:p>
            <w:pPr>
              <w:spacing w:after="0"/>
              <w:rPr>
                <w:sz w:val="20"/>
                <w:szCs w:val="20"/>
                <w:color w:val="auto"/>
              </w:rPr>
            </w:pPr>
            <w:r>
              <w:rPr>
                <w:rFonts w:ascii="Arial" w:cs="Arial" w:eastAsia="Arial" w:hAnsi="Arial"/>
                <w:sz w:val="13"/>
                <w:szCs w:val="13"/>
                <w:color w:val="auto"/>
              </w:rPr>
              <w:t>10.11***‡</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Cingular Master Services Agreement, effective September 1, 2005 by and between the Registrant and Cingular Wireless LLC.</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10.12***†</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Employment Agreement dated as of December 30, 2008 between the Registrant and Stephen G. Waldis.</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10.13***†</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Employment Agreement dated as of December 30, 2008 between the Registrant and Lawrence R. Irving.</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10.14***†</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Employment Agreement dated as of December 30, 2008 between the Registrant and Robert Garcia.</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10.15***†</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Employment Agreement dated as of December 30, 2008 between the Registrant and Chris Putnam.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10.16***†</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Employment Agreement dated as of December 30, 2008 between the Registrant and Omar Tellez.</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23.1</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Consent of Ernst &amp; Young, LLP, Independent Registered Public Accounting Firm.</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24</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Power of Attorney (see page 71)</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31.1</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w w:val="94"/>
              </w:rPr>
              <w:t>Certification of Chief Executive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31.2</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w w:val="94"/>
              </w:rPr>
              <w:t>Certification of Chief Financial Officer pursuant to Rule 13a-14(a) of the Exchange Act, as adopted pursuant to section 302 of 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32.1</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w w:val="92"/>
              </w:rPr>
              <w:t>Certification of Chief Executive Officer pursuant to Rule 13a-14(b) of the Exchange Act and section 18 U.S.C. Section 1350, as adopted pursuant to section 906 of</w:t>
            </w:r>
          </w:p>
        </w:tc>
      </w:tr>
      <w:tr>
        <w:trPr>
          <w:trHeight w:val="158"/>
        </w:trPr>
        <w:tc>
          <w:tcPr>
            <w:tcW w:w="760" w:type="dxa"/>
            <w:vAlign w:val="bottom"/>
          </w:tcPr>
          <w:p>
            <w:pPr>
              <w:spacing w:after="0"/>
              <w:rPr>
                <w:sz w:val="13"/>
                <w:szCs w:val="13"/>
                <w:color w:val="auto"/>
              </w:rPr>
            </w:pP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the Sarbanes-Oxley Act of 2002</w:t>
            </w:r>
          </w:p>
        </w:tc>
      </w:tr>
      <w:tr>
        <w:trPr>
          <w:trHeight w:val="158"/>
        </w:trPr>
        <w:tc>
          <w:tcPr>
            <w:tcW w:w="760" w:type="dxa"/>
            <w:vAlign w:val="bottom"/>
          </w:tcPr>
          <w:p>
            <w:pPr>
              <w:spacing w:after="0"/>
              <w:rPr>
                <w:sz w:val="20"/>
                <w:szCs w:val="20"/>
                <w:color w:val="auto"/>
              </w:rPr>
            </w:pPr>
            <w:r>
              <w:rPr>
                <w:rFonts w:ascii="Arial" w:cs="Arial" w:eastAsia="Arial" w:hAnsi="Arial"/>
                <w:sz w:val="13"/>
                <w:szCs w:val="13"/>
                <w:color w:val="auto"/>
              </w:rPr>
              <w:t>32.2</w:t>
            </w: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w w:val="92"/>
              </w:rPr>
              <w:t>Certification of Chief Financial Officer pursuant to Rule 13a-14(b) of the Exchange Act and section 18 U.S.C. Section 1350, as adopted pursuant to section 906 of</w:t>
            </w:r>
          </w:p>
        </w:tc>
      </w:tr>
      <w:tr>
        <w:trPr>
          <w:trHeight w:val="165"/>
        </w:trPr>
        <w:tc>
          <w:tcPr>
            <w:tcW w:w="760" w:type="dxa"/>
            <w:vAlign w:val="bottom"/>
          </w:tcPr>
          <w:p>
            <w:pPr>
              <w:spacing w:after="0"/>
              <w:rPr>
                <w:sz w:val="14"/>
                <w:szCs w:val="14"/>
                <w:color w:val="auto"/>
              </w:rPr>
            </w:pPr>
          </w:p>
        </w:tc>
        <w:tc>
          <w:tcPr>
            <w:tcW w:w="8800" w:type="dxa"/>
            <w:vAlign w:val="bottom"/>
            <w:gridSpan w:val="3"/>
          </w:tcPr>
          <w:p>
            <w:pPr>
              <w:ind w:left="200"/>
              <w:spacing w:after="0"/>
              <w:rPr>
                <w:sz w:val="20"/>
                <w:szCs w:val="20"/>
                <w:color w:val="auto"/>
              </w:rPr>
            </w:pPr>
            <w:r>
              <w:rPr>
                <w:rFonts w:ascii="Arial" w:cs="Arial" w:eastAsia="Arial" w:hAnsi="Arial"/>
                <w:sz w:val="13"/>
                <w:szCs w:val="13"/>
                <w:color w:val="auto"/>
              </w:rPr>
              <w:t>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740410</wp:posOffset>
            </wp:positionH>
            <wp:positionV relativeFrom="paragraph">
              <wp:posOffset>-1436370</wp:posOffset>
            </wp:positionV>
            <wp:extent cx="635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438785</wp:posOffset>
            </wp:positionH>
            <wp:positionV relativeFrom="paragraph">
              <wp:posOffset>63500</wp:posOffset>
            </wp:positionV>
            <wp:extent cx="822325"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325" cy="6350"/>
                    </a:xfrm>
                    <a:prstGeom prst="rect">
                      <a:avLst/>
                    </a:prstGeom>
                    <a:noFill/>
                  </pic:spPr>
                </pic:pic>
              </a:graphicData>
            </a:graphic>
          </wp:anchor>
        </w:drawing>
      </w:r>
    </w:p>
    <w:p>
      <w:pPr>
        <w:spacing w:after="0" w:line="131" w:lineRule="exact"/>
        <w:rPr>
          <w:sz w:val="20"/>
          <w:szCs w:val="20"/>
          <w:color w:val="auto"/>
        </w:rPr>
      </w:pPr>
    </w:p>
    <w:p>
      <w:pPr>
        <w:ind w:left="1100" w:hanging="413"/>
        <w:spacing w:after="0"/>
        <w:tabs>
          <w:tab w:leader="none" w:pos="11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Compensation Arrangement.</w:t>
      </w:r>
    </w:p>
    <w:p>
      <w:pPr>
        <w:spacing w:after="0" w:line="48" w:lineRule="exact"/>
        <w:rPr>
          <w:sz w:val="20"/>
          <w:szCs w:val="20"/>
          <w:color w:val="auto"/>
        </w:rPr>
      </w:pPr>
    </w:p>
    <w:p>
      <w:pPr>
        <w:ind w:left="1100" w:hanging="413"/>
        <w:spacing w:after="0"/>
        <w:tabs>
          <w:tab w:leader="none" w:pos="11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Incorporated by reference to Registrant’s Registration Statement on Form S-1 (Commission File No. 333-132080).</w:t>
      </w:r>
    </w:p>
    <w:p>
      <w:pPr>
        <w:spacing w:after="0" w:line="48"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Incorporated by reference to Registrant’s Annual Report on Form 10-K for the year ended December 31, 2007.</w:t>
      </w:r>
    </w:p>
    <w:p>
      <w:pPr>
        <w:spacing w:after="0" w:line="48"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   Incorporated by reference to Registrant’s Annual Report on Form 10-K for the year ended December 31, 2008.</w:t>
      </w:r>
    </w:p>
    <w:p>
      <w:pPr>
        <w:spacing w:after="0" w:line="48" w:lineRule="exact"/>
        <w:rPr>
          <w:rFonts w:ascii="Arial" w:cs="Arial" w:eastAsia="Arial" w:hAnsi="Arial"/>
          <w:sz w:val="13"/>
          <w:szCs w:val="13"/>
          <w:color w:val="auto"/>
        </w:rPr>
      </w:pPr>
    </w:p>
    <w:p>
      <w:pPr>
        <w:ind w:left="68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1"/>
          <w:szCs w:val="11"/>
          <w:color w:val="auto"/>
        </w:rPr>
        <w:t>Confidential treatment has been requested for portions of this document. The omitted portions of this document have been filed with the Securities and Exchange Commission.</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(10)</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 Exhibits.</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See (a)(3) above.</w:t>
      </w:r>
    </w:p>
    <w:p>
      <w:pPr>
        <w:spacing w:after="0" w:line="9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 Financial Statement Schedule.</w:t>
      </w:r>
    </w:p>
    <w:p>
      <w:pPr>
        <w:spacing w:after="0" w:line="25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SCHEDULE II — VALUATION AND QUALIFYING ACCOUNTS</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December 31, 2009, 2008, and 2007</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Pr>
          <w:p>
            <w:pPr>
              <w:ind w:left="160"/>
              <w:spacing w:after="0"/>
              <w:rPr>
                <w:sz w:val="20"/>
                <w:szCs w:val="20"/>
                <w:color w:val="auto"/>
              </w:rPr>
            </w:pPr>
            <w:r>
              <w:rPr>
                <w:rFonts w:ascii="Arial" w:cs="Arial" w:eastAsia="Arial" w:hAnsi="Arial"/>
                <w:sz w:val="11"/>
                <w:szCs w:val="11"/>
                <w:b w:val="1"/>
                <w:bCs w:val="1"/>
                <w:color w:val="auto"/>
              </w:rPr>
              <w:t>Beginning</w:t>
            </w: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Ending</w:t>
            </w:r>
          </w:p>
        </w:tc>
        <w:tc>
          <w:tcPr>
            <w:tcW w:w="800" w:type="dxa"/>
            <w:vAlign w:val="bottom"/>
          </w:tcPr>
          <w:p>
            <w:pPr>
              <w:spacing w:after="0"/>
              <w:rPr>
                <w:sz w:val="10"/>
                <w:szCs w:val="10"/>
                <w:color w:val="auto"/>
              </w:rPr>
            </w:pPr>
          </w:p>
        </w:tc>
      </w:t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Pr>
          <w:p>
            <w:pPr>
              <w:ind w:left="200"/>
              <w:spacing w:after="0"/>
              <w:rPr>
                <w:sz w:val="20"/>
                <w:szCs w:val="20"/>
                <w:color w:val="auto"/>
              </w:rPr>
            </w:pPr>
            <w:r>
              <w:rPr>
                <w:rFonts w:ascii="Arial" w:cs="Arial" w:eastAsia="Arial" w:hAnsi="Arial"/>
                <w:sz w:val="11"/>
                <w:szCs w:val="11"/>
                <w:b w:val="1"/>
                <w:bCs w:val="1"/>
                <w:color w:val="auto"/>
              </w:rPr>
              <w:t>Balance</w:t>
            </w:r>
          </w:p>
        </w:tc>
        <w:tc>
          <w:tcPr>
            <w:tcW w:w="280" w:type="dxa"/>
            <w:vAlign w:val="bottom"/>
          </w:tcPr>
          <w:p>
            <w:pPr>
              <w:spacing w:after="0"/>
              <w:rPr>
                <w:sz w:val="10"/>
                <w:szCs w:val="10"/>
                <w:color w:val="auto"/>
              </w:rPr>
            </w:pPr>
          </w:p>
        </w:tc>
        <w:tc>
          <w:tcPr>
            <w:tcW w:w="1220" w:type="dxa"/>
            <w:vAlign w:val="bottom"/>
            <w:gridSpan w:val="3"/>
          </w:tcPr>
          <w:p>
            <w:pPr>
              <w:ind w:left="180"/>
              <w:spacing w:after="0"/>
              <w:rPr>
                <w:sz w:val="20"/>
                <w:szCs w:val="20"/>
                <w:color w:val="auto"/>
              </w:rPr>
            </w:pPr>
            <w:r>
              <w:rPr>
                <w:rFonts w:ascii="Arial" w:cs="Arial" w:eastAsia="Arial" w:hAnsi="Arial"/>
                <w:sz w:val="11"/>
                <w:szCs w:val="11"/>
                <w:b w:val="1"/>
                <w:bCs w:val="1"/>
                <w:color w:val="auto"/>
              </w:rPr>
              <w:t>Additions</w:t>
            </w:r>
          </w:p>
        </w:tc>
        <w:tc>
          <w:tcPr>
            <w:tcW w:w="700" w:type="dxa"/>
            <w:vAlign w:val="bottom"/>
            <w:gridSpan w:val="2"/>
          </w:tcPr>
          <w:p>
            <w:pPr>
              <w:jc w:val="right"/>
              <w:ind w:right="94"/>
              <w:spacing w:after="0"/>
              <w:rPr>
                <w:sz w:val="20"/>
                <w:szCs w:val="20"/>
                <w:color w:val="auto"/>
              </w:rPr>
            </w:pPr>
            <w:r>
              <w:rPr>
                <w:rFonts w:ascii="Arial" w:cs="Arial" w:eastAsia="Arial" w:hAnsi="Arial"/>
                <w:sz w:val="11"/>
                <w:szCs w:val="11"/>
                <w:b w:val="1"/>
                <w:bCs w:val="1"/>
                <w:color w:val="auto"/>
                <w:w w:val="86"/>
              </w:rPr>
              <w:t>Reductions</w:t>
            </w:r>
          </w:p>
        </w:tc>
        <w:tc>
          <w:tcPr>
            <w:tcW w:w="300" w:type="dxa"/>
            <w:vAlign w:val="bottom"/>
          </w:tcPr>
          <w:p>
            <w:pPr>
              <w:spacing w:after="0"/>
              <w:rPr>
                <w:sz w:val="10"/>
                <w:szCs w:val="10"/>
                <w:color w:val="auto"/>
              </w:rPr>
            </w:pPr>
          </w:p>
        </w:tc>
        <w:tc>
          <w:tcPr>
            <w:tcW w:w="580" w:type="dxa"/>
            <w:vAlign w:val="bottom"/>
          </w:tcPr>
          <w:p>
            <w:pPr>
              <w:ind w:left="100"/>
              <w:spacing w:after="0"/>
              <w:rPr>
                <w:sz w:val="20"/>
                <w:szCs w:val="20"/>
                <w:color w:val="auto"/>
              </w:rPr>
            </w:pPr>
            <w:r>
              <w:rPr>
                <w:rFonts w:ascii="Arial" w:cs="Arial" w:eastAsia="Arial" w:hAnsi="Arial"/>
                <w:sz w:val="11"/>
                <w:szCs w:val="11"/>
                <w:b w:val="1"/>
                <w:bCs w:val="1"/>
                <w:color w:val="auto"/>
              </w:rPr>
              <w:t>Balance</w:t>
            </w:r>
          </w:p>
        </w:tc>
        <w:tc>
          <w:tcPr>
            <w:tcW w:w="800" w:type="dxa"/>
            <w:vAlign w:val="bottom"/>
          </w:tcPr>
          <w:p>
            <w:pPr>
              <w:spacing w:after="0"/>
              <w:rPr>
                <w:sz w:val="10"/>
                <w:szCs w:val="10"/>
                <w:color w:val="auto"/>
              </w:rPr>
            </w:pPr>
          </w:p>
        </w:tc>
      </w:tr>
      <w:tr>
        <w:trPr>
          <w:trHeight w:val="126"/>
        </w:trPr>
        <w:tc>
          <w:tcPr>
            <w:tcW w:w="40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b w:val="1"/>
                <w:bCs w:val="1"/>
                <w:color w:val="auto"/>
              </w:rPr>
              <w:t>(In</w:t>
            </w:r>
          </w:p>
        </w:tc>
        <w:tc>
          <w:tcPr>
            <w:tcW w:w="280" w:type="dxa"/>
            <w:vAlign w:val="bottom"/>
          </w:tcPr>
          <w:p>
            <w:pPr>
              <w:spacing w:after="0"/>
              <w:rPr>
                <w:sz w:val="20"/>
                <w:szCs w:val="20"/>
                <w:color w:val="auto"/>
              </w:rPr>
            </w:pPr>
            <w:r>
              <w:rPr>
                <w:rFonts w:ascii="Arial" w:cs="Arial" w:eastAsia="Arial" w:hAnsi="Arial"/>
                <w:sz w:val="6"/>
                <w:szCs w:val="6"/>
                <w:b w:val="1"/>
                <w:bCs w:val="1"/>
                <w:color w:val="auto"/>
                <w:w w:val="80"/>
              </w:rPr>
              <w:t>thousands)</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162"/>
        </w:trPr>
        <w:tc>
          <w:tcPr>
            <w:tcW w:w="4080" w:type="dxa"/>
            <w:vAlign w:val="bottom"/>
          </w:tcPr>
          <w:p>
            <w:pPr>
              <w:ind w:left="680"/>
              <w:spacing w:after="0"/>
              <w:rPr>
                <w:sz w:val="20"/>
                <w:szCs w:val="20"/>
                <w:color w:val="auto"/>
              </w:rPr>
            </w:pPr>
            <w:r>
              <w:rPr>
                <w:rFonts w:ascii="Arial" w:cs="Arial" w:eastAsia="Arial" w:hAnsi="Arial"/>
                <w:sz w:val="13"/>
                <w:szCs w:val="13"/>
                <w:color w:val="auto"/>
              </w:rPr>
              <w:t>Allowance for doubtful receivables</w:t>
            </w:r>
          </w:p>
        </w:tc>
        <w:tc>
          <w:tcPr>
            <w:tcW w:w="2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58"/>
        </w:trPr>
        <w:tc>
          <w:tcPr>
            <w:tcW w:w="4080" w:type="dxa"/>
            <w:vAlign w:val="bottom"/>
          </w:tcPr>
          <w:p>
            <w:pPr>
              <w:ind w:left="680"/>
              <w:spacing w:after="0"/>
              <w:rPr>
                <w:sz w:val="20"/>
                <w:szCs w:val="20"/>
                <w:color w:val="auto"/>
              </w:rPr>
            </w:pPr>
            <w:r>
              <w:rPr>
                <w:rFonts w:ascii="Arial" w:cs="Arial" w:eastAsia="Arial" w:hAnsi="Arial"/>
                <w:sz w:val="13"/>
                <w:szCs w:val="13"/>
                <w:color w:val="auto"/>
              </w:rPr>
              <w:t>2009</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$193</w:t>
            </w:r>
          </w:p>
        </w:tc>
        <w:tc>
          <w:tcPr>
            <w:tcW w:w="1080" w:type="dxa"/>
            <w:vAlign w:val="bottom"/>
            <w:gridSpan w:val="2"/>
          </w:tcPr>
          <w:p>
            <w:pPr>
              <w:jc w:val="right"/>
              <w:ind w:right="247"/>
              <w:spacing w:after="0"/>
              <w:rPr>
                <w:sz w:val="20"/>
                <w:szCs w:val="20"/>
                <w:color w:val="auto"/>
              </w:rPr>
            </w:pPr>
            <w:r>
              <w:rPr>
                <w:rFonts w:ascii="Arial" w:cs="Arial" w:eastAsia="Arial" w:hAnsi="Arial"/>
                <w:sz w:val="13"/>
                <w:szCs w:val="13"/>
                <w:color w:val="auto"/>
              </w:rPr>
              <w:t>$640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4"/>
              <w:spacing w:after="0"/>
              <w:rPr>
                <w:sz w:val="20"/>
                <w:szCs w:val="20"/>
                <w:color w:val="auto"/>
              </w:rPr>
            </w:pPr>
            <w:r>
              <w:rPr>
                <w:rFonts w:ascii="Arial" w:cs="Arial" w:eastAsia="Arial" w:hAnsi="Arial"/>
                <w:sz w:val="13"/>
                <w:szCs w:val="13"/>
                <w:color w:val="auto"/>
              </w:rPr>
              <w:t>(3)</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$830</w:t>
            </w:r>
          </w:p>
        </w:tc>
        <w:tc>
          <w:tcPr>
            <w:tcW w:w="800" w:type="dxa"/>
            <w:vAlign w:val="bottom"/>
          </w:tcPr>
          <w:p>
            <w:pPr>
              <w:spacing w:after="0"/>
              <w:rPr>
                <w:sz w:val="13"/>
                <w:szCs w:val="13"/>
                <w:color w:val="auto"/>
              </w:rPr>
            </w:pPr>
          </w:p>
        </w:tc>
      </w:tr>
      <w:tr>
        <w:trPr>
          <w:trHeight w:val="158"/>
        </w:trPr>
        <w:tc>
          <w:tcPr>
            <w:tcW w:w="4080" w:type="dxa"/>
            <w:vAlign w:val="bottom"/>
          </w:tcPr>
          <w:p>
            <w:pPr>
              <w:ind w:left="680"/>
              <w:spacing w:after="0"/>
              <w:rPr>
                <w:sz w:val="20"/>
                <w:szCs w:val="20"/>
                <w:color w:val="auto"/>
              </w:rPr>
            </w:pPr>
            <w:r>
              <w:rPr>
                <w:rFonts w:ascii="Arial" w:cs="Arial" w:eastAsia="Arial" w:hAnsi="Arial"/>
                <w:sz w:val="13"/>
                <w:szCs w:val="13"/>
                <w:color w:val="auto"/>
              </w:rPr>
              <w:t>2008</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$448</w:t>
            </w:r>
          </w:p>
        </w:tc>
        <w:tc>
          <w:tcPr>
            <w:tcW w:w="1080" w:type="dxa"/>
            <w:vAlign w:val="bottom"/>
            <w:gridSpan w:val="2"/>
          </w:tcPr>
          <w:p>
            <w:pPr>
              <w:jc w:val="right"/>
              <w:ind w:right="247"/>
              <w:spacing w:after="0"/>
              <w:rPr>
                <w:sz w:val="20"/>
                <w:szCs w:val="20"/>
                <w:color w:val="auto"/>
              </w:rPr>
            </w:pPr>
            <w:r>
              <w:rPr>
                <w:rFonts w:ascii="Arial" w:cs="Arial" w:eastAsia="Arial" w:hAnsi="Arial"/>
                <w:sz w:val="13"/>
                <w:szCs w:val="13"/>
                <w:color w:val="auto"/>
              </w:rPr>
              <w:t>$186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174"/>
              <w:spacing w:after="0"/>
              <w:rPr>
                <w:sz w:val="20"/>
                <w:szCs w:val="20"/>
                <w:color w:val="auto"/>
              </w:rPr>
            </w:pPr>
            <w:r>
              <w:rPr>
                <w:rFonts w:ascii="Arial" w:cs="Arial" w:eastAsia="Arial" w:hAnsi="Arial"/>
                <w:sz w:val="13"/>
                <w:szCs w:val="13"/>
                <w:color w:val="auto"/>
                <w:w w:val="92"/>
              </w:rPr>
              <w:t>(441)</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$193</w:t>
            </w:r>
          </w:p>
        </w:tc>
        <w:tc>
          <w:tcPr>
            <w:tcW w:w="800" w:type="dxa"/>
            <w:vAlign w:val="bottom"/>
          </w:tcPr>
          <w:p>
            <w:pPr>
              <w:spacing w:after="0"/>
              <w:rPr>
                <w:sz w:val="13"/>
                <w:szCs w:val="13"/>
                <w:color w:val="auto"/>
              </w:rPr>
            </w:pPr>
          </w:p>
        </w:tc>
      </w:tr>
      <w:tr>
        <w:trPr>
          <w:trHeight w:val="165"/>
        </w:trPr>
        <w:tc>
          <w:tcPr>
            <w:tcW w:w="4080" w:type="dxa"/>
            <w:vAlign w:val="bottom"/>
          </w:tcPr>
          <w:p>
            <w:pPr>
              <w:ind w:left="680"/>
              <w:spacing w:after="0"/>
              <w:rPr>
                <w:sz w:val="20"/>
                <w:szCs w:val="20"/>
                <w:color w:val="auto"/>
              </w:rPr>
            </w:pPr>
            <w:r>
              <w:rPr>
                <w:rFonts w:ascii="Arial" w:cs="Arial" w:eastAsia="Arial" w:hAnsi="Arial"/>
                <w:sz w:val="13"/>
                <w:szCs w:val="13"/>
                <w:color w:val="auto"/>
              </w:rPr>
              <w:t>2007</w:t>
            </w:r>
          </w:p>
        </w:tc>
        <w:tc>
          <w:tcPr>
            <w:tcW w:w="3500" w:type="dxa"/>
            <w:vAlign w:val="bottom"/>
            <w:gridSpan w:val="2"/>
          </w:tcPr>
          <w:p>
            <w:pPr>
              <w:ind w:left="2940"/>
              <w:spacing w:after="0"/>
              <w:rPr>
                <w:sz w:val="20"/>
                <w:szCs w:val="20"/>
                <w:color w:val="auto"/>
              </w:rPr>
            </w:pPr>
            <w:r>
              <w:rPr>
                <w:rFonts w:ascii="Arial" w:cs="Arial" w:eastAsia="Arial" w:hAnsi="Arial"/>
                <w:sz w:val="13"/>
                <w:szCs w:val="13"/>
                <w:color w:val="auto"/>
              </w:rPr>
              <w:t>$171</w:t>
            </w:r>
          </w:p>
        </w:tc>
        <w:tc>
          <w:tcPr>
            <w:tcW w:w="1080" w:type="dxa"/>
            <w:vAlign w:val="bottom"/>
            <w:gridSpan w:val="2"/>
          </w:tcPr>
          <w:p>
            <w:pPr>
              <w:jc w:val="right"/>
              <w:ind w:right="247"/>
              <w:spacing w:after="0"/>
              <w:rPr>
                <w:sz w:val="20"/>
                <w:szCs w:val="20"/>
                <w:color w:val="auto"/>
              </w:rPr>
            </w:pPr>
            <w:r>
              <w:rPr>
                <w:rFonts w:ascii="Arial" w:cs="Arial" w:eastAsia="Arial" w:hAnsi="Arial"/>
                <w:sz w:val="13"/>
                <w:szCs w:val="13"/>
                <w:color w:val="auto"/>
              </w:rPr>
              <w:t>$277</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234"/>
              <w:spacing w:after="0"/>
              <w:rPr>
                <w:sz w:val="20"/>
                <w:szCs w:val="20"/>
                <w:color w:val="auto"/>
              </w:rPr>
            </w:pPr>
            <w:r>
              <w:rPr>
                <w:rFonts w:ascii="Arial" w:cs="Arial" w:eastAsia="Arial" w:hAnsi="Arial"/>
                <w:sz w:val="13"/>
                <w:szCs w:val="13"/>
                <w:color w:val="auto"/>
              </w:rPr>
              <w:t>—</w:t>
            </w:r>
          </w:p>
        </w:tc>
        <w:tc>
          <w:tcPr>
            <w:tcW w:w="880" w:type="dxa"/>
            <w:vAlign w:val="bottom"/>
            <w:gridSpan w:val="2"/>
          </w:tcPr>
          <w:p>
            <w:pPr>
              <w:ind w:left="420"/>
              <w:spacing w:after="0"/>
              <w:rPr>
                <w:sz w:val="20"/>
                <w:szCs w:val="20"/>
                <w:color w:val="auto"/>
              </w:rPr>
            </w:pPr>
            <w:r>
              <w:rPr>
                <w:rFonts w:ascii="Arial" w:cs="Arial" w:eastAsia="Arial" w:hAnsi="Arial"/>
                <w:sz w:val="13"/>
                <w:szCs w:val="13"/>
                <w:color w:val="auto"/>
              </w:rPr>
              <w:t>$448</w:t>
            </w:r>
          </w:p>
        </w:tc>
        <w:tc>
          <w:tcPr>
            <w:tcW w:w="800" w:type="dxa"/>
            <w:vAlign w:val="bottom"/>
          </w:tcPr>
          <w:p>
            <w:pPr>
              <w:spacing w:after="0"/>
              <w:rPr>
                <w:sz w:val="14"/>
                <w:szCs w:val="14"/>
                <w:color w:val="auto"/>
              </w:rPr>
            </w:pPr>
          </w:p>
        </w:tc>
      </w:tr>
      <w:tr>
        <w:trPr>
          <w:trHeight w:val="287"/>
        </w:trPr>
        <w:tc>
          <w:tcPr>
            <w:tcW w:w="4080" w:type="dxa"/>
            <w:vAlign w:val="bottom"/>
          </w:tcPr>
          <w:p>
            <w:pPr>
              <w:spacing w:after="0"/>
              <w:rPr>
                <w:sz w:val="24"/>
                <w:szCs w:val="24"/>
                <w:color w:val="auto"/>
              </w:rPr>
            </w:pPr>
          </w:p>
        </w:tc>
        <w:tc>
          <w:tcPr>
            <w:tcW w:w="2720" w:type="dxa"/>
            <w:vAlign w:val="bottom"/>
          </w:tcPr>
          <w:p>
            <w:pPr>
              <w:jc w:val="right"/>
              <w:ind w:right="994"/>
              <w:spacing w:after="0"/>
              <w:rPr>
                <w:sz w:val="20"/>
                <w:szCs w:val="20"/>
                <w:color w:val="auto"/>
              </w:rPr>
            </w:pPr>
            <w:r>
              <w:rPr>
                <w:rFonts w:ascii="Arial" w:cs="Arial" w:eastAsia="Arial" w:hAnsi="Arial"/>
                <w:sz w:val="13"/>
                <w:szCs w:val="13"/>
                <w:color w:val="auto"/>
              </w:rPr>
              <w:t>70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5"/>
        </w:trPr>
        <w:tc>
          <w:tcPr>
            <w:tcW w:w="4080" w:type="dxa"/>
            <w:vAlign w:val="bottom"/>
            <w:tcBorders>
              <w:bottom w:val="single" w:sz="8" w:color="808080"/>
            </w:tcBorders>
          </w:tcPr>
          <w:p>
            <w:pPr>
              <w:spacing w:after="0"/>
              <w:rPr>
                <w:sz w:val="14"/>
                <w:szCs w:val="14"/>
                <w:color w:val="auto"/>
              </w:rPr>
            </w:pPr>
          </w:p>
        </w:tc>
        <w:tc>
          <w:tcPr>
            <w:tcW w:w="27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5"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Table of Contents</w:t>
        </w:r>
      </w:hyperlink>
    </w:p>
    <w:p>
      <w:pPr>
        <w:spacing w:after="0" w:line="255"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SIGNATURES</w:t>
      </w:r>
    </w:p>
    <w:p>
      <w:pPr>
        <w:spacing w:after="0" w:line="102" w:lineRule="exact"/>
        <w:rPr>
          <w:sz w:val="20"/>
          <w:szCs w:val="20"/>
          <w:color w:val="auto"/>
        </w:rPr>
      </w:pPr>
    </w:p>
    <w:p>
      <w:pPr>
        <w:ind w:left="680" w:right="300" w:firstLine="399"/>
        <w:spacing w:after="0" w:line="279"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SYNCHRONOSS TECHNOLOGIES, INC.</w:t>
      </w:r>
    </w:p>
    <w:p>
      <w:pPr>
        <w:spacing w:after="0" w:line="16"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80"/>
        <w:spacing w:after="0"/>
        <w:tabs>
          <w:tab w:leader="none" w:pos="5860" w:val="left"/>
        </w:tabs>
        <w:rPr>
          <w:sz w:val="20"/>
          <w:szCs w:val="20"/>
          <w:color w:val="auto"/>
        </w:rPr>
      </w:pPr>
      <w:r>
        <w:rPr>
          <w:rFonts w:ascii="Arial" w:cs="Arial" w:eastAsia="Arial" w:hAnsi="Arial"/>
          <w:sz w:val="13"/>
          <w:szCs w:val="13"/>
          <w:color w:val="auto"/>
        </w:rPr>
        <w:t>By</w:t>
        <w:tab/>
        <w:t>/s/ Stephen G. Waldis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3728720</wp:posOffset>
            </wp:positionH>
            <wp:positionV relativeFrom="paragraph">
              <wp:posOffset>17145</wp:posOffset>
            </wp:positionV>
            <wp:extent cx="3599180" cy="63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599180" cy="6350"/>
                    </a:xfrm>
                    <a:prstGeom prst="rect">
                      <a:avLst/>
                    </a:prstGeom>
                    <a:noFill/>
                  </pic:spPr>
                </pic:pic>
              </a:graphicData>
            </a:graphic>
          </wp:anchor>
        </w:drawing>
      </w:r>
    </w:p>
    <w:p>
      <w:pPr>
        <w:spacing w:after="0" w:line="8" w:lineRule="exact"/>
        <w:rPr>
          <w:sz w:val="20"/>
          <w:szCs w:val="20"/>
          <w:color w:val="auto"/>
        </w:rPr>
      </w:pPr>
    </w:p>
    <w:p>
      <w:pPr>
        <w:jc w:val="center"/>
        <w:ind w:left="5100"/>
        <w:spacing w:after="0"/>
        <w:rPr>
          <w:sz w:val="20"/>
          <w:szCs w:val="20"/>
          <w:color w:val="auto"/>
        </w:rPr>
      </w:pPr>
      <w:r>
        <w:rPr>
          <w:rFonts w:ascii="Arial" w:cs="Arial" w:eastAsia="Arial" w:hAnsi="Arial"/>
          <w:sz w:val="13"/>
          <w:szCs w:val="13"/>
          <w:color w:val="auto"/>
        </w:rPr>
        <w:t>Stephen G. Waldis</w:t>
      </w:r>
    </w:p>
    <w:p>
      <w:pPr>
        <w:spacing w:after="0" w:line="16" w:lineRule="exact"/>
        <w:rPr>
          <w:sz w:val="20"/>
          <w:szCs w:val="20"/>
          <w:color w:val="auto"/>
        </w:rPr>
      </w:pPr>
    </w:p>
    <w:p>
      <w:pPr>
        <w:jc w:val="center"/>
        <w:ind w:left="5100"/>
        <w:spacing w:after="0"/>
        <w:rPr>
          <w:sz w:val="20"/>
          <w:szCs w:val="20"/>
          <w:color w:val="auto"/>
        </w:rPr>
      </w:pPr>
      <w:r>
        <w:rPr>
          <w:rFonts w:ascii="Arial" w:cs="Arial" w:eastAsia="Arial" w:hAnsi="Arial"/>
          <w:sz w:val="13"/>
          <w:szCs w:val="13"/>
          <w:i w:val="1"/>
          <w:iCs w:val="1"/>
          <w:color w:val="auto"/>
        </w:rPr>
        <w:t>Chairman of the Board, Chief Executive Officer</w:t>
      </w:r>
    </w:p>
    <w:p>
      <w:pPr>
        <w:spacing w:after="0" w:line="9" w:lineRule="exact"/>
        <w:rPr>
          <w:sz w:val="20"/>
          <w:szCs w:val="20"/>
          <w:color w:val="auto"/>
        </w:rPr>
      </w:pPr>
    </w:p>
    <w:p>
      <w:pPr>
        <w:jc w:val="center"/>
        <w:ind w:left="5100"/>
        <w:spacing w:after="0"/>
        <w:rPr>
          <w:sz w:val="20"/>
          <w:szCs w:val="20"/>
          <w:color w:val="auto"/>
        </w:rPr>
      </w:pPr>
      <w:r>
        <w:rPr>
          <w:rFonts w:ascii="Arial" w:cs="Arial" w:eastAsia="Arial" w:hAnsi="Arial"/>
          <w:sz w:val="13"/>
          <w:szCs w:val="13"/>
          <w:i w:val="1"/>
          <w:iCs w:val="1"/>
          <w:color w:val="auto"/>
        </w:rPr>
        <w:t>and President</w:t>
      </w:r>
    </w:p>
    <w:p>
      <w:pPr>
        <w:spacing w:after="0" w:line="17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March 9, 2010</w:t>
      </w:r>
    </w:p>
    <w:p>
      <w:pPr>
        <w:spacing w:after="0" w:line="252" w:lineRule="exact"/>
        <w:rPr>
          <w:sz w:val="20"/>
          <w:szCs w:val="20"/>
          <w:color w:val="auto"/>
        </w:rPr>
      </w:pPr>
    </w:p>
    <w:p>
      <w:pPr>
        <w:jc w:val="center"/>
        <w:ind w:right="-759"/>
        <w:spacing w:after="0"/>
        <w:rPr>
          <w:sz w:val="20"/>
          <w:szCs w:val="20"/>
          <w:color w:val="auto"/>
        </w:rPr>
      </w:pPr>
      <w:r>
        <w:rPr>
          <w:rFonts w:ascii="Arial" w:cs="Arial" w:eastAsia="Arial" w:hAnsi="Arial"/>
          <w:sz w:val="13"/>
          <w:szCs w:val="13"/>
          <w:b w:val="1"/>
          <w:bCs w:val="1"/>
          <w:color w:val="auto"/>
        </w:rPr>
        <w:t>POWER OF ATTORNEY</w:t>
      </w:r>
    </w:p>
    <w:p>
      <w:pPr>
        <w:spacing w:after="0" w:line="102" w:lineRule="exact"/>
        <w:rPr>
          <w:sz w:val="20"/>
          <w:szCs w:val="20"/>
          <w:color w:val="auto"/>
        </w:rPr>
      </w:pPr>
    </w:p>
    <w:p>
      <w:pPr>
        <w:ind w:left="680" w:right="180" w:firstLine="399"/>
        <w:spacing w:after="0" w:line="262" w:lineRule="auto"/>
        <w:rPr>
          <w:sz w:val="20"/>
          <w:szCs w:val="20"/>
          <w:color w:val="auto"/>
        </w:rPr>
      </w:pPr>
      <w:r>
        <w:rPr>
          <w:rFonts w:ascii="Arial" w:cs="Arial" w:eastAsia="Arial" w:hAnsi="Arial"/>
          <w:sz w:val="13"/>
          <w:szCs w:val="13"/>
          <w:color w:val="auto"/>
        </w:rPr>
        <w:t>KNOW ALL PERSONS BY THESE PRESENTS, that each person whose signature appears below constitutes and appoints Ronald J. Prague or Lawrence R. Irving, or either of them, each with the power of substitution, their attorney-in-fact, to sign any amendments to this Form 10-K (including post-effective amendments),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69" w:lineRule="exact"/>
        <w:rPr>
          <w:sz w:val="20"/>
          <w:szCs w:val="20"/>
          <w:color w:val="auto"/>
        </w:rPr>
      </w:pPr>
    </w:p>
    <w:p>
      <w:pPr>
        <w:ind w:left="680" w:firstLine="399"/>
        <w:spacing w:after="0" w:line="279"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0" w:lineRule="exact"/>
        <w:rPr>
          <w:sz w:val="20"/>
          <w:szCs w:val="20"/>
          <w:color w:val="auto"/>
        </w:rPr>
      </w:pPr>
    </w:p>
    <w:p>
      <w:pPr>
        <w:ind w:left="2720"/>
        <w:spacing w:after="0"/>
        <w:tabs>
          <w:tab w:leader="none" w:pos="7040" w:val="left"/>
          <w:tab w:leader="none" w:pos="10000" w:val="left"/>
        </w:tabs>
        <w:rPr>
          <w:sz w:val="20"/>
          <w:szCs w:val="20"/>
          <w:color w:val="auto"/>
        </w:rPr>
      </w:pPr>
      <w:r>
        <w:rPr>
          <w:rFonts w:ascii="Arial" w:cs="Arial" w:eastAsia="Arial" w:hAnsi="Arial"/>
          <w:sz w:val="11"/>
          <w:szCs w:val="11"/>
          <w:b w:val="1"/>
          <w:bCs w:val="1"/>
          <w:u w:val="single" w:color="auto"/>
          <w:color w:val="auto"/>
        </w:rPr>
        <w:t>S</w:t>
      </w:r>
      <w:r>
        <w:rPr>
          <w:rFonts w:ascii="Arial" w:cs="Arial" w:eastAsia="Arial" w:hAnsi="Arial"/>
          <w:sz w:val="11"/>
          <w:szCs w:val="11"/>
          <w:b w:val="1"/>
          <w:bCs w:val="1"/>
          <w:color w:val="auto"/>
        </w:rPr>
        <w:t>ignature</w:t>
      </w:r>
      <w:r>
        <w:rPr>
          <w:sz w:val="20"/>
          <w:szCs w:val="20"/>
          <w:color w:val="auto"/>
        </w:rPr>
        <w:tab/>
      </w:r>
      <w:r>
        <w:rPr>
          <w:rFonts w:ascii="Arial" w:cs="Arial" w:eastAsia="Arial" w:hAnsi="Arial"/>
          <w:sz w:val="11"/>
          <w:szCs w:val="11"/>
          <w:b w:val="1"/>
          <w:bCs w:val="1"/>
          <w:u w:val="single" w:color="auto"/>
          <w:color w:val="auto"/>
        </w:rPr>
        <w:t>T</w:t>
      </w:r>
      <w:r>
        <w:rPr>
          <w:rFonts w:ascii="Arial" w:cs="Arial" w:eastAsia="Arial" w:hAnsi="Arial"/>
          <w:sz w:val="11"/>
          <w:szCs w:val="11"/>
          <w:b w:val="1"/>
          <w:bCs w:val="1"/>
          <w:color w:val="auto"/>
        </w:rPr>
        <w:t>itle</w:t>
      </w:r>
      <w:r>
        <w:rPr>
          <w:sz w:val="20"/>
          <w:szCs w:val="20"/>
          <w:color w:val="auto"/>
        </w:rPr>
        <w:tab/>
      </w:r>
      <w:r>
        <w:rPr>
          <w:rFonts w:ascii="Arial" w:cs="Arial" w:eastAsia="Arial" w:hAnsi="Arial"/>
          <w:sz w:val="9"/>
          <w:szCs w:val="9"/>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5715</wp:posOffset>
            </wp:positionV>
            <wp:extent cx="6350" cy="63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07" w:lineRule="exact"/>
        <w:rPr>
          <w:sz w:val="20"/>
          <w:szCs w:val="20"/>
          <w:color w:val="auto"/>
        </w:rPr>
      </w:pPr>
    </w:p>
    <w:tbl>
      <w:tblPr>
        <w:tblLayout w:type="fixed"/>
        <w:tblInd w:w="680" w:type="dxa"/>
        <w:tblCellMar>
          <w:top w:w="0" w:type="dxa"/>
          <w:left w:w="0" w:type="dxa"/>
          <w:bottom w:w="0" w:type="dxa"/>
          <w:right w:w="0" w:type="dxa"/>
        </w:tblCellMar>
      </w:tblPr>
      <w:tr>
        <w:trPr>
          <w:trHeight w:val="166"/>
        </w:trPr>
        <w:tc>
          <w:tcPr>
            <w:tcW w:w="4120" w:type="dxa"/>
            <w:vAlign w:val="bottom"/>
            <w:gridSpan w:val="2"/>
          </w:tcPr>
          <w:p>
            <w:pPr>
              <w:spacing w:after="0"/>
              <w:rPr>
                <w:sz w:val="20"/>
                <w:szCs w:val="20"/>
                <w:color w:val="auto"/>
              </w:rPr>
            </w:pPr>
            <w:r>
              <w:rPr>
                <w:rFonts w:ascii="Arial" w:cs="Arial" w:eastAsia="Arial" w:hAnsi="Arial"/>
                <w:sz w:val="13"/>
                <w:szCs w:val="13"/>
                <w:color w:val="auto"/>
              </w:rPr>
              <w:t>/s/ Stephen G. Waldis</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4"/>
              </w:rPr>
              <w:t>Chief Executive Officer and Director (Principal Executive Officer)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Stephen G. Waldis</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Lawrence R. Irving</w:t>
            </w:r>
          </w:p>
        </w:tc>
        <w:tc>
          <w:tcPr>
            <w:tcW w:w="4440" w:type="dxa"/>
            <w:vAlign w:val="bottom"/>
          </w:tcPr>
          <w:p>
            <w:pPr>
              <w:jc w:val="center"/>
              <w:ind w:left="34"/>
              <w:spacing w:after="0"/>
              <w:rPr>
                <w:sz w:val="20"/>
                <w:szCs w:val="20"/>
                <w:color w:val="auto"/>
              </w:rPr>
            </w:pPr>
            <w:r>
              <w:rPr>
                <w:rFonts w:ascii="Arial" w:cs="Arial" w:eastAsia="Arial" w:hAnsi="Arial"/>
                <w:sz w:val="13"/>
                <w:szCs w:val="13"/>
                <w:color w:val="auto"/>
                <w:w w:val="95"/>
              </w:rPr>
              <w:t>Chief Financial Officer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7"/>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Lawrence R. Irving</w:t>
            </w:r>
          </w:p>
        </w:tc>
        <w:tc>
          <w:tcPr>
            <w:tcW w:w="4440" w:type="dxa"/>
            <w:vAlign w:val="bottom"/>
          </w:tcPr>
          <w:p>
            <w:pPr>
              <w:jc w:val="center"/>
              <w:ind w:left="54"/>
              <w:spacing w:after="0" w:line="146" w:lineRule="exact"/>
              <w:rPr>
                <w:sz w:val="20"/>
                <w:szCs w:val="20"/>
                <w:color w:val="auto"/>
              </w:rPr>
            </w:pPr>
            <w:r>
              <w:rPr>
                <w:rFonts w:ascii="Arial" w:cs="Arial" w:eastAsia="Arial" w:hAnsi="Arial"/>
                <w:sz w:val="13"/>
                <w:szCs w:val="13"/>
                <w:color w:val="auto"/>
                <w:w w:val="94"/>
              </w:rPr>
              <w:t>(Principal Financial and Accounting Officer)</w:t>
            </w: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William J. Cadogan</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William J. Cadogan</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Charles E. Hoffman</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Charles E. Hoffman</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Thomas J. Hopkins</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Thomas J. Hopkins</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James M. McCormick</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James M. McCormick</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8"/>
        </w:trPr>
        <w:tc>
          <w:tcPr>
            <w:tcW w:w="4120" w:type="dxa"/>
            <w:vAlign w:val="bottom"/>
            <w:gridSpan w:val="2"/>
          </w:tcPr>
          <w:p>
            <w:pPr>
              <w:spacing w:after="0"/>
              <w:rPr>
                <w:sz w:val="20"/>
                <w:szCs w:val="20"/>
                <w:color w:val="auto"/>
              </w:rPr>
            </w:pPr>
            <w:r>
              <w:rPr>
                <w:rFonts w:ascii="Arial" w:cs="Arial" w:eastAsia="Arial" w:hAnsi="Arial"/>
                <w:sz w:val="13"/>
                <w:szCs w:val="13"/>
                <w:color w:val="auto"/>
              </w:rPr>
              <w:t>/s/ Donnie M. Moore</w:t>
            </w:r>
          </w:p>
        </w:tc>
        <w:tc>
          <w:tcPr>
            <w:tcW w:w="4440" w:type="dxa"/>
            <w:vAlign w:val="bottom"/>
          </w:tcPr>
          <w:p>
            <w:pPr>
              <w:jc w:val="center"/>
              <w:ind w:left="54"/>
              <w:spacing w:after="0"/>
              <w:rPr>
                <w:sz w:val="20"/>
                <w:szCs w:val="20"/>
                <w:color w:val="auto"/>
              </w:rPr>
            </w:pPr>
            <w:r>
              <w:rPr>
                <w:rFonts w:ascii="Arial" w:cs="Arial" w:eastAsia="Arial" w:hAnsi="Arial"/>
                <w:sz w:val="13"/>
                <w:szCs w:val="13"/>
                <w:color w:val="auto"/>
                <w:w w:val="96"/>
              </w:rPr>
              <w:t>Director</w:t>
            </w:r>
          </w:p>
        </w:tc>
        <w:tc>
          <w:tcPr>
            <w:tcW w:w="1160" w:type="dxa"/>
            <w:vAlign w:val="bottom"/>
          </w:tcPr>
          <w:p>
            <w:pPr>
              <w:ind w:left="400"/>
              <w:spacing w:after="0"/>
              <w:rPr>
                <w:sz w:val="20"/>
                <w:szCs w:val="20"/>
                <w:color w:val="auto"/>
              </w:rPr>
            </w:pPr>
            <w:r>
              <w:rPr>
                <w:rFonts w:ascii="Arial" w:cs="Arial" w:eastAsia="Arial" w:hAnsi="Arial"/>
                <w:sz w:val="13"/>
                <w:szCs w:val="13"/>
                <w:color w:val="auto"/>
                <w:w w:val="88"/>
              </w:rPr>
              <w:t>March 9, 2010</w:t>
            </w:r>
          </w:p>
        </w:tc>
      </w:tr>
      <w:tr>
        <w:trPr>
          <w:trHeight w:val="156"/>
        </w:trPr>
        <w:tc>
          <w:tcPr>
            <w:tcW w:w="20" w:type="dxa"/>
            <w:vAlign w:val="bottom"/>
          </w:tcPr>
          <w:p>
            <w:pPr>
              <w:spacing w:after="0"/>
              <w:rPr>
                <w:sz w:val="13"/>
                <w:szCs w:val="13"/>
                <w:color w:val="auto"/>
              </w:rPr>
            </w:pPr>
          </w:p>
        </w:tc>
        <w:tc>
          <w:tcPr>
            <w:tcW w:w="410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Donnie M. Moore</w:t>
            </w:r>
          </w:p>
        </w:tc>
        <w:tc>
          <w:tcPr>
            <w:tcW w:w="44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43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440" w:type="dxa"/>
            <w:vAlign w:val="bottom"/>
          </w:tcPr>
          <w:p>
            <w:pPr>
              <w:jc w:val="right"/>
              <w:ind w:right="3434"/>
              <w:spacing w:after="0"/>
              <w:rPr>
                <w:sz w:val="20"/>
                <w:szCs w:val="20"/>
                <w:color w:val="auto"/>
              </w:rPr>
            </w:pPr>
            <w:r>
              <w:rPr>
                <w:rFonts w:ascii="Arial" w:cs="Arial" w:eastAsia="Arial" w:hAnsi="Arial"/>
                <w:sz w:val="13"/>
                <w:szCs w:val="13"/>
                <w:color w:val="auto"/>
              </w:rPr>
              <w:t>71</w:t>
            </w:r>
          </w:p>
        </w:tc>
        <w:tc>
          <w:tcPr>
            <w:tcW w:w="1160" w:type="dxa"/>
            <w:vAlign w:val="bottom"/>
          </w:tcPr>
          <w:p>
            <w:pPr>
              <w:spacing w:after="0"/>
              <w:rPr>
                <w:sz w:val="24"/>
                <w:szCs w:val="24"/>
                <w:color w:val="auto"/>
              </w:rPr>
            </w:pPr>
          </w:p>
        </w:tc>
      </w:tr>
    </w:tbl>
    <w:p>
      <w:pPr>
        <w:sectPr>
          <w:pgSz w:w="11900" w:h="16838" w:orient="portrait"/>
          <w:cols w:equalWidth="0" w:num="1">
            <w:col w:w="10600"/>
          </w:cols>
          <w:pgMar w:left="220" w:top="345" w:right="1079" w:bottom="1440" w:gutter="0" w:footer="0" w:header="0"/>
        </w:sectPr>
      </w:pPr>
    </w:p>
    <w:bookmarkStart w:id="72" w:name="page73"/>
    <w:bookmarkEnd w:id="72"/>
    <w:p>
      <w:pPr>
        <w:jc w:val="right"/>
        <w:spacing w:after="0"/>
        <w:rPr>
          <w:sz w:val="20"/>
          <w:szCs w:val="20"/>
          <w:color w:val="auto"/>
        </w:rPr>
      </w:pPr>
      <w:r>
        <w:rPr>
          <w:rFonts w:ascii="Arial" w:cs="Arial" w:eastAsia="Arial" w:hAnsi="Arial"/>
          <w:sz w:val="13"/>
          <w:szCs w:val="13"/>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Consent of Independent Registered Public Accounting Firm</w:t>
      </w:r>
    </w:p>
    <w:p>
      <w:pPr>
        <w:spacing w:after="0" w:line="88" w:lineRule="exact"/>
        <w:rPr>
          <w:sz w:val="20"/>
          <w:szCs w:val="20"/>
          <w:color w:val="auto"/>
        </w:rPr>
      </w:pPr>
    </w:p>
    <w:p>
      <w:pPr>
        <w:ind w:right="220"/>
        <w:spacing w:after="0" w:line="266" w:lineRule="auto"/>
        <w:rPr>
          <w:sz w:val="20"/>
          <w:szCs w:val="20"/>
          <w:color w:val="auto"/>
        </w:rPr>
      </w:pPr>
      <w:r>
        <w:rPr>
          <w:rFonts w:ascii="Arial" w:cs="Arial" w:eastAsia="Arial" w:hAnsi="Arial"/>
          <w:sz w:val="13"/>
          <w:szCs w:val="13"/>
          <w:color w:val="auto"/>
        </w:rPr>
        <w:t>We consent to the incorporation by reference in the Registration Statement (Form S-8 No. 333-136088) pertaining to the 2006 Equity Incentive Plan of Synchronoss Technologies, Inc. of our reports dated March 9, 2010, with respect to the consolidated financial statements and schedule of Synchronoss Technologies, Inc., and the effectiveness of internal control over financial reporting of Synchronoss Technologies, Inc. incorporated by reference in this Annual Report (Form 10-K) for the year ended December 31, 2009.</w:t>
      </w:r>
    </w:p>
    <w:p>
      <w:pPr>
        <w:spacing w:after="0" w:line="324" w:lineRule="exact"/>
        <w:rPr>
          <w:sz w:val="20"/>
          <w:szCs w:val="20"/>
          <w:color w:val="auto"/>
        </w:rPr>
      </w:pPr>
    </w:p>
    <w:p>
      <w:pPr>
        <w:ind w:left="1940"/>
        <w:spacing w:after="0"/>
        <w:rPr>
          <w:sz w:val="20"/>
          <w:szCs w:val="20"/>
          <w:color w:val="auto"/>
        </w:rPr>
      </w:pPr>
      <w:r>
        <w:rPr>
          <w:rFonts w:ascii="Arial" w:cs="Arial" w:eastAsia="Arial" w:hAnsi="Arial"/>
          <w:sz w:val="13"/>
          <w:szCs w:val="13"/>
          <w:color w:val="auto"/>
        </w:rPr>
        <w:t>/s/ Ernst &amp; Young LLP</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color w:val="auto"/>
        </w:rPr>
        <w:t>MetroPark, New Jersey</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March 9, 2010</w:t>
      </w:r>
    </w:p>
    <w:p>
      <w:pPr>
        <w:sectPr>
          <w:pgSz w:w="11900" w:h="16838" w:orient="portrait"/>
          <w:cols w:equalWidth="0" w:num="1">
            <w:col w:w="11460"/>
          </w:cols>
          <w:pgMar w:left="220" w:top="127" w:right="219" w:bottom="1440" w:gutter="0" w:footer="0" w:header="0"/>
        </w:sectPr>
      </w:pPr>
    </w:p>
    <w:bookmarkStart w:id="73" w:name="page74"/>
    <w:bookmarkEnd w:id="73"/>
    <w:p>
      <w:pPr>
        <w:jc w:val="right"/>
        <w:spacing w:after="0"/>
        <w:rPr>
          <w:sz w:val="20"/>
          <w:szCs w:val="20"/>
          <w:color w:val="auto"/>
        </w:rPr>
      </w:pPr>
      <w:r>
        <w:rPr>
          <w:rFonts w:ascii="Arial" w:cs="Arial" w:eastAsia="Arial" w:hAnsi="Arial"/>
          <w:sz w:val="13"/>
          <w:szCs w:val="13"/>
          <w:b w:val="1"/>
          <w:bCs w:val="1"/>
          <w:color w:val="auto"/>
        </w:rPr>
        <w:t>Exhibit 31.1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81" w:lineRule="exact"/>
        <w:rPr>
          <w:sz w:val="20"/>
          <w:szCs w:val="20"/>
          <w:color w:val="auto"/>
        </w:rPr>
      </w:pPr>
    </w:p>
    <w:p>
      <w:pPr>
        <w:ind w:left="1"/>
        <w:spacing w:after="0"/>
        <w:rPr>
          <w:sz w:val="20"/>
          <w:szCs w:val="20"/>
          <w:color w:val="auto"/>
        </w:rPr>
      </w:pPr>
      <w:r>
        <w:rPr>
          <w:rFonts w:ascii="Arial" w:cs="Arial" w:eastAsia="Arial" w:hAnsi="Arial"/>
          <w:sz w:val="13"/>
          <w:szCs w:val="13"/>
          <w:color w:val="auto"/>
        </w:rPr>
        <w:t>I, Stephen G. Waldis, certify that:</w:t>
      </w:r>
    </w:p>
    <w:p>
      <w:pPr>
        <w:spacing w:after="0" w:line="88" w:lineRule="exact"/>
        <w:rPr>
          <w:sz w:val="20"/>
          <w:szCs w:val="20"/>
          <w:color w:val="auto"/>
        </w:rPr>
      </w:pPr>
    </w:p>
    <w:p>
      <w:pPr>
        <w:ind w:left="141" w:hanging="141"/>
        <w:spacing w:after="0"/>
        <w:tabs>
          <w:tab w:leader="none" w:pos="141" w:val="left"/>
        </w:tabs>
        <w:numPr>
          <w:ilvl w:val="0"/>
          <w:numId w:val="39"/>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 for the year ended December 31, 2009;</w:t>
      </w:r>
    </w:p>
    <w:p>
      <w:pPr>
        <w:spacing w:after="0" w:line="87" w:lineRule="exact"/>
        <w:rPr>
          <w:rFonts w:ascii="Arial" w:cs="Arial" w:eastAsia="Arial" w:hAnsi="Arial"/>
          <w:sz w:val="13"/>
          <w:szCs w:val="13"/>
          <w:color w:val="auto"/>
        </w:rPr>
      </w:pPr>
    </w:p>
    <w:p>
      <w:pPr>
        <w:ind w:left="1" w:right="240" w:hanging="1"/>
        <w:spacing w:after="0" w:line="279" w:lineRule="auto"/>
        <w:tabs>
          <w:tab w:leader="none" w:pos="1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3"/>
          <w:szCs w:val="13"/>
          <w:color w:val="auto"/>
        </w:rPr>
      </w:pPr>
    </w:p>
    <w:p>
      <w:pPr>
        <w:ind w:left="1" w:right="320" w:hanging="1"/>
        <w:spacing w:after="0" w:line="279" w:lineRule="auto"/>
        <w:tabs>
          <w:tab w:leader="none" w:pos="1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3"/>
          <w:szCs w:val="13"/>
          <w:color w:val="auto"/>
        </w:rPr>
      </w:pPr>
    </w:p>
    <w:p>
      <w:pPr>
        <w:ind w:left="1" w:hanging="1"/>
        <w:spacing w:after="0" w:line="279" w:lineRule="auto"/>
        <w:tabs>
          <w:tab w:leader="none" w:pos="132"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sz w:val="20"/>
          <w:szCs w:val="20"/>
          <w:color w:val="auto"/>
        </w:rPr>
      </w:pPr>
    </w:p>
    <w:p>
      <w:pPr>
        <w:ind w:left="1" w:right="60" w:hanging="1"/>
        <w:spacing w:after="0" w:line="279" w:lineRule="auto"/>
        <w:tabs>
          <w:tab w:leader="none" w:pos="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7" w:lineRule="exact"/>
        <w:rPr>
          <w:rFonts w:ascii="Arial" w:cs="Arial" w:eastAsia="Arial" w:hAnsi="Arial"/>
          <w:sz w:val="13"/>
          <w:szCs w:val="13"/>
          <w:color w:val="auto"/>
        </w:rPr>
      </w:pPr>
    </w:p>
    <w:p>
      <w:pPr>
        <w:ind w:left="1" w:right="280" w:hanging="1"/>
        <w:spacing w:after="0" w:line="279" w:lineRule="auto"/>
        <w:tabs>
          <w:tab w:leader="none" w:pos="187" w:val="left"/>
        </w:tabs>
        <w:numPr>
          <w:ilvl w:val="0"/>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7" w:lineRule="exact"/>
        <w:rPr>
          <w:rFonts w:ascii="Arial" w:cs="Arial" w:eastAsia="Arial" w:hAnsi="Arial"/>
          <w:sz w:val="13"/>
          <w:szCs w:val="13"/>
          <w:color w:val="auto"/>
        </w:rPr>
      </w:pPr>
    </w:p>
    <w:p>
      <w:pPr>
        <w:ind w:left="1" w:right="200" w:hanging="1"/>
        <w:spacing w:after="0" w:line="279" w:lineRule="auto"/>
        <w:tabs>
          <w:tab w:leader="none" w:pos="1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3"/>
          <w:szCs w:val="13"/>
          <w:color w:val="auto"/>
        </w:rPr>
      </w:pPr>
    </w:p>
    <w:p>
      <w:pPr>
        <w:ind w:left="1" w:right="240" w:hanging="1"/>
        <w:spacing w:after="0" w:line="279" w:lineRule="auto"/>
        <w:tabs>
          <w:tab w:leader="none" w:pos="187" w:val="left"/>
        </w:tabs>
        <w:numPr>
          <w:ilvl w:val="0"/>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left="1" w:right="240" w:hanging="1"/>
        <w:spacing w:after="0" w:line="279" w:lineRule="auto"/>
        <w:tabs>
          <w:tab w:leader="none" w:pos="132"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sz w:val="20"/>
          <w:szCs w:val="20"/>
          <w:color w:val="auto"/>
        </w:rPr>
      </w:pPr>
    </w:p>
    <w:p>
      <w:pPr>
        <w:ind w:left="1" w:right="220" w:hanging="1"/>
        <w:spacing w:after="0" w:line="279" w:lineRule="auto"/>
        <w:tabs>
          <w:tab w:leader="none" w:pos="173" w:val="left"/>
        </w:tabs>
        <w:numPr>
          <w:ilvl w:val="0"/>
          <w:numId w:val="4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3"/>
          <w:szCs w:val="13"/>
          <w:color w:val="auto"/>
        </w:rPr>
      </w:pPr>
    </w:p>
    <w:p>
      <w:pPr>
        <w:ind w:left="181" w:hanging="181"/>
        <w:spacing w:after="0"/>
        <w:tabs>
          <w:tab w:leader="none" w:pos="181" w:val="left"/>
        </w:tabs>
        <w:numPr>
          <w:ilvl w:val="0"/>
          <w:numId w:val="4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9, 2010</w:t>
      </w:r>
    </w:p>
    <w:p>
      <w:pPr>
        <w:spacing w:after="0" w:line="137" w:lineRule="exact"/>
        <w:rPr>
          <w:sz w:val="20"/>
          <w:szCs w:val="20"/>
          <w:color w:val="auto"/>
        </w:rPr>
      </w:pPr>
    </w:p>
    <w:p>
      <w:pPr>
        <w:ind w:left="1"/>
        <w:spacing w:after="0"/>
        <w:rPr>
          <w:sz w:val="20"/>
          <w:szCs w:val="20"/>
          <w:color w:val="auto"/>
        </w:rPr>
      </w:pPr>
      <w:r>
        <w:rPr>
          <w:rFonts w:ascii="Arial" w:cs="Arial" w:eastAsia="Arial" w:hAnsi="Arial"/>
          <w:sz w:val="13"/>
          <w:szCs w:val="13"/>
          <w:color w:val="auto"/>
        </w:rPr>
        <w:t>/s/ Stephen G. Waldis</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Chief Executive Officer and President</w:t>
      </w:r>
    </w:p>
    <w:p>
      <w:pPr>
        <w:sectPr>
          <w:pgSz w:w="11900" w:h="16838" w:orient="portrait"/>
          <w:cols w:equalWidth="0" w:num="1">
            <w:col w:w="11461"/>
          </w:cols>
          <w:pgMar w:left="219" w:top="127" w:right="219" w:bottom="1440" w:gutter="0" w:footer="0" w:header="0"/>
        </w:sectPr>
      </w:pPr>
    </w:p>
    <w:bookmarkStart w:id="74" w:name="page75"/>
    <w:bookmarkEnd w:id="74"/>
    <w:p>
      <w:pPr>
        <w:jc w:val="right"/>
        <w:spacing w:after="0"/>
        <w:rPr>
          <w:sz w:val="20"/>
          <w:szCs w:val="20"/>
          <w:color w:val="auto"/>
        </w:rPr>
      </w:pPr>
      <w:r>
        <w:rPr>
          <w:rFonts w:ascii="Arial" w:cs="Arial" w:eastAsia="Arial" w:hAnsi="Arial"/>
          <w:sz w:val="13"/>
          <w:szCs w:val="13"/>
          <w:b w:val="1"/>
          <w:bCs w:val="1"/>
          <w:color w:val="auto"/>
        </w:rPr>
        <w:t>Exhibit 31.2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Lawrence R. Irving, certify that:</w:t>
      </w:r>
    </w:p>
    <w:p>
      <w:pPr>
        <w:spacing w:after="0" w:line="9" w:lineRule="exact"/>
        <w:rPr>
          <w:sz w:val="20"/>
          <w:szCs w:val="20"/>
          <w:color w:val="auto"/>
        </w:rPr>
      </w:pPr>
    </w:p>
    <w:p>
      <w:pPr>
        <w:ind w:left="141" w:hanging="141"/>
        <w:spacing w:after="0"/>
        <w:tabs>
          <w:tab w:leader="none" w:pos="141" w:val="left"/>
        </w:tabs>
        <w:numPr>
          <w:ilvl w:val="0"/>
          <w:numId w:val="43"/>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Synchronoss Technologies, Inc. for the year ended December 31, 2009;</w:t>
      </w:r>
    </w:p>
    <w:p>
      <w:pPr>
        <w:spacing w:after="0" w:line="8" w:lineRule="exact"/>
        <w:rPr>
          <w:rFonts w:ascii="Arial" w:cs="Arial" w:eastAsia="Arial" w:hAnsi="Arial"/>
          <w:sz w:val="13"/>
          <w:szCs w:val="13"/>
          <w:color w:val="auto"/>
        </w:rPr>
      </w:pPr>
    </w:p>
    <w:p>
      <w:pPr>
        <w:ind w:left="1" w:right="240" w:hanging="1"/>
        <w:spacing w:after="0" w:line="253" w:lineRule="auto"/>
        <w:tabs>
          <w:tab w:leader="none" w:pos="1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3"/>
          <w:szCs w:val="13"/>
          <w:color w:val="auto"/>
        </w:rPr>
      </w:pPr>
    </w:p>
    <w:p>
      <w:pPr>
        <w:ind w:left="1" w:right="320" w:hanging="1"/>
        <w:spacing w:after="0" w:line="253" w:lineRule="auto"/>
        <w:tabs>
          <w:tab w:leader="none" w:pos="1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3"/>
          <w:szCs w:val="13"/>
          <w:color w:val="auto"/>
        </w:rPr>
      </w:pPr>
    </w:p>
    <w:p>
      <w:pPr>
        <w:ind w:left="1" w:hanging="1"/>
        <w:spacing w:after="0" w:line="253" w:lineRule="auto"/>
        <w:tabs>
          <w:tab w:leader="none" w:pos="1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3"/>
          <w:szCs w:val="13"/>
          <w:color w:val="auto"/>
        </w:rPr>
      </w:pPr>
    </w:p>
    <w:p>
      <w:pPr>
        <w:ind w:left="1" w:right="60"/>
        <w:spacing w:after="0" w:line="253" w:lineRule="auto"/>
        <w:rPr>
          <w:rFonts w:ascii="Arial" w:cs="Arial" w:eastAsia="Arial" w:hAnsi="Arial"/>
          <w:sz w:val="13"/>
          <w:szCs w:val="13"/>
          <w:color w:val="auto"/>
        </w:rPr>
      </w:pPr>
      <w:r>
        <w:rPr>
          <w:rFonts w:ascii="Arial" w:cs="Arial" w:eastAsia="Arial" w:hAnsi="Arial"/>
          <w:sz w:val="13"/>
          <w:szCs w:val="13"/>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3"/>
          <w:szCs w:val="13"/>
          <w:color w:val="auto"/>
        </w:rPr>
      </w:pPr>
    </w:p>
    <w:p>
      <w:pPr>
        <w:ind w:left="1" w:right="280"/>
        <w:spacing w:after="0" w:line="253" w:lineRule="auto"/>
        <w:rPr>
          <w:rFonts w:ascii="Arial" w:cs="Arial" w:eastAsia="Arial" w:hAnsi="Arial"/>
          <w:sz w:val="13"/>
          <w:szCs w:val="13"/>
          <w:color w:val="auto"/>
        </w:rPr>
      </w:pPr>
      <w:r>
        <w:rPr>
          <w:rFonts w:ascii="Arial" w:cs="Arial" w:eastAsia="Arial" w:hAnsi="Arial"/>
          <w:sz w:val="13"/>
          <w:szCs w:val="13"/>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3"/>
          <w:szCs w:val="13"/>
          <w:color w:val="auto"/>
        </w:rPr>
      </w:pPr>
    </w:p>
    <w:p>
      <w:pPr>
        <w:ind w:left="1" w:right="200"/>
        <w:spacing w:after="0" w:line="253" w:lineRule="auto"/>
        <w:rPr>
          <w:rFonts w:ascii="Arial" w:cs="Arial" w:eastAsia="Arial" w:hAnsi="Arial"/>
          <w:sz w:val="13"/>
          <w:szCs w:val="13"/>
          <w:color w:val="auto"/>
        </w:rPr>
      </w:pPr>
      <w:r>
        <w:rPr>
          <w:rFonts w:ascii="Arial" w:cs="Arial" w:eastAsia="Arial" w:hAnsi="Arial"/>
          <w:sz w:val="13"/>
          <w:szCs w:val="13"/>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3"/>
          <w:szCs w:val="13"/>
          <w:color w:val="auto"/>
        </w:rPr>
      </w:pPr>
    </w:p>
    <w:p>
      <w:pPr>
        <w:ind w:left="1" w:right="240"/>
        <w:spacing w:after="0" w:line="253" w:lineRule="auto"/>
        <w:rPr>
          <w:rFonts w:ascii="Arial" w:cs="Arial" w:eastAsia="Arial" w:hAnsi="Arial"/>
          <w:sz w:val="13"/>
          <w:szCs w:val="13"/>
          <w:color w:val="auto"/>
        </w:rPr>
      </w:pPr>
      <w:r>
        <w:rPr>
          <w:rFonts w:ascii="Arial" w:cs="Arial" w:eastAsia="Arial" w:hAnsi="Arial"/>
          <w:sz w:val="13"/>
          <w:szCs w:val="13"/>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3"/>
          <w:szCs w:val="13"/>
          <w:color w:val="auto"/>
        </w:rPr>
      </w:pPr>
    </w:p>
    <w:p>
      <w:pPr>
        <w:ind w:left="1" w:right="240" w:hanging="1"/>
        <w:spacing w:after="0" w:line="253" w:lineRule="auto"/>
        <w:tabs>
          <w:tab w:leader="none" w:pos="132"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3"/>
          <w:szCs w:val="13"/>
          <w:color w:val="auto"/>
        </w:rPr>
      </w:pPr>
    </w:p>
    <w:p>
      <w:pPr>
        <w:ind w:left="1" w:right="220"/>
        <w:spacing w:after="0" w:line="253" w:lineRule="auto"/>
        <w:rPr>
          <w:rFonts w:ascii="Arial" w:cs="Arial" w:eastAsia="Arial" w:hAnsi="Arial"/>
          <w:sz w:val="13"/>
          <w:szCs w:val="13"/>
          <w:color w:val="auto"/>
        </w:rPr>
      </w:pPr>
      <w:r>
        <w:rPr>
          <w:rFonts w:ascii="Arial" w:cs="Arial" w:eastAsia="Arial" w:hAnsi="Arial"/>
          <w:sz w:val="13"/>
          <w:szCs w:val="13"/>
          <w:color w:val="auto"/>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3"/>
          <w:szCs w:val="13"/>
          <w:color w:val="auto"/>
        </w:rPr>
      </w:pPr>
    </w:p>
    <w:p>
      <w:pPr>
        <w:ind w:left="1"/>
        <w:spacing w:after="0"/>
        <w:rPr>
          <w:rFonts w:ascii="Arial" w:cs="Arial" w:eastAsia="Arial" w:hAnsi="Arial"/>
          <w:sz w:val="13"/>
          <w:szCs w:val="13"/>
          <w:color w:val="auto"/>
        </w:rPr>
      </w:pPr>
      <w:r>
        <w:rPr>
          <w:rFonts w:ascii="Arial" w:cs="Arial" w:eastAsia="Arial" w:hAnsi="Arial"/>
          <w:sz w:val="13"/>
          <w:szCs w:val="13"/>
          <w:color w:val="auto"/>
        </w:rPr>
        <w:t>(b) Any fraud, whether or not material, that involves management or other employees who have a significant role in the registrant’s internal control over financial reporting.</w:t>
      </w:r>
    </w:p>
    <w:p>
      <w:pPr>
        <w:spacing w:after="0" w:line="268" w:lineRule="exact"/>
        <w:rPr>
          <w:sz w:val="20"/>
          <w:szCs w:val="20"/>
          <w:color w:val="auto"/>
        </w:rPr>
      </w:pPr>
    </w:p>
    <w:p>
      <w:pPr>
        <w:ind w:left="1"/>
        <w:spacing w:after="0"/>
        <w:rPr>
          <w:sz w:val="20"/>
          <w:szCs w:val="20"/>
          <w:color w:val="auto"/>
        </w:rPr>
      </w:pPr>
      <w:r>
        <w:rPr>
          <w:rFonts w:ascii="Arial" w:cs="Arial" w:eastAsia="Arial" w:hAnsi="Arial"/>
          <w:sz w:val="13"/>
          <w:szCs w:val="13"/>
          <w:color w:val="auto"/>
        </w:rPr>
        <w:t>Dated: March 9, 2010</w:t>
      </w:r>
    </w:p>
    <w:p>
      <w:pPr>
        <w:spacing w:after="0" w:line="137" w:lineRule="exact"/>
        <w:rPr>
          <w:sz w:val="20"/>
          <w:szCs w:val="20"/>
          <w:color w:val="auto"/>
        </w:rPr>
      </w:pPr>
    </w:p>
    <w:p>
      <w:pPr>
        <w:jc w:val="center"/>
        <w:ind w:right="10279"/>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39"/>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39"/>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61"/>
          </w:cols>
          <w:pgMar w:left="219" w:top="127"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3"/>
          <w:szCs w:val="13"/>
          <w:b w:val="1"/>
          <w:bCs w:val="1"/>
          <w:color w:val="auto"/>
        </w:rPr>
        <w:t>Exhibit 32.1</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20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2009 as filed with the Securities and Exchange Commission on the date hereof (the “Report”), I, Steve Waldis, Chief Executive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268" w:lineRule="exact"/>
        <w:rPr>
          <w:sz w:val="20"/>
          <w:szCs w:val="20"/>
          <w:color w:val="auto"/>
        </w:rPr>
      </w:pPr>
    </w:p>
    <w:p>
      <w:pPr>
        <w:jc w:val="center"/>
        <w:ind w:right="10320"/>
        <w:spacing w:after="0"/>
        <w:rPr>
          <w:sz w:val="20"/>
          <w:szCs w:val="20"/>
          <w:color w:val="auto"/>
        </w:rPr>
      </w:pPr>
      <w:r>
        <w:rPr>
          <w:rFonts w:ascii="Arial" w:cs="Arial" w:eastAsia="Arial" w:hAnsi="Arial"/>
          <w:sz w:val="11"/>
          <w:szCs w:val="11"/>
          <w:color w:val="auto"/>
        </w:rPr>
        <w:t>/s/ Stephen G. Waldis</w:t>
      </w:r>
    </w:p>
    <w:p>
      <w:pPr>
        <w:spacing w:after="0" w:line="39" w:lineRule="exact"/>
        <w:rPr>
          <w:sz w:val="20"/>
          <w:szCs w:val="20"/>
          <w:color w:val="auto"/>
        </w:rPr>
      </w:pPr>
    </w:p>
    <w:p>
      <w:pPr>
        <w:jc w:val="center"/>
        <w:ind w:right="10280"/>
        <w:spacing w:after="0"/>
        <w:rPr>
          <w:sz w:val="20"/>
          <w:szCs w:val="20"/>
          <w:color w:val="auto"/>
        </w:rPr>
      </w:pPr>
      <w:r>
        <w:rPr>
          <w:rFonts w:ascii="Arial" w:cs="Arial" w:eastAsia="Arial" w:hAnsi="Arial"/>
          <w:sz w:val="13"/>
          <w:szCs w:val="13"/>
          <w:color w:val="auto"/>
        </w:rPr>
        <w:t>Stephen G. Waldis</w:t>
      </w:r>
    </w:p>
    <w:p>
      <w:pPr>
        <w:spacing w:after="0" w:line="9" w:lineRule="exact"/>
        <w:rPr>
          <w:sz w:val="20"/>
          <w:szCs w:val="20"/>
          <w:color w:val="auto"/>
        </w:rPr>
      </w:pPr>
    </w:p>
    <w:p>
      <w:pPr>
        <w:jc w:val="center"/>
        <w:ind w:right="10200"/>
        <w:spacing w:after="0"/>
        <w:rPr>
          <w:sz w:val="20"/>
          <w:szCs w:val="20"/>
          <w:color w:val="auto"/>
        </w:rPr>
      </w:pPr>
      <w:r>
        <w:rPr>
          <w:rFonts w:ascii="Arial" w:cs="Arial" w:eastAsia="Arial" w:hAnsi="Arial"/>
          <w:sz w:val="12"/>
          <w:szCs w:val="12"/>
          <w:color w:val="auto"/>
        </w:rPr>
        <w:t>Chief Executive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9, 2010</w:t>
      </w:r>
    </w:p>
    <w:p>
      <w:pPr>
        <w:sectPr>
          <w:pgSz w:w="11900" w:h="16838" w:orient="portrait"/>
          <w:cols w:equalWidth="0" w:num="1">
            <w:col w:w="11460"/>
          </w:cols>
          <w:pgMar w:left="220" w:top="127"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3"/>
          <w:szCs w:val="13"/>
          <w:b w:val="1"/>
          <w:bCs w:val="1"/>
          <w:color w:val="auto"/>
        </w:rPr>
        <w:t>Exhibit 32.2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81" w:lineRule="exact"/>
        <w:rPr>
          <w:sz w:val="20"/>
          <w:szCs w:val="20"/>
          <w:color w:val="auto"/>
        </w:rPr>
      </w:pPr>
    </w:p>
    <w:p>
      <w:pPr>
        <w:ind w:right="160"/>
        <w:spacing w:after="0" w:line="281" w:lineRule="auto"/>
        <w:rPr>
          <w:sz w:val="20"/>
          <w:szCs w:val="20"/>
          <w:color w:val="auto"/>
        </w:rPr>
      </w:pPr>
      <w:r>
        <w:rPr>
          <w:rFonts w:ascii="Arial" w:cs="Arial" w:eastAsia="Arial" w:hAnsi="Arial"/>
          <w:sz w:val="12"/>
          <w:szCs w:val="12"/>
          <w:color w:val="auto"/>
        </w:rPr>
        <w:t>In connection with the Annual Report of Synchronoss Technologies, Inc. (the “Company”) on Form 10-K for the period ending December 31, 2009 as filed with the Securities and Exchange Commission on the date hereof (the “Report”), I, Lawrence Irving, Chief Financial Officer of the Company, certify, pursuant to 18 U.S.C. § 1350, as adopted pursuant to § 906 of the Sarbanes-Oxley Act of 2002, that:</w:t>
      </w:r>
    </w:p>
    <w:p>
      <w:pPr>
        <w:spacing w:after="0" w:line="1" w:lineRule="exact"/>
        <w:rPr>
          <w:sz w:val="20"/>
          <w:szCs w:val="20"/>
          <w:color w:val="auto"/>
        </w:rPr>
      </w:pPr>
    </w:p>
    <w:p>
      <w:pPr>
        <w:ind w:left="520" w:hanging="191"/>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 w:lineRule="exact"/>
        <w:rPr>
          <w:rFonts w:ascii="Arial" w:cs="Arial" w:eastAsia="Arial" w:hAnsi="Arial"/>
          <w:sz w:val="13"/>
          <w:szCs w:val="13"/>
          <w:color w:val="auto"/>
        </w:rPr>
      </w:pPr>
    </w:p>
    <w:p>
      <w:pPr>
        <w:ind w:left="520" w:hanging="191"/>
        <w:spacing w:after="0"/>
        <w:tabs>
          <w:tab w:leader="none" w:pos="52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268" w:lineRule="exact"/>
        <w:rPr>
          <w:sz w:val="20"/>
          <w:szCs w:val="20"/>
          <w:color w:val="auto"/>
        </w:rPr>
      </w:pPr>
    </w:p>
    <w:p>
      <w:pPr>
        <w:jc w:val="center"/>
        <w:ind w:right="10280"/>
        <w:spacing w:after="0"/>
        <w:rPr>
          <w:sz w:val="20"/>
          <w:szCs w:val="20"/>
          <w:color w:val="auto"/>
        </w:rPr>
      </w:pPr>
      <w:r>
        <w:rPr>
          <w:rFonts w:ascii="Arial" w:cs="Arial" w:eastAsia="Arial" w:hAnsi="Arial"/>
          <w:sz w:val="12"/>
          <w:szCs w:val="12"/>
          <w:color w:val="auto"/>
        </w:rPr>
        <w:t>/s/ Lawrence R. Irving</w:t>
      </w:r>
    </w:p>
    <w:p>
      <w:pPr>
        <w:spacing w:after="0" w:line="27" w:lineRule="exact"/>
        <w:rPr>
          <w:sz w:val="20"/>
          <w:szCs w:val="20"/>
          <w:color w:val="auto"/>
        </w:rPr>
      </w:pPr>
    </w:p>
    <w:p>
      <w:pPr>
        <w:jc w:val="center"/>
        <w:ind w:right="10240"/>
        <w:spacing w:after="0"/>
        <w:rPr>
          <w:sz w:val="20"/>
          <w:szCs w:val="20"/>
          <w:color w:val="auto"/>
        </w:rPr>
      </w:pPr>
      <w:r>
        <w:rPr>
          <w:rFonts w:ascii="Arial" w:cs="Arial" w:eastAsia="Arial" w:hAnsi="Arial"/>
          <w:sz w:val="13"/>
          <w:szCs w:val="13"/>
          <w:color w:val="auto"/>
        </w:rPr>
        <w:t>Lawrence R. Irving</w:t>
      </w:r>
    </w:p>
    <w:p>
      <w:pPr>
        <w:spacing w:after="0" w:line="9" w:lineRule="exact"/>
        <w:rPr>
          <w:sz w:val="20"/>
          <w:szCs w:val="20"/>
          <w:color w:val="auto"/>
        </w:rPr>
      </w:pPr>
    </w:p>
    <w:p>
      <w:pPr>
        <w:jc w:val="center"/>
        <w:ind w:right="10240"/>
        <w:spacing w:after="0"/>
        <w:rPr>
          <w:sz w:val="20"/>
          <w:szCs w:val="20"/>
          <w:color w:val="auto"/>
        </w:rPr>
      </w:pPr>
      <w:r>
        <w:rPr>
          <w:rFonts w:ascii="Arial" w:cs="Arial" w:eastAsia="Arial" w:hAnsi="Arial"/>
          <w:sz w:val="12"/>
          <w:szCs w:val="12"/>
          <w:color w:val="auto"/>
        </w:rPr>
        <w:t>Chief Financial Officer</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March 9, 2010</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o"/>
      <w:numFmt w:val="bullet"/>
      <w:start w:val="1"/>
    </w:lvl>
  </w:abstractNum>
  <w:abstractNum w:abstractNumId="2">
    <w:nsid w:val="75A2A8D4"/>
    <w:multiLevelType w:val="hybridMultilevel"/>
    <w:lvl w:ilvl="0">
      <w:lvlJc w:val="left"/>
      <w:lvlText w:val="•"/>
      <w:numFmt w:val="bullet"/>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
      <w:numFmt w:val="bullet"/>
      <w:start w:val="1"/>
    </w:lvl>
  </w:abstractNum>
  <w:abstractNum w:abstractNumId="5">
    <w:nsid w:val="4353D0CD"/>
    <w:multiLevelType w:val="hybridMultilevel"/>
    <w:lvl w:ilvl="0">
      <w:lvlJc w:val="left"/>
      <w:lvlText w:val="•"/>
      <w:numFmt w:val="bullet"/>
      <w:start w:val="1"/>
    </w:lvl>
  </w:abstractNum>
  <w:abstractNum w:abstractNumId="6">
    <w:nsid w:val="B03E0C6"/>
    <w:multiLevelType w:val="hybridMultilevel"/>
    <w:lvl w:ilvl="0">
      <w:lvlJc w:val="left"/>
      <w:lvlText w:val="•"/>
      <w:numFmt w:val="bullet"/>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
      <w:numFmt w:val="bullet"/>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2"/>
    </w:lvl>
  </w:abstractNum>
  <w:abstractNum w:abstractNumId="15">
    <w:nsid w:val="1E7FF521"/>
    <w:multiLevelType w:val="hybridMultilevel"/>
    <w:lvl w:ilvl="0">
      <w:lvlJc w:val="left"/>
      <w:lvlText w:val="•"/>
      <w:numFmt w:val="bullet"/>
      <w:start w:val="1"/>
    </w:lvl>
  </w:abstractNum>
  <w:abstractNum w:abstractNumId="16">
    <w:nsid w:val="7C3DBD3D"/>
    <w:multiLevelType w:val="hybridMultilevel"/>
    <w:lvl w:ilvl="0">
      <w:lvlJc w:val="left"/>
      <w:lvlText w:val="*"/>
      <w:numFmt w:val="bullet"/>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
      <w:numFmt w:val="bullet"/>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1."/>
      <w:numFmt w:val="decimal"/>
      <w:start w:val="1"/>
    </w:lvl>
  </w:abstractNum>
  <w:abstractNum w:abstractNumId="22">
    <w:nsid w:val="614FD4A1"/>
    <w:multiLevelType w:val="hybridMultilevel"/>
    <w:lvl w:ilvl="0">
      <w:lvlJc w:val="left"/>
      <w:lvlText w:val="%1."/>
      <w:numFmt w:val="decimal"/>
      <w:start w:val="2"/>
    </w:lvl>
  </w:abstractNum>
  <w:abstractNum w:abstractNumId="23">
    <w:nsid w:val="419AC241"/>
    <w:multiLevelType w:val="hybridMultilevel"/>
    <w:lvl w:ilvl="0">
      <w:lvlJc w:val="left"/>
      <w:lvlText w:val="%1."/>
      <w:numFmt w:val="decimal"/>
      <w:start w:val="3"/>
    </w:lvl>
  </w:abstractNum>
  <w:abstractNum w:abstractNumId="24">
    <w:nsid w:val="5577F8E1"/>
    <w:multiLevelType w:val="hybridMultilevel"/>
    <w:lvl w:ilvl="0">
      <w:lvlJc w:val="left"/>
      <w:lvlText w:val="%1."/>
      <w:numFmt w:val="decimal"/>
      <w:start w:val="4"/>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1)"/>
      <w:numFmt w:val="upperLetter"/>
      <w:start w:val="1"/>
    </w:lvl>
  </w:abstractNum>
  <w:abstractNum w:abstractNumId="27">
    <w:nsid w:val="3804823E"/>
    <w:multiLevelType w:val="hybridMultilevel"/>
    <w:lvl w:ilvl="0">
      <w:lvlJc w:val="left"/>
      <w:lvlText w:val="%1."/>
      <w:numFmt w:val="decimal"/>
      <w:start w:val="7"/>
    </w:lvl>
  </w:abstractNum>
  <w:abstractNum w:abstractNumId="28">
    <w:nsid w:val="77465F01"/>
    <w:multiLevelType w:val="hybridMultilevel"/>
    <w:lvl w:ilvl="0">
      <w:lvlJc w:val="left"/>
      <w:lvlText w:val="%1."/>
      <w:numFmt w:val="decimal"/>
      <w:start w:val="9"/>
    </w:lvl>
  </w:abstractNum>
  <w:abstractNum w:abstractNumId="29">
    <w:nsid w:val="7724C67E"/>
    <w:multiLevelType w:val="hybridMultilevel"/>
    <w:lvl w:ilvl="0">
      <w:lvlJc w:val="left"/>
      <w:lvlText w:val="%1."/>
      <w:numFmt w:val="decimal"/>
      <w:start w:val="10"/>
    </w:lvl>
  </w:abstractNum>
  <w:abstractNum w:abstractNumId="30">
    <w:nsid w:val="5C482A97"/>
    <w:multiLevelType w:val="hybridMultilevel"/>
    <w:lvl w:ilvl="0">
      <w:lvlJc w:val="left"/>
      <w:lvlText w:val="%1."/>
      <w:numFmt w:val="decimal"/>
      <w:start w:val="11"/>
    </w:lvl>
  </w:abstractNum>
  <w:abstractNum w:abstractNumId="31">
    <w:nsid w:val="2463B9EA"/>
    <w:multiLevelType w:val="hybridMultilevel"/>
    <w:lvl w:ilvl="0">
      <w:lvlJc w:val="left"/>
      <w:lvlText w:val="%1."/>
      <w:numFmt w:val="decimal"/>
      <w:start w:val="12"/>
    </w:lvl>
  </w:abstractNum>
  <w:abstractNum w:abstractNumId="32">
    <w:nsid w:val="5E884ADC"/>
    <w:multiLevelType w:val="hybridMultilevel"/>
    <w:lvl w:ilvl="0">
      <w:lvlJc w:val="left"/>
      <w:lvlText w:val="%1."/>
      <w:numFmt w:val="decimal"/>
      <w:start w:val="13"/>
    </w:lvl>
  </w:abstractNum>
  <w:abstractNum w:abstractNumId="33">
    <w:nsid w:val="51EAD36B"/>
    <w:multiLevelType w:val="hybridMultilevel"/>
    <w:lvl w:ilvl="0">
      <w:lvlJc w:val="left"/>
      <w:lvlText w:val="%1."/>
      <w:numFmt w:val="decimal"/>
      <w:start w:val="14"/>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
      <w:numFmt w:val="bullet"/>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lowerLetter"/>
      <w:start w:val="1"/>
    </w:lvl>
  </w:abstractNum>
  <w:abstractNum w:abstractNumId="40">
    <w:nsid w:val="2A487CB0"/>
    <w:multiLevelType w:val="hybridMultilevel"/>
    <w:lvl w:ilvl="0">
      <w:lvlJc w:val="left"/>
      <w:lvlText w:val="%1."/>
      <w:numFmt w:val="decimal"/>
      <w:start w:val="5"/>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2019-12-10T20:55:20Z</dcterms:created>
  <dcterms:modified xsi:type="dcterms:W3CDTF">2019-12-10T20:55:20Z</dcterms:modified>
</cp:coreProperties>
</file>