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Washington, D.C. 20549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2" w:type="dxa"/>
        <w:jc w:val="center"/>
        <w:tblInd w:w="0" w:type="dxa"/>
        <w:tblLayout w:type="fixed"/>
        <w:tblCellMar>
          <w:top w:w="28" w:type="dxa"/>
          <w:left w:w="28" w:type="dxa"/>
          <w:bottom w:w="28" w:type="dxa"/>
          <w:right w:w="28" w:type="dxa"/>
        </w:tblCellMar>
      </w:tblPr>
      <w:tblGrid>
        <w:gridCol w:w="124"/>
        <w:gridCol w:w="109"/>
        <w:gridCol w:w="109"/>
        <w:gridCol w:w="2758"/>
        <w:gridCol w:w="2758"/>
        <w:gridCol w:w="3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2" w:type="dxa"/>
        <w:jc w:val="center"/>
        <w:tblInd w:w="0" w:type="dxa"/>
        <w:tblLayout w:type="fixed"/>
        <w:tblCellMar>
          <w:top w:w="28" w:type="dxa"/>
          <w:left w:w="28" w:type="dxa"/>
          <w:bottom w:w="28" w:type="dxa"/>
          <w:right w:w="28" w:type="dxa"/>
        </w:tblCellMar>
      </w:tblPr>
      <w:tblGrid>
        <w:gridCol w:w="124"/>
        <w:gridCol w:w="109"/>
        <w:gridCol w:w="109"/>
        <w:gridCol w:w="2758"/>
        <w:gridCol w:w="2758"/>
        <w:gridCol w:w="3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 001-40574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SYNCHRONOSS TECHNOLOGIES,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380" w:type="dxa"/>
        <w:jc w:val="center"/>
        <w:tblInd w:w="0" w:type="dxa"/>
        <w:tblLayout w:type="fixed"/>
        <w:tblCellMar>
          <w:top w:w="28" w:type="dxa"/>
          <w:left w:w="28" w:type="dxa"/>
          <w:bottom w:w="28" w:type="dxa"/>
          <w:right w:w="28" w:type="dxa"/>
        </w:tblCellMar>
      </w:tblPr>
      <w:tblGrid>
        <w:gridCol w:w="1056"/>
        <w:gridCol w:w="931"/>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06-1594540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200 Crossing Boulevard, 8th Floor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Bridgewater, New Jersey</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08807</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(866) 620-3940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4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or a non-accelerated filer. See definition of “accelerated filer and large accelerated filer” in Rule 12b-2 of the Exchange Act. (Check one):</w:t>
      </w:r>
    </w:p>
    <w:tbl>
      <w:tblPr>
        <w:tblW w:w="5210"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709"/>
        <w:gridCol w:w="709"/>
        <w:gridCol w:w="712"/>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120" w:after="12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41" w:type="dxa"/>
        <w:jc w:val="left"/>
        <w:tblInd w:w="0" w:type="dxa"/>
        <w:tblLayout w:type="fixed"/>
        <w:tblCellMar>
          <w:top w:w="28" w:type="dxa"/>
          <w:left w:w="28" w:type="dxa"/>
          <w:bottom w:w="28" w:type="dxa"/>
          <w:right w:w="28" w:type="dxa"/>
        </w:tblCellMar>
      </w:tblPr>
      <w:tblGrid>
        <w:gridCol w:w="903"/>
        <w:gridCol w:w="795"/>
        <w:gridCol w:w="806"/>
        <w:gridCol w:w="109"/>
        <w:gridCol w:w="109"/>
        <w:gridCol w:w="109"/>
        <w:gridCol w:w="504"/>
        <w:gridCol w:w="504"/>
        <w:gridCol w:w="506"/>
        <w:gridCol w:w="109"/>
        <w:gridCol w:w="109"/>
        <w:gridCol w:w="109"/>
        <w:gridCol w:w="956"/>
        <w:gridCol w:w="956"/>
        <w:gridCol w:w="1357"/>
      </w:tblGrid>
      <w:tr>
        <w:trPr/>
        <w:tc>
          <w:tcPr>
            <w:tcW w:w="9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8.375% Senior Notes due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SNCRL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0"/>
        <w:jc w:val="both"/>
        <w:rPr/>
      </w:pPr>
      <w:r>
        <w:rPr>
          <w:rFonts w:ascii="Times New Roman;sans-serif" w:hAnsi="Times New Roman;sans-serif"/>
          <w:b w:val="false"/>
          <w:color w:val="000000"/>
          <w:sz w:val="18"/>
        </w:rPr>
        <w:t>As of May 5, 2025, there were 11,497,976 s</w:t>
      </w:r>
      <w:r>
        <w:rPr>
          <w:rFonts w:ascii="Times New Roman;sans-serif" w:hAnsi="Times New Roman;sans-serif"/>
          <w:b w:val="false"/>
          <w:color w:val="000000"/>
          <w:sz w:val="18"/>
          <w:shd w:fill="FFFFFF" w:val="clear"/>
        </w:rPr>
        <w:t xml:space="preserve">hares of common stock issued </w:t>
      </w:r>
      <w:r>
        <w:rPr>
          <w:rFonts w:ascii="Times New Roman;sans-serif" w:hAnsi="Times New Roman;sans-serif"/>
          <w:b w:val="false"/>
          <w:color w:val="000000"/>
          <w:sz w:val="18"/>
        </w:rPr>
        <w:t>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9060" w:type="dxa"/>
        <w:jc w:val="center"/>
        <w:tblInd w:w="0" w:type="dxa"/>
        <w:tblLayout w:type="fixed"/>
        <w:tblCellMar>
          <w:top w:w="28" w:type="dxa"/>
          <w:left w:w="28" w:type="dxa"/>
          <w:bottom w:w="28" w:type="dxa"/>
          <w:right w:w="28" w:type="dxa"/>
        </w:tblCellMar>
      </w:tblPr>
      <w:tblGrid>
        <w:gridCol w:w="299"/>
        <w:gridCol w:w="262"/>
        <w:gridCol w:w="264"/>
        <w:gridCol w:w="2454"/>
        <w:gridCol w:w="2454"/>
        <w:gridCol w:w="2457"/>
        <w:gridCol w:w="254"/>
        <w:gridCol w:w="254"/>
        <w:gridCol w:w="362"/>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No.</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0">
              <w:r>
                <w:rPr>
                  <w:rStyle w:val="InternetLink"/>
                  <w:rFonts w:ascii="Times New Roman;sans-serif" w:hAnsi="Times New Roman;sans-serif"/>
                  <w:b w:val="false"/>
                  <w:color w:val="0000FF"/>
                  <w:sz w:val="20"/>
                  <w:u w:val="single"/>
                </w:rPr>
                <w:t>PART I.</w:t>
              </w:r>
            </w:hyperlink>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0">
              <w:r>
                <w:rPr>
                  <w:rStyle w:val="InternetLink"/>
                  <w:rFonts w:ascii="Times New Roman;sans-serif" w:hAnsi="Times New Roman;sans-serif"/>
                  <w:b w:val="false"/>
                  <w:color w:val="0000FF"/>
                  <w:sz w:val="20"/>
                  <w:u w:val="single"/>
                </w:rPr>
                <w:t>FINANCIAL INFORMATION</w:t>
              </w:r>
            </w:hyperlink>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0eafb5afafca4d08962d9add0ea9042f_10">
              <w:r>
                <w:rPr>
                  <w:rStyle w:val="InternetLink"/>
                  <w:rFonts w:ascii="Times New Roman;sans-serif" w:hAnsi="Times New Roman;sans-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3">
              <w:r>
                <w:rPr>
                  <w:rStyle w:val="InternetLink"/>
                  <w:rFonts w:ascii="Times New Roman;sans-serif" w:hAnsi="Times New Roman;sans-serif"/>
                  <w:b w:val="false"/>
                  <w:color w:val="0000FF"/>
                  <w:sz w:val="20"/>
                  <w:u w:val="single"/>
                </w:rPr>
                <w:t>Item 1.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3">
              <w:r>
                <w:rPr>
                  <w:rStyle w:val="InternetLink"/>
                  <w:rFonts w:ascii="Times New Roman;sans-serif" w:hAnsi="Times New Roman;sans-serif"/>
                  <w:b w:val="false"/>
                  <w:color w:val="0000FF"/>
                  <w:sz w:val="20"/>
                  <w:u w:val="single"/>
                </w:rPr>
                <w:t>Condensed Consolidated Financial Statements and Notes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3">
              <w:r>
                <w:rPr>
                  <w:rStyle w:val="InternetLink"/>
                  <w:rFonts w:ascii="Times New Roman;sans-serif" w:hAnsi="Times New Roman;sans-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
              <w:r>
                <w:rPr>
                  <w:rStyle w:val="InternetLink"/>
                  <w:rFonts w:ascii="Times New Roman;sans-serif" w:hAnsi="Times New Roman;sans-serif"/>
                  <w:b w:val="false"/>
                  <w:color w:val="0000FF"/>
                  <w:sz w:val="20"/>
                  <w:u w:val="single"/>
                </w:rPr>
                <w:t>Condensed Consolidated Balance Sheets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6">
              <w:r>
                <w:rPr>
                  <w:rStyle w:val="InternetLink"/>
                  <w:rFonts w:ascii="Times New Roman;sans-serif" w:hAnsi="Times New Roman;sans-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9">
              <w:r>
                <w:rPr>
                  <w:rStyle w:val="InternetLink"/>
                  <w:rFonts w:ascii="Times New Roman;sans-serif" w:hAnsi="Times New Roman;sans-serif"/>
                  <w:b w:val="false"/>
                  <w:color w:val="0000FF"/>
                  <w:sz w:val="20"/>
                  <w:u w:val="single"/>
                </w:rPr>
                <w:t>Condensed Consolidated Statements of Operations (unaudited)</w:t>
              </w:r>
            </w:hyperlink>
            <w:r>
              <w:rPr>
                <w:color w:val="000000"/>
              </w:rPr>
              <w:t> </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9">
              <w:r>
                <w:rPr>
                  <w:rStyle w:val="InternetLink"/>
                  <w:rFonts w:ascii="Times New Roman;sans-serif" w:hAnsi="Times New Roman;sans-serif"/>
                  <w:b w:val="false"/>
                  <w:color w:val="0000FF"/>
                  <w:sz w:val="20"/>
                  <w:u w:val="single"/>
                </w:rPr>
                <w:t>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22">
              <w:r>
                <w:rPr>
                  <w:rStyle w:val="InternetLink"/>
                  <w:rFonts w:ascii="Times New Roman;sans-serif" w:hAnsi="Times New Roman;sans-serif"/>
                  <w:b w:val="false"/>
                  <w:color w:val="000080"/>
                  <w:sz w:val="20"/>
                  <w:u w:val="single"/>
                </w:rPr>
                <w:t xml:space="preserve">Condensed Consolidated Statements of Comprehensive </w:t>
              </w:r>
            </w:hyperlink>
            <w:hyperlink w:anchor="i0eafb5afafca4d08962d9add0ea9042f_22">
              <w:r>
                <w:rPr>
                  <w:rStyle w:val="InternetLink"/>
                  <w:rFonts w:ascii="Times New Roman;sans-serif" w:hAnsi="Times New Roman;sans-serif"/>
                  <w:b w:val="false"/>
                  <w:color w:val="000080"/>
                  <w:sz w:val="20"/>
                  <w:u w:val="single"/>
                </w:rPr>
                <w:t>Income</w:t>
              </w:r>
            </w:hyperlink>
            <w:hyperlink w:anchor="i0eafb5afafca4d08962d9add0ea9042f_22">
              <w:r>
                <w:rPr>
                  <w:rStyle w:val="InternetLink"/>
                  <w:rFonts w:ascii="Times New Roman;sans-serif" w:hAnsi="Times New Roman;sans-serif"/>
                  <w:b w:val="false"/>
                  <w:color w:val="000080"/>
                  <w:sz w:val="20"/>
                  <w:u w:val="single"/>
                </w:rPr>
                <w:t xml:space="preserve"> </w:t>
              </w:r>
            </w:hyperlink>
            <w:hyperlink w:anchor="i0eafb5afafca4d08962d9add0ea9042f_22">
              <w:r>
                <w:rPr>
                  <w:rStyle w:val="InternetLink"/>
                  <w:rFonts w:ascii="Times New Roman;sans-serif" w:hAnsi="Times New Roman;sans-serif"/>
                  <w:b w:val="false"/>
                  <w:color w:val="000080"/>
                  <w:sz w:val="20"/>
                  <w:u w:val="single"/>
                </w:rPr>
                <w:t>(Loss)</w:t>
              </w:r>
            </w:hyperlink>
            <w:hyperlink w:anchor="i0eafb5afafca4d08962d9add0ea9042f_22">
              <w:r>
                <w:rPr>
                  <w:rStyle w:val="InternetLink"/>
                  <w:rFonts w:ascii="Times New Roman;sans-serif" w:hAnsi="Times New Roman;sans-serif"/>
                  <w:b w:val="false"/>
                  <w:color w:val="000080"/>
                  <w:sz w:val="20"/>
                  <w:u w:val="single"/>
                </w:rPr>
                <w:t xml:space="preserve"> (unaudited) </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22">
              <w:r>
                <w:rPr>
                  <w:rStyle w:val="InternetLink"/>
                  <w:rFonts w:ascii="Times New Roman;sans-serif" w:hAnsi="Times New Roman;sans-serif"/>
                  <w:b w:val="false"/>
                  <w:color w:val="0000FF"/>
                  <w:sz w:val="20"/>
                  <w:u w:val="single"/>
                </w:rPr>
                <w:t>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25">
              <w:r>
                <w:rPr>
                  <w:rStyle w:val="InternetLink"/>
                  <w:rFonts w:ascii="Times New Roman;sans-serif" w:hAnsi="Times New Roman;sans-serif"/>
                  <w:b w:val="false"/>
                  <w:color w:val="0000FF"/>
                  <w:sz w:val="20"/>
                  <w:u w:val="single"/>
                </w:rPr>
                <w:t>Condensed Consolidated Statements of Stockholders’ Equity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25">
              <w:r>
                <w:rPr>
                  <w:rStyle w:val="InternetLink"/>
                  <w:rFonts w:ascii="Times New Roman;sans-serif" w:hAnsi="Times New Roman;sans-serif"/>
                  <w:b w:val="false"/>
                  <w:color w:val="0000FF"/>
                  <w:sz w:val="20"/>
                  <w:u w:val="single"/>
                </w:rPr>
                <w:t>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28">
              <w:r>
                <w:rPr>
                  <w:rStyle w:val="InternetLink"/>
                  <w:rFonts w:ascii="Times New Roman;sans-serif" w:hAnsi="Times New Roman;sans-serif"/>
                  <w:b w:val="false"/>
                  <w:color w:val="0000FF"/>
                  <w:sz w:val="20"/>
                  <w:u w:val="single"/>
                </w:rPr>
                <w:t>Condensed Consolidated Statements of Cash Flows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28">
              <w:r>
                <w:rPr>
                  <w:rStyle w:val="InternetLink"/>
                  <w:rFonts w:ascii="Times New Roman;sans-serif" w:hAnsi="Times New Roman;sans-serif"/>
                  <w:b w:val="false"/>
                  <w:color w:val="0000FF"/>
                  <w:sz w:val="20"/>
                  <w:u w:val="single"/>
                </w:rPr>
                <w:t>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31">
              <w:r>
                <w:rPr>
                  <w:rStyle w:val="InternetLink"/>
                  <w:rFonts w:ascii="Times New Roman;sans-serif" w:hAnsi="Times New Roman;sans-serif"/>
                  <w:b w:val="false"/>
                  <w:color w:val="0000FF"/>
                  <w:sz w:val="20"/>
                  <w:u w:val="single"/>
                </w:rPr>
                <w:t>Notes to Condensed Consolidated Financial Statements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31">
              <w:r>
                <w:rPr>
                  <w:rStyle w:val="InternetLink"/>
                  <w:rFonts w:ascii="Times New Roman;sans-serif" w:hAnsi="Times New Roman;sans-serif"/>
                  <w:b w:val="false"/>
                  <w:color w:val="0000FF"/>
                  <w:sz w:val="20"/>
                  <w:u w:val="single"/>
                </w:rPr>
                <w:t>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34">
              <w:r>
                <w:rPr>
                  <w:rStyle w:val="InternetLink"/>
                  <w:rFonts w:ascii="Times New Roman;sans-serif" w:hAnsi="Times New Roman;sans-serif"/>
                  <w:b w:val="false"/>
                  <w:color w:val="0000FF"/>
                  <w:sz w:val="20"/>
                  <w:u w:val="single"/>
                </w:rPr>
                <w:t xml:space="preserve">Note 1. Description of Business </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34">
              <w:r>
                <w:rPr>
                  <w:rStyle w:val="InternetLink"/>
                  <w:rFonts w:ascii="Times New Roman;sans-serif" w:hAnsi="Times New Roman;sans-serif"/>
                  <w:b w:val="false"/>
                  <w:color w:val="0000FF"/>
                  <w:sz w:val="20"/>
                  <w:u w:val="single"/>
                </w:rPr>
                <w:t>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37">
              <w:r>
                <w:rPr>
                  <w:rStyle w:val="InternetLink"/>
                  <w:rFonts w:ascii="Times New Roman;sans-serif" w:hAnsi="Times New Roman;sans-serif"/>
                  <w:b w:val="false"/>
                  <w:color w:val="0000FF"/>
                  <w:sz w:val="20"/>
                  <w:u w:val="single"/>
                </w:rPr>
                <w:t>Note 2. Basis of Presentation and Consolidation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37">
              <w:r>
                <w:rPr>
                  <w:rStyle w:val="InternetLink"/>
                  <w:rFonts w:ascii="Times New Roman;sans-serif" w:hAnsi="Times New Roman;sans-serif"/>
                  <w:b w:val="false"/>
                  <w:color w:val="0000FF"/>
                  <w:sz w:val="20"/>
                  <w:u w:val="single"/>
                </w:rPr>
                <w:t>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40">
              <w:r>
                <w:rPr>
                  <w:rStyle w:val="InternetLink"/>
                  <w:rFonts w:ascii="Times New Roman;sans-serif" w:hAnsi="Times New Roman;sans-serif"/>
                  <w:b w:val="false"/>
                  <w:color w:val="0000FF"/>
                  <w:sz w:val="20"/>
                  <w:u w:val="single"/>
                </w:rPr>
                <w:t>Note 3. Revenue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40">
              <w:r>
                <w:rPr>
                  <w:rStyle w:val="InternetLink"/>
                  <w:rFonts w:ascii="Times New Roman;sans-serif" w:hAnsi="Times New Roman;sans-serif"/>
                  <w:b w:val="false"/>
                  <w:color w:val="0000FF"/>
                  <w:sz w:val="20"/>
                  <w:u w:val="single"/>
                </w:rPr>
                <w:t>9</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0eafb5afafca4d08962d9add0ea9042f_46">
              <w:r>
                <w:rPr>
                  <w:rStyle w:val="InternetLink"/>
                  <w:rFonts w:ascii="Times New Roman;sans-serif" w:hAnsi="Times New Roman;sans-serif"/>
                  <w:b w:val="false"/>
                  <w:color w:val="0000FF"/>
                  <w:sz w:val="20"/>
                  <w:u w:val="single"/>
                </w:rPr>
                <w:t>Note 4. Segments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46">
              <w:r>
                <w:rPr>
                  <w:rStyle w:val="InternetLink"/>
                  <w:rFonts w:ascii="Times New Roman;sans-serif" w:hAnsi="Times New Roman;sans-serif"/>
                  <w:b w:val="false"/>
                  <w:color w:val="0000FF"/>
                  <w:sz w:val="20"/>
                  <w:u w:val="single"/>
                </w:rPr>
                <w:t>11</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0eafb5afafca4d08962d9add0ea9042f_49">
              <w:r>
                <w:rPr>
                  <w:rStyle w:val="InternetLink"/>
                  <w:rFonts w:ascii="Times New Roman;sans-serif" w:hAnsi="Times New Roman;sans-serif"/>
                  <w:b w:val="false"/>
                  <w:color w:val="0000FF"/>
                  <w:sz w:val="20"/>
                  <w:u w:val="single"/>
                </w:rPr>
                <w:t>Note 5. Accounts Receivable Securitization Facility</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49">
              <w:r>
                <w:rPr>
                  <w:rStyle w:val="InternetLink"/>
                  <w:rFonts w:ascii="Times New Roman;sans-serif" w:hAnsi="Times New Roman;sans-serif"/>
                  <w:b w:val="false"/>
                  <w:color w:val="0000FF"/>
                  <w:sz w:val="20"/>
                  <w:u w:val="single"/>
                </w:rPr>
                <w:t>12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52">
              <w:r>
                <w:rPr>
                  <w:rStyle w:val="InternetLink"/>
                  <w:rFonts w:ascii="Times New Roman;sans-serif" w:hAnsi="Times New Roman;sans-serif"/>
                  <w:b w:val="false"/>
                  <w:color w:val="0000FF"/>
                  <w:sz w:val="20"/>
                  <w:u w:val="single"/>
                </w:rPr>
                <w:t>Note 6. Fair Value Measurements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52">
              <w:r>
                <w:rPr>
                  <w:rStyle w:val="InternetLink"/>
                  <w:rFonts w:ascii="Times New Roman;sans-serif" w:hAnsi="Times New Roman;sans-serif"/>
                  <w:b w:val="false"/>
                  <w:color w:val="0000FF"/>
                  <w:sz w:val="20"/>
                  <w:u w:val="single"/>
                </w:rPr>
                <w:t>13</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55">
              <w:r>
                <w:rPr>
                  <w:rStyle w:val="InternetLink"/>
                  <w:rFonts w:ascii="Times New Roman;sans-serif" w:hAnsi="Times New Roman;sans-serif"/>
                  <w:b w:val="false"/>
                  <w:color w:val="0000FF"/>
                  <w:sz w:val="20"/>
                  <w:u w:val="single"/>
                </w:rPr>
                <w:t>Note 7. Note Receivable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55">
              <w:r>
                <w:rPr>
                  <w:rStyle w:val="InternetLink"/>
                  <w:rFonts w:ascii="Times New Roman;sans-serif" w:hAnsi="Times New Roman;sans-serif"/>
                  <w:b w:val="false"/>
                  <w:color w:val="0000FF"/>
                  <w:sz w:val="20"/>
                  <w:u w:val="single"/>
                </w:rPr>
                <w:t>14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58">
              <w:r>
                <w:rPr>
                  <w:rStyle w:val="InternetLink"/>
                  <w:rFonts w:ascii="Times New Roman;sans-serif" w:hAnsi="Times New Roman;sans-serif"/>
                  <w:b w:val="false"/>
                  <w:color w:val="0000FF"/>
                  <w:sz w:val="20"/>
                  <w:u w:val="single"/>
                </w:rPr>
                <w:t>Note 8. Leases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58">
              <w:r>
                <w:rPr>
                  <w:rStyle w:val="InternetLink"/>
                  <w:rFonts w:ascii="Times New Roman;sans-serif" w:hAnsi="Times New Roman;sans-serif"/>
                  <w:b w:val="false"/>
                  <w:color w:val="0000FF"/>
                  <w:sz w:val="20"/>
                  <w:u w:val="single"/>
                </w:rPr>
                <w:t>15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61">
              <w:r>
                <w:rPr>
                  <w:rStyle w:val="InternetLink"/>
                  <w:rFonts w:ascii="Times New Roman;sans-serif" w:hAnsi="Times New Roman;sans-serif"/>
                  <w:b w:val="false"/>
                  <w:color w:val="0000FF"/>
                  <w:sz w:val="20"/>
                  <w:u w:val="single"/>
                </w:rPr>
                <w:t>Note 9. Debt</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61">
              <w:r>
                <w:rPr>
                  <w:rStyle w:val="InternetLink"/>
                  <w:rFonts w:ascii="Times New Roman;sans-serif" w:hAnsi="Times New Roman;sans-serif"/>
                  <w:b w:val="false"/>
                  <w:color w:val="0000FF"/>
                  <w:sz w:val="20"/>
                  <w:u w:val="single"/>
                </w:rPr>
                <w:t>17</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64">
              <w:r>
                <w:rPr>
                  <w:rStyle w:val="InternetLink"/>
                  <w:rFonts w:ascii="Times New Roman;sans-serif" w:hAnsi="Times New Roman;sans-serif"/>
                  <w:b w:val="false"/>
                  <w:color w:val="0000FF"/>
                  <w:sz w:val="20"/>
                  <w:u w:val="single"/>
                </w:rPr>
                <w:t>Note 10. Accumulated Other Comprehensive Income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64">
              <w:r>
                <w:rPr>
                  <w:rStyle w:val="InternetLink"/>
                  <w:rFonts w:ascii="Times New Roman;sans-serif" w:hAnsi="Times New Roman;sans-serif"/>
                  <w:b w:val="false"/>
                  <w:color w:val="0000FF"/>
                  <w:sz w:val="20"/>
                  <w:u w:val="single"/>
                </w:rPr>
                <w:t>21</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67">
              <w:r>
                <w:rPr>
                  <w:rStyle w:val="InternetLink"/>
                  <w:rFonts w:ascii="Times New Roman;sans-serif" w:hAnsi="Times New Roman;sans-serif"/>
                  <w:b w:val="false"/>
                  <w:color w:val="0000FF"/>
                  <w:sz w:val="20"/>
                  <w:u w:val="single"/>
                </w:rPr>
                <w:t>Note 11. Capital Structure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67">
              <w:r>
                <w:rPr>
                  <w:rStyle w:val="InternetLink"/>
                  <w:rFonts w:ascii="Times New Roman;sans-serif" w:hAnsi="Times New Roman;sans-serif"/>
                  <w:b w:val="false"/>
                  <w:color w:val="0000FF"/>
                  <w:sz w:val="20"/>
                  <w:u w:val="single"/>
                </w:rPr>
                <w:t>21</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73">
              <w:r>
                <w:rPr>
                  <w:rStyle w:val="InternetLink"/>
                  <w:rFonts w:ascii="Times New Roman;sans-serif" w:hAnsi="Times New Roman;sans-serif"/>
                  <w:b w:val="false"/>
                  <w:color w:val="0000FF"/>
                  <w:sz w:val="20"/>
                  <w:u w:val="single"/>
                </w:rPr>
                <w:t>Note 12. Stock Plans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73">
              <w:r>
                <w:rPr>
                  <w:rStyle w:val="InternetLink"/>
                  <w:rFonts w:ascii="Times New Roman;sans-serif" w:hAnsi="Times New Roman;sans-serif"/>
                  <w:b w:val="false"/>
                  <w:color w:val="0000FF"/>
                  <w:sz w:val="20"/>
                  <w:u w:val="single"/>
                </w:rPr>
                <w:t>22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79">
              <w:r>
                <w:rPr>
                  <w:rStyle w:val="InternetLink"/>
                  <w:rFonts w:ascii="Times New Roman;sans-serif" w:hAnsi="Times New Roman;sans-serif"/>
                  <w:b w:val="false"/>
                  <w:color w:val="0000FF"/>
                  <w:sz w:val="20"/>
                  <w:u w:val="single"/>
                </w:rPr>
                <w:t>Note 13. Restructuring</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79">
              <w:r>
                <w:rPr>
                  <w:rStyle w:val="InternetLink"/>
                  <w:rFonts w:ascii="Times New Roman;sans-serif" w:hAnsi="Times New Roman;sans-serif"/>
                  <w:b w:val="false"/>
                  <w:color w:val="0000FF"/>
                  <w:sz w:val="20"/>
                  <w:u w:val="single"/>
                </w:rPr>
                <w:t>24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82">
              <w:r>
                <w:rPr>
                  <w:rStyle w:val="InternetLink"/>
                  <w:rFonts w:ascii="Times New Roman;sans-serif" w:hAnsi="Times New Roman;sans-serif"/>
                  <w:b w:val="false"/>
                  <w:color w:val="0000FF"/>
                  <w:sz w:val="20"/>
                  <w:u w:val="single"/>
                </w:rPr>
                <w:t>Note 14. Income Taxes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82">
              <w:r>
                <w:rPr>
                  <w:rStyle w:val="InternetLink"/>
                  <w:rFonts w:ascii="Times New Roman;sans-serif" w:hAnsi="Times New Roman;sans-serif"/>
                  <w:b w:val="false"/>
                  <w:color w:val="0000FF"/>
                  <w:sz w:val="20"/>
                  <w:u w:val="single"/>
                </w:rPr>
                <w:t>25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85">
              <w:r>
                <w:rPr>
                  <w:rStyle w:val="InternetLink"/>
                  <w:rFonts w:ascii="Times New Roman;sans-serif" w:hAnsi="Times New Roman;sans-serif"/>
                  <w:b w:val="false"/>
                  <w:color w:val="0000FF"/>
                  <w:sz w:val="20"/>
                  <w:u w:val="single"/>
                </w:rPr>
                <w:t>Note 15. Earnings Per Common Share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85">
              <w:r>
                <w:rPr>
                  <w:rStyle w:val="InternetLink"/>
                  <w:rFonts w:ascii="Times New Roman;sans-serif" w:hAnsi="Times New Roman;sans-serif"/>
                  <w:b w:val="false"/>
                  <w:color w:val="0000FF"/>
                  <w:sz w:val="20"/>
                  <w:u w:val="single"/>
                </w:rPr>
                <w:t>25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88">
              <w:r>
                <w:rPr>
                  <w:rStyle w:val="InternetLink"/>
                  <w:rFonts w:ascii="Times New Roman;sans-serif" w:hAnsi="Times New Roman;sans-serif"/>
                  <w:b w:val="false"/>
                  <w:color w:val="0000FF"/>
                  <w:sz w:val="20"/>
                  <w:u w:val="single"/>
                </w:rPr>
                <w:t>Note 16. Commitments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88">
              <w:r>
                <w:rPr>
                  <w:rStyle w:val="InternetLink"/>
                  <w:rFonts w:ascii="Times New Roman;sans-serif" w:hAnsi="Times New Roman;sans-serif"/>
                  <w:b w:val="false"/>
                  <w:color w:val="0000FF"/>
                  <w:sz w:val="20"/>
                  <w:u w:val="single"/>
                </w:rPr>
                <w:t>27</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91">
              <w:r>
                <w:rPr>
                  <w:rStyle w:val="InternetLink"/>
                  <w:rFonts w:ascii="Times New Roman;sans-serif" w:hAnsi="Times New Roman;sans-serif"/>
                  <w:b w:val="false"/>
                  <w:color w:val="0000FF"/>
                  <w:sz w:val="20"/>
                  <w:u w:val="single"/>
                </w:rPr>
                <w:t>Note 17. Legal Matters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91">
              <w:r>
                <w:rPr>
                  <w:rStyle w:val="InternetLink"/>
                  <w:rFonts w:ascii="Times New Roman;sans-serif" w:hAnsi="Times New Roman;sans-serif"/>
                  <w:b w:val="false"/>
                  <w:color w:val="0000FF"/>
                  <w:sz w:val="20"/>
                  <w:u w:val="single"/>
                </w:rPr>
                <w:t>27</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94">
              <w:r>
                <w:rPr>
                  <w:rStyle w:val="InternetLink"/>
                  <w:rFonts w:ascii="Times New Roman;sans-serif" w:hAnsi="Times New Roman;sans-serif"/>
                  <w:b w:val="false"/>
                  <w:color w:val="0000FF"/>
                  <w:sz w:val="20"/>
                  <w:u w:val="single"/>
                </w:rPr>
                <w:t>Note 18. Additional Financial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94">
              <w:r>
                <w:rPr>
                  <w:rStyle w:val="InternetLink"/>
                  <w:rFonts w:ascii="Times New Roman;sans-serif" w:hAnsi="Times New Roman;sans-serif"/>
                  <w:b w:val="false"/>
                  <w:color w:val="0000FF"/>
                  <w:sz w:val="20"/>
                  <w:u w:val="single"/>
                </w:rPr>
                <w:t>28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97">
              <w:r>
                <w:rPr>
                  <w:rStyle w:val="InternetLink"/>
                  <w:rFonts w:ascii="Times New Roman;sans-serif" w:hAnsi="Times New Roman;sans-serif"/>
                  <w:b w:val="false"/>
                  <w:color w:val="0000FF"/>
                  <w:sz w:val="20"/>
                  <w:u w:val="single"/>
                </w:rPr>
                <w:t>Note 19. Subsequent Events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97">
              <w:r>
                <w:rPr>
                  <w:rStyle w:val="InternetLink"/>
                  <w:rFonts w:ascii="Times New Roman;sans-serif" w:hAnsi="Times New Roman;sans-serif"/>
                  <w:b w:val="false"/>
                  <w:color w:val="0000FF"/>
                  <w:sz w:val="20"/>
                  <w:u w:val="single"/>
                </w:rPr>
                <w:t>28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00">
              <w:r>
                <w:rPr>
                  <w:rStyle w:val="InternetLink"/>
                  <w:rFonts w:ascii="Times New Roman;sans-serif" w:hAnsi="Times New Roman;sans-serif"/>
                  <w:b w:val="false"/>
                  <w:color w:val="0000FF"/>
                  <w:sz w:val="20"/>
                  <w:u w:val="single"/>
                </w:rPr>
                <w:t>Item 2.</w:t>
              </w:r>
            </w:hyperlink>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00">
              <w:r>
                <w:rPr>
                  <w:rStyle w:val="InternetLink"/>
                  <w:rFonts w:ascii="Times New Roman;sans-serif" w:hAnsi="Times New Roman;sans-serif"/>
                  <w:b w:val="false"/>
                  <w:color w:val="0000FF"/>
                  <w:sz w:val="20"/>
                  <w:u w:val="single"/>
                </w:rPr>
                <w:t>29</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45">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45">
              <w:r>
                <w:rPr>
                  <w:rStyle w:val="InternetLink"/>
                  <w:rFonts w:ascii="Times New Roman;sans-serif" w:hAnsi="Times New Roman;sans-serif"/>
                  <w:b w:val="false"/>
                  <w:color w:val="0000FF"/>
                  <w:sz w:val="20"/>
                  <w:u w:val="single"/>
                </w:rPr>
                <w:t>Quantitative and Qualitative Disclosures About Market Risk</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45">
              <w:r>
                <w:rPr>
                  <w:rStyle w:val="InternetLink"/>
                  <w:rFonts w:ascii="Times New Roman;sans-serif" w:hAnsi="Times New Roman;sans-serif"/>
                  <w:b w:val="false"/>
                  <w:color w:val="0000FF"/>
                  <w:sz w:val="20"/>
                  <w:u w:val="single"/>
                </w:rPr>
                <w:t>34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48">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48">
              <w:r>
                <w:rPr>
                  <w:rStyle w:val="InternetLink"/>
                  <w:rFonts w:ascii="Times New Roman;sans-serif" w:hAnsi="Times New Roman;sans-serif"/>
                  <w:b w:val="false"/>
                  <w:color w:val="0000FF"/>
                  <w:sz w:val="20"/>
                  <w:u w:val="single"/>
                </w:rPr>
                <w:t>Controls and Procedures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48">
              <w:r>
                <w:rPr>
                  <w:rStyle w:val="InternetLink"/>
                  <w:rFonts w:ascii="Times New Roman;sans-serif" w:hAnsi="Times New Roman;sans-serif"/>
                  <w:b w:val="false"/>
                  <w:color w:val="0000FF"/>
                  <w:sz w:val="20"/>
                  <w:u w:val="single"/>
                </w:rPr>
                <w:t>35</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51">
              <w:r>
                <w:rPr>
                  <w:rStyle w:val="InternetLink"/>
                  <w:rFonts w:ascii="Times New Roman;sans-serif" w:hAnsi="Times New Roman;sans-serif"/>
                  <w:b w:val="false"/>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51">
              <w:r>
                <w:rPr>
                  <w:rStyle w:val="InternetLink"/>
                  <w:rFonts w:ascii="Times New Roman;sans-serif" w:hAnsi="Times New Roman;sans-serif"/>
                  <w:b w:val="false"/>
                  <w:color w:val="0000FF"/>
                  <w:sz w:val="20"/>
                  <w:u w:val="single"/>
                </w:rPr>
                <w:t>OTHER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51">
              <w:r>
                <w:rPr>
                  <w:rStyle w:val="InternetLink"/>
                  <w:rFonts w:ascii="Times New Roman;sans-serif" w:hAnsi="Times New Roman;sans-serif"/>
                  <w:b w:val="false"/>
                  <w:color w:val="0000FF"/>
                  <w:sz w:val="20"/>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54">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54">
              <w:r>
                <w:rPr>
                  <w:rStyle w:val="InternetLink"/>
                  <w:rFonts w:ascii="Times New Roman;sans-serif" w:hAnsi="Times New Roman;sans-serif"/>
                  <w:b w:val="false"/>
                  <w:color w:val="0000FF"/>
                  <w:sz w:val="20"/>
                  <w:u w:val="single"/>
                </w:rPr>
                <w:t>Legal Proceedings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54">
              <w:r>
                <w:rPr>
                  <w:rStyle w:val="InternetLink"/>
                  <w:rFonts w:ascii="Times New Roman;sans-serif" w:hAnsi="Times New Roman;sans-serif"/>
                  <w:b w:val="false"/>
                  <w:color w:val="0000FF"/>
                  <w:sz w:val="20"/>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57">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57">
              <w:r>
                <w:rPr>
                  <w:rStyle w:val="InternetLink"/>
                  <w:rFonts w:ascii="Times New Roman;sans-serif" w:hAnsi="Times New Roman;sans-serif"/>
                  <w:b w:val="false"/>
                  <w:color w:val="0000FF"/>
                  <w:sz w:val="20"/>
                  <w:u w:val="single"/>
                </w:rPr>
                <w:t>Risk Factors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57">
              <w:r>
                <w:rPr>
                  <w:rStyle w:val="InternetLink"/>
                  <w:rFonts w:ascii="Times New Roman;sans-serif" w:hAnsi="Times New Roman;sans-serif"/>
                  <w:b w:val="false"/>
                  <w:color w:val="0000FF"/>
                  <w:sz w:val="20"/>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0">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0">
              <w:r>
                <w:rPr>
                  <w:rStyle w:val="InternetLink"/>
                  <w:rFonts w:ascii="Times New Roman;sans-serif" w:hAnsi="Times New Roman;sans-serif"/>
                  <w:b w:val="false"/>
                  <w:color w:val="0000FF"/>
                  <w:sz w:val="20"/>
                  <w:u w:val="single"/>
                </w:rPr>
                <w:t>Unregistered Sales of Equity Securities and Use of Proceeds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60">
              <w:r>
                <w:rPr>
                  <w:rStyle w:val="InternetLink"/>
                  <w:rFonts w:ascii="Times New Roman;sans-serif" w:hAnsi="Times New Roman;sans-serif"/>
                  <w:b w:val="false"/>
                  <w:color w:val="0000FF"/>
                  <w:sz w:val="20"/>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3">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3">
              <w:r>
                <w:rPr>
                  <w:rStyle w:val="InternetLink"/>
                  <w:rFonts w:ascii="Times New Roman;sans-serif" w:hAnsi="Times New Roman;sans-serif"/>
                  <w:b w:val="false"/>
                  <w:color w:val="0000FF"/>
                  <w:sz w:val="20"/>
                  <w:u w:val="single"/>
                </w:rPr>
                <w:t>Defaults Upon Senior Securities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63">
              <w:r>
                <w:rPr>
                  <w:rStyle w:val="InternetLink"/>
                  <w:rFonts w:ascii="Times New Roman;sans-serif" w:hAnsi="Times New Roman;sans-serif"/>
                  <w:b w:val="false"/>
                  <w:color w:val="0000FF"/>
                  <w:sz w:val="20"/>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6">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6">
              <w:r>
                <w:rPr>
                  <w:rStyle w:val="InternetLink"/>
                  <w:rFonts w:ascii="Times New Roman;sans-serif" w:hAnsi="Times New Roman;sans-serif"/>
                  <w:b w:val="false"/>
                  <w:color w:val="0000FF"/>
                  <w:sz w:val="20"/>
                  <w:u w:val="single"/>
                </w:rPr>
                <w:t>Mine Safety Disclosures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66">
              <w:r>
                <w:rPr>
                  <w:rStyle w:val="InternetLink"/>
                  <w:rFonts w:ascii="Times New Roman;sans-serif" w:hAnsi="Times New Roman;sans-serif"/>
                  <w:b w:val="false"/>
                  <w:color w:val="0000FF"/>
                  <w:sz w:val="20"/>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9">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69">
              <w:r>
                <w:rPr>
                  <w:rStyle w:val="InternetLink"/>
                  <w:rFonts w:ascii="Times New Roman;sans-serif" w:hAnsi="Times New Roman;sans-serif"/>
                  <w:b w:val="false"/>
                  <w:color w:val="0000FF"/>
                  <w:sz w:val="20"/>
                  <w:u w:val="single"/>
                </w:rPr>
                <w:t>Other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69">
              <w:r>
                <w:rPr>
                  <w:rStyle w:val="InternetLink"/>
                  <w:rFonts w:ascii="Times New Roman;sans-serif" w:hAnsi="Times New Roman;sans-serif"/>
                  <w:b w:val="false"/>
                  <w:color w:val="0000FF"/>
                  <w:sz w:val="20"/>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75">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75">
              <w:r>
                <w:rPr>
                  <w:rStyle w:val="InternetLink"/>
                  <w:rFonts w:ascii="Times New Roman;sans-serif" w:hAnsi="Times New Roman;sans-serif"/>
                  <w:b w:val="false"/>
                  <w:color w:val="0000FF"/>
                  <w:sz w:val="20"/>
                  <w:u w:val="single"/>
                </w:rPr>
                <w:t>Exhibits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75">
              <w:r>
                <w:rPr>
                  <w:rStyle w:val="InternetLink"/>
                  <w:rFonts w:ascii="Times New Roman;sans-serif" w:hAnsi="Times New Roman;sans-serif"/>
                  <w:b w:val="false"/>
                  <w:color w:val="0000FF"/>
                  <w:sz w:val="20"/>
                  <w:u w:val="single"/>
                </w:rPr>
                <w:t>38</w:t>
              </w:r>
            </w:hyperlink>
          </w:p>
        </w:tc>
      </w:tr>
      <w:tr>
        <w:trPr/>
        <w:tc>
          <w:tcPr>
            <w:tcW w:w="81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eafb5afafca4d08962d9add0ea9042f_178">
              <w:r>
                <w:rPr>
                  <w:rStyle w:val="InternetLink"/>
                  <w:rFonts w:ascii="Times New Roman;sans-serif" w:hAnsi="Times New Roman;sans-serif"/>
                  <w:b w:val="false"/>
                  <w:color w:val="0000FF"/>
                  <w:sz w:val="20"/>
                  <w:u w:val="single"/>
                </w:rPr>
                <w:t>SIGNATURES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fb5afafca4d08962d9add0ea9042f_178">
              <w:r>
                <w:rPr>
                  <w:rStyle w:val="InternetLink"/>
                  <w:rFonts w:ascii="Times New Roman;sans-serif" w:hAnsi="Times New Roman;sans-serif"/>
                  <w:b w:val="false"/>
                  <w:color w:val="0000FF"/>
                  <w:sz w:val="20"/>
                  <w:u w:val="single"/>
                </w:rPr>
                <w:t>39</w:t>
              </w:r>
            </w:hyperlink>
          </w:p>
        </w:tc>
      </w:tr>
    </w:tbl>
    <w:p>
      <w:pPr>
        <w:pStyle w:val="TextBody"/>
        <w:bidi w:val="0"/>
        <w:spacing w:before="0" w:after="6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AND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713"/>
        <w:gridCol w:w="2061"/>
        <w:gridCol w:w="1988"/>
        <w:gridCol w:w="109"/>
        <w:gridCol w:w="109"/>
        <w:gridCol w:w="109"/>
        <w:gridCol w:w="232"/>
        <w:gridCol w:w="908"/>
        <w:gridCol w:w="119"/>
        <w:gridCol w:w="109"/>
        <w:gridCol w:w="109"/>
        <w:gridCol w:w="109"/>
        <w:gridCol w:w="252"/>
        <w:gridCol w:w="989"/>
        <w:gridCol w:w="130"/>
        <w:gridCol w:w="159"/>
      </w:tblGrid>
      <w:tr>
        <w:trPr/>
        <w:tc>
          <w:tcPr>
            <w:tcW w:w="2713"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&amp;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179,408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212,443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non-current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251,550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and contingencies: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16,667 and 16,667 shares authorized, 11,498 and 11,075 shares issued and outstanding at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(424,995)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293,336 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per share data)</w:t>
      </w:r>
    </w:p>
    <w:tbl>
      <w:tblPr>
        <w:tblW w:w="9027" w:type="dxa"/>
        <w:jc w:val="center"/>
        <w:tblInd w:w="0" w:type="dxa"/>
        <w:tblLayout w:type="fixed"/>
        <w:tblCellMar>
          <w:top w:w="28" w:type="dxa"/>
          <w:left w:w="28" w:type="dxa"/>
          <w:bottom w:w="28" w:type="dxa"/>
          <w:right w:w="28" w:type="dxa"/>
        </w:tblCellMar>
      </w:tblPr>
      <w:tblGrid>
        <w:gridCol w:w="1806"/>
        <w:gridCol w:w="1591"/>
        <w:gridCol w:w="1598"/>
        <w:gridCol w:w="109"/>
        <w:gridCol w:w="109"/>
        <w:gridCol w:w="109"/>
        <w:gridCol w:w="244"/>
        <w:gridCol w:w="835"/>
        <w:gridCol w:w="126"/>
        <w:gridCol w:w="126"/>
        <w:gridCol w:w="126"/>
        <w:gridCol w:w="126"/>
        <w:gridCol w:w="244"/>
        <w:gridCol w:w="835"/>
        <w:gridCol w:w="126"/>
        <w:gridCol w:w="109"/>
        <w:gridCol w:w="109"/>
        <w:gridCol w:w="109"/>
        <w:gridCol w:w="109"/>
        <w:gridCol w:w="109"/>
        <w:gridCol w:w="109"/>
        <w:gridCol w:w="109"/>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Synchronoss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bidi w:val="0"/>
        <w:spacing w:before="0" w:after="0"/>
        <w:ind w:left="0" w:right="0" w:hanging="360"/>
        <w:jc w:val="both"/>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w:t>
      </w:r>
    </w:p>
    <w:p>
      <w:pPr>
        <w:pStyle w:val="TextBody"/>
        <w:bidi w:val="0"/>
        <w:spacing w:before="0" w:after="0"/>
        <w:ind w:left="0" w:right="0" w:firstLine="720"/>
        <w:jc w:val="center"/>
        <w:rPr/>
      </w:pPr>
      <w:r>
        <w:rPr/>
      </w:r>
    </w:p>
    <w:tbl>
      <w:tblPr>
        <w:tblW w:w="10015" w:type="dxa"/>
        <w:jc w:val="center"/>
        <w:tblInd w:w="0" w:type="dxa"/>
        <w:tblLayout w:type="fixed"/>
        <w:tblCellMar>
          <w:top w:w="28" w:type="dxa"/>
          <w:left w:w="28" w:type="dxa"/>
          <w:bottom w:w="28" w:type="dxa"/>
          <w:right w:w="28" w:type="dxa"/>
        </w:tblCellMar>
      </w:tblPr>
      <w:tblGrid>
        <w:gridCol w:w="2164"/>
        <w:gridCol w:w="1904"/>
        <w:gridCol w:w="1916"/>
        <w:gridCol w:w="109"/>
        <w:gridCol w:w="109"/>
        <w:gridCol w:w="109"/>
        <w:gridCol w:w="250"/>
        <w:gridCol w:w="821"/>
        <w:gridCol w:w="129"/>
        <w:gridCol w:w="129"/>
        <w:gridCol w:w="129"/>
        <w:gridCol w:w="129"/>
        <w:gridCol w:w="250"/>
        <w:gridCol w:w="821"/>
        <w:gridCol w:w="129"/>
        <w:gridCol w:w="109"/>
        <w:gridCol w:w="109"/>
        <w:gridCol w:w="109"/>
        <w:gridCol w:w="109"/>
        <w:gridCol w:w="109"/>
        <w:gridCol w:w="109"/>
        <w:gridCol w:w="109"/>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Synchronoss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820"/>
        <w:gridCol w:w="460"/>
        <w:gridCol w:w="461"/>
        <w:gridCol w:w="323"/>
        <w:gridCol w:w="323"/>
        <w:gridCol w:w="196"/>
        <w:gridCol w:w="109"/>
        <w:gridCol w:w="109"/>
        <w:gridCol w:w="109"/>
        <w:gridCol w:w="210"/>
        <w:gridCol w:w="258"/>
        <w:gridCol w:w="116"/>
        <w:gridCol w:w="109"/>
        <w:gridCol w:w="109"/>
        <w:gridCol w:w="109"/>
        <w:gridCol w:w="109"/>
        <w:gridCol w:w="109"/>
        <w:gridCol w:w="109"/>
        <w:gridCol w:w="109"/>
        <w:gridCol w:w="221"/>
        <w:gridCol w:w="832"/>
        <w:gridCol w:w="123"/>
        <w:gridCol w:w="109"/>
        <w:gridCol w:w="109"/>
        <w:gridCol w:w="109"/>
        <w:gridCol w:w="284"/>
        <w:gridCol w:w="958"/>
        <w:gridCol w:w="159"/>
        <w:gridCol w:w="109"/>
        <w:gridCol w:w="109"/>
        <w:gridCol w:w="109"/>
        <w:gridCol w:w="206"/>
        <w:gridCol w:w="804"/>
        <w:gridCol w:w="115"/>
        <w:gridCol w:w="109"/>
        <w:gridCol w:w="109"/>
        <w:gridCol w:w="109"/>
        <w:gridCol w:w="246"/>
        <w:gridCol w:w="814"/>
        <w:gridCol w:w="205"/>
      </w:tblGrid>
      <w:tr>
        <w:trPr/>
        <w:tc>
          <w:tcPr>
            <w:tcW w:w="8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044" w:type="dxa"/>
            <w:gridSpan w:val="12"/>
            <w:tcBorders/>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6"/>
            <w:tcBorders/>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(424,995)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on 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for taxes in connection with issuance of restricted stock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496,533 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(428,812)</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746"/>
        <w:gridCol w:w="358"/>
        <w:gridCol w:w="360"/>
        <w:gridCol w:w="323"/>
        <w:gridCol w:w="323"/>
        <w:gridCol w:w="196"/>
        <w:gridCol w:w="109"/>
        <w:gridCol w:w="109"/>
        <w:gridCol w:w="109"/>
        <w:gridCol w:w="216"/>
        <w:gridCol w:w="265"/>
        <w:gridCol w:w="120"/>
        <w:gridCol w:w="109"/>
        <w:gridCol w:w="109"/>
        <w:gridCol w:w="109"/>
        <w:gridCol w:w="109"/>
        <w:gridCol w:w="109"/>
        <w:gridCol w:w="109"/>
        <w:gridCol w:w="109"/>
        <w:gridCol w:w="232"/>
        <w:gridCol w:w="871"/>
        <w:gridCol w:w="128"/>
        <w:gridCol w:w="109"/>
        <w:gridCol w:w="109"/>
        <w:gridCol w:w="109"/>
        <w:gridCol w:w="309"/>
        <w:gridCol w:w="1043"/>
        <w:gridCol w:w="174"/>
        <w:gridCol w:w="109"/>
        <w:gridCol w:w="109"/>
        <w:gridCol w:w="109"/>
        <w:gridCol w:w="211"/>
        <w:gridCol w:w="826"/>
        <w:gridCol w:w="117"/>
        <w:gridCol w:w="109"/>
        <w:gridCol w:w="109"/>
        <w:gridCol w:w="109"/>
        <w:gridCol w:w="257"/>
        <w:gridCol w:w="849"/>
        <w:gridCol w:w="210"/>
      </w:tblGrid>
      <w:tr>
        <w:trPr/>
        <w:tc>
          <w:tcPr>
            <w:tcW w:w="7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124" w:type="dxa"/>
            <w:gridSpan w:val="12"/>
            <w:tcBorders/>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6"/>
            <w:tcBorders/>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(431,164)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482,492 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(31,841)</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(426,694)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9962" w:type="dxa"/>
        <w:jc w:val="center"/>
        <w:tblInd w:w="0" w:type="dxa"/>
        <w:tblLayout w:type="fixed"/>
        <w:tblCellMar>
          <w:top w:w="28" w:type="dxa"/>
          <w:left w:w="28" w:type="dxa"/>
          <w:bottom w:w="28" w:type="dxa"/>
          <w:right w:w="28" w:type="dxa"/>
        </w:tblCellMar>
      </w:tblPr>
      <w:tblGrid>
        <w:gridCol w:w="2384"/>
        <w:gridCol w:w="2093"/>
        <w:gridCol w:w="2107"/>
        <w:gridCol w:w="109"/>
        <w:gridCol w:w="109"/>
        <w:gridCol w:w="109"/>
        <w:gridCol w:w="244"/>
        <w:gridCol w:w="835"/>
        <w:gridCol w:w="126"/>
        <w:gridCol w:w="126"/>
        <w:gridCol w:w="126"/>
        <w:gridCol w:w="126"/>
        <w:gridCol w:w="244"/>
        <w:gridCol w:w="835"/>
        <w:gridCol w:w="126"/>
        <w:gridCol w:w="109"/>
        <w:gridCol w:w="154"/>
      </w:tblGrid>
      <w:tr>
        <w:trPr/>
        <w:tc>
          <w:tcPr>
            <w:tcW w:w="238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compensation-related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withholding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Drawdown on A/R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A/R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 dividend paid in the form of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 Description of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Synchronoss Technologies, Inc. (“Synchronoss” or the “Company”) is a leading provider of white label cloud software and services that enable our customers to keep subscribers, systems, networks, and content in sync.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Synchronoss Personal Cloud</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Designed for smartphones, tablets, and desktops across all operating systems, our platform ensures a seamless cross-device experience.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Note 2</w:t>
      </w:r>
      <w:r>
        <w:rPr>
          <w:rFonts w:ascii="Times New Roman;sans-serif" w:hAnsi="Times New Roman;sans-serif"/>
          <w:b/>
          <w:i/>
          <w:color w:val="000000"/>
          <w:sz w:val="20"/>
        </w:rPr>
        <w:t>.</w:t>
      </w:r>
      <w:r>
        <w:rPr>
          <w:color w:val="000000"/>
        </w:rPr>
        <w:t> </w:t>
      </w:r>
      <w:r>
        <w:rPr>
          <w:rFonts w:ascii="Times New Roman;sans-serif" w:hAnsi="Times New Roman;sans-serif"/>
          <w:b/>
          <w:color w:val="000000"/>
          <w:sz w:val="20"/>
        </w:rPr>
        <w:t xml:space="preserve">Basis of Presentation and Consolidation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2024. The results of operations for the three months ended March 31, 2025 are not necessarily indicative of the results to be expected for the year ending December 31,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material intercompany transactions and accounts are eliminated in consolidation.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tables are presented in U.S. dollars in thousands. Certain columns and rows may not add due to the use of rounded numbers. Percentages and Earnings per share (“EPS”) amounts presented are calculated from the underlying numbers in thousands. We may reclassify certain prior year amounts to conform with current year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2024.</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Standards recently adopted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73"/>
        <w:gridCol w:w="591"/>
        <w:gridCol w:w="596"/>
        <w:gridCol w:w="109"/>
        <w:gridCol w:w="109"/>
        <w:gridCol w:w="109"/>
        <w:gridCol w:w="1731"/>
        <w:gridCol w:w="1731"/>
        <w:gridCol w:w="1750"/>
        <w:gridCol w:w="109"/>
        <w:gridCol w:w="109"/>
        <w:gridCol w:w="109"/>
        <w:gridCol w:w="817"/>
        <w:gridCol w:w="684"/>
        <w:gridCol w:w="978"/>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on the financial statements</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Update 2024-01 - Compensation—Stock Compensation</w:t>
              <w:br/>
              <w:t>(Topic 718) - Scope Application of Profits Interest and Similar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amendments in this Update related to the scope application issue apply to all reporting entities that account for profits interest awards as compensation to employees or nonemployees in return for goods or services. This Update provides specific examples to help stakeholders to determine whether a profits interest award should be accounted for as a share-based payment arrangement (Topic 718) or similar to a cash bonus or profit-sharing arrangement (Topic 710, Compensation—General, or other Topics).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evaluated these changes and noted that the adoption of this standard did not have a material impact on the Company’s consolidated financial position or results of operations.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of adoption: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Standards issued not yet adopted</w:t>
      </w:r>
    </w:p>
    <w:tbl>
      <w:tblPr>
        <w:tblW w:w="10205" w:type="dxa"/>
        <w:jc w:val="center"/>
        <w:tblInd w:w="0" w:type="dxa"/>
        <w:tblLayout w:type="fixed"/>
        <w:tblCellMar>
          <w:top w:w="28" w:type="dxa"/>
          <w:left w:w="28" w:type="dxa"/>
          <w:bottom w:w="28" w:type="dxa"/>
          <w:right w:w="28" w:type="dxa"/>
        </w:tblCellMar>
      </w:tblPr>
      <w:tblGrid>
        <w:gridCol w:w="937"/>
        <w:gridCol w:w="826"/>
        <w:gridCol w:w="832"/>
        <w:gridCol w:w="109"/>
        <w:gridCol w:w="109"/>
        <w:gridCol w:w="109"/>
        <w:gridCol w:w="1221"/>
        <w:gridCol w:w="1141"/>
        <w:gridCol w:w="1144"/>
        <w:gridCol w:w="109"/>
        <w:gridCol w:w="109"/>
        <w:gridCol w:w="109"/>
        <w:gridCol w:w="1026"/>
        <w:gridCol w:w="999"/>
        <w:gridCol w:w="1425"/>
      </w:tblGrid>
      <w:tr>
        <w:trPr/>
        <w:tc>
          <w:tcPr>
            <w:tcW w:w="9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on the financial statements</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Update 2024-03 - Income Statement—Reporting Comprehensive Income—Expense Disaggregation Disclosures (Subtopic 220-40): Disaggregation of Income Statement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Requires a public business entity to disclose, on an annual basis and interim basis, disaggregated information about certain income statement line items in a tabular format in the notes to the financial statements. The guidance does not change what is presented on the face of the income statement.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continues to evaluate these changes and does not anticipate any material impact on the Company’s consolidated financial position or results of operations upon adoption.</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Planned date of adoption: January 1,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Update 2023-09 - Income Taxes (Topic 740) - Improvements to Income Tax Disclosures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evaluated these changes and noted that the adoption of this standard did not have a material impact on the Company’s consolidated financial position or results of operations. The ASU is effective for annual periods beginning after December 15, 2024, and will not impact interim disclosures for 2025.</w:t>
            </w:r>
          </w:p>
        </w:tc>
      </w:tr>
      <w:tr>
        <w:trPr/>
        <w:tc>
          <w:tcPr>
            <w:tcW w:w="2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Planned date of adoption: 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3. Revenue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revenue from contracts with customers into the nature of the services and geographical regions. The Company’s geographic regions are the North America, Europe, the Middle East and Africa (“EMEA”), and Asia Pacific (“APAC”). The majority of the Company’s revenue is from the technology, media, and telecom (“TMT”) sector.</w:t>
      </w:r>
    </w:p>
    <w:tbl>
      <w:tblPr>
        <w:tblW w:w="4704" w:type="dxa"/>
        <w:jc w:val="left"/>
        <w:tblInd w:w="0" w:type="dxa"/>
        <w:tblLayout w:type="fixed"/>
        <w:tblCellMar>
          <w:top w:w="28" w:type="dxa"/>
          <w:left w:w="28" w:type="dxa"/>
          <w:bottom w:w="28" w:type="dxa"/>
          <w:right w:w="28" w:type="dxa"/>
        </w:tblCellMar>
      </w:tblPr>
      <w:tblGrid>
        <w:gridCol w:w="679"/>
        <w:gridCol w:w="596"/>
        <w:gridCol w:w="600"/>
        <w:gridCol w:w="243"/>
        <w:gridCol w:w="833"/>
        <w:gridCol w:w="125"/>
        <w:gridCol w:w="125"/>
        <w:gridCol w:w="125"/>
        <w:gridCol w:w="125"/>
        <w:gridCol w:w="243"/>
        <w:gridCol w:w="833"/>
        <w:gridCol w:w="177"/>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Geography:</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Line:</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Services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Trade Accounts Receivable and Contract Balances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right to consideration in exchange for deliverables as either a receivable or a contract asset.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receivable is a right to consideration that is unconditional (i.e., only the passage of time is required before payment is due). For example, the Company recognizes a receivable for revenues related to its time and materials and volume-based contracts. The Company presents such receivables in Trade accounts receivable, net on the Condensed Consolidated Balance Sheets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The Company presents such contract assets in Other current assets and Other noncurrent assets on the Condensed Consolidated Balance Sheets. The contract asset balance was $0.5 million and $0.6 million at March 31, 2025 and December 31, 2024, respectively.</w:t>
      </w:r>
      <w:r>
        <w:rPr>
          <w:color w:val="000000"/>
          <w:shd w:fill="FFFFFF" w:val="clear"/>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collected in advance of services being provided are accounted for as contract liabilities, which are presented as Deferred revenue, current on the Condensed Consolidated Balance Sheets and are realized with the associated revenue recognized under the contract. Nearly all of the Company's contract liabilities balance are related to services revenue, primarily subscription services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and liabilities are reported in a net position on a customer basis at the end of each reporting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 contract liabilities balance during the period are as follows:</w:t>
      </w:r>
    </w:p>
    <w:p>
      <w:pPr>
        <w:pStyle w:val="TextBody"/>
        <w:bidi w:val="0"/>
        <w:spacing w:before="0" w:after="0"/>
        <w:ind w:left="0" w:right="0" w:firstLine="360"/>
        <w:jc w:val="both"/>
        <w:rPr/>
      </w:pPr>
      <w:r>
        <w:rPr/>
      </w:r>
    </w:p>
    <w:tbl>
      <w:tblPr>
        <w:tblW w:w="6557" w:type="dxa"/>
        <w:jc w:val="left"/>
        <w:tblInd w:w="0" w:type="dxa"/>
        <w:tblLayout w:type="fixed"/>
        <w:tblCellMar>
          <w:top w:w="28" w:type="dxa"/>
          <w:left w:w="28" w:type="dxa"/>
          <w:bottom w:w="28" w:type="dxa"/>
          <w:right w:w="28" w:type="dxa"/>
        </w:tblCellMar>
      </w:tblPr>
      <w:tblGrid>
        <w:gridCol w:w="1650"/>
        <w:gridCol w:w="1450"/>
        <w:gridCol w:w="1459"/>
        <w:gridCol w:w="109"/>
        <w:gridCol w:w="479"/>
        <w:gridCol w:w="1059"/>
        <w:gridCol w:w="351"/>
      </w:tblGrid>
      <w:tr>
        <w:trPr/>
        <w:tc>
          <w:tcPr>
            <w:tcW w:w="16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Contract Liabilities</w:t>
            </w:r>
            <w:r>
              <w:rPr>
                <w:rFonts w:ascii="Times New Roman;sans-serif" w:hAnsi="Times New Roman;sans-serif"/>
                <w:b/>
                <w:color w:val="000000"/>
                <w:sz w:val="13"/>
              </w:rPr>
              <w:t>1</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billed but not initially recognized as revenue</w:t>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Comprised of Deferred Revenue. $0.3 million of revenue recognized in the period was included in the contract liability balance at the beginning of the period.</w:t>
      </w:r>
    </w:p>
    <w:p>
      <w:pPr>
        <w:pStyle w:val="TextBody"/>
        <w:bidi w:val="0"/>
        <w:spacing w:before="0" w:after="0"/>
        <w:ind w:left="0" w:right="0" w:firstLine="360"/>
        <w:jc w:val="left"/>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Transaction Price Allocated to the Remaining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Topic 606 requires that the Company disclose the aggregate amount of transaction price that is allocated to performance obligations that have not yet been satisfied as of March 31, 2025. The Company has elected not to disclose transaction price allocated to remaining performance obligations for:</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1.Contracts with an original duration of one year or less, including contracts that can be terminated for convenience without a substantive penalty.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2.Contracts for which the Company recognizes revenues based on the right to invoice for services performed.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consideration for future transactions, above any contractual minimums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consideration for success-based transactions contingent on third party data</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credits for failure to meet future service level requirements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aggregate amount of transaction price allocated to remaining performance obligations, other than those meeting the exclusion criteria above, was $149.3 million, of which approximately 88.8% is expected to be recognized as revenues within 2 years, and the remainder thereafter.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Note 4. Segment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assessed its current structure and operations and determined it has one operating segment and a single reportable segment as the business is managed and assessed by the chief operating decision-maker based on the consolidated results of the organization. The Chief Executive Officer is the chief operating decision-maker (“CODM”) for the Company.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segment derives revenues from customers through the Company’s cloud product under software-as-a-service arrangements.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accounting policies of the single segment are the same as those described in the summary of significant accounting policies. The CODM assesses performance and decides how to allocate resources based on consolidated net income (loss) from continuing operations. The measure of segment assets is reported on the balance sheet as total consolidated assets.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uses consolidated net income (loss) from continuing operations to evaluate the overall financial performance of the company. The focus is on revenue performance as well as on comparing actual functional spend categories to forecast and, occasionally, prior-year results to assess variances and trends. Decisions regarding resource allocation are primarily made during the annual budget planning process and augmented as needed throughout the year.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Segment operating results and a reconciliation of segment operating income to consolidated net income (loss) from continuing operations are as follows:</w:t>
      </w:r>
    </w:p>
    <w:tbl>
      <w:tblPr>
        <w:tblW w:w="9650" w:type="dxa"/>
        <w:jc w:val="left"/>
        <w:tblInd w:w="0" w:type="dxa"/>
        <w:tblLayout w:type="fixed"/>
        <w:tblCellMar>
          <w:top w:w="28" w:type="dxa"/>
          <w:left w:w="28" w:type="dxa"/>
          <w:bottom w:w="28" w:type="dxa"/>
          <w:right w:w="28" w:type="dxa"/>
        </w:tblCellMar>
      </w:tblPr>
      <w:tblGrid>
        <w:gridCol w:w="1778"/>
        <w:gridCol w:w="1557"/>
        <w:gridCol w:w="1569"/>
        <w:gridCol w:w="109"/>
        <w:gridCol w:w="109"/>
        <w:gridCol w:w="109"/>
        <w:gridCol w:w="241"/>
        <w:gridCol w:w="241"/>
        <w:gridCol w:w="467"/>
        <w:gridCol w:w="1598"/>
        <w:gridCol w:w="241"/>
        <w:gridCol w:w="109"/>
        <w:gridCol w:w="109"/>
        <w:gridCol w:w="109"/>
        <w:gridCol w:w="211"/>
        <w:gridCol w:w="721"/>
        <w:gridCol w:w="109"/>
        <w:gridCol w:w="109"/>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revenues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related expense net of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profit or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and reconciling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100" w:after="283"/>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There are no intra-entity sales or transfers.</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Other segment items include: administrative expense, facilities expense, maintenance charges, restructuring expense, sales and marketing expense, stock-based compensation expense, non-cash impact of the foreign exchange gains and losses on intercompany payables and receivables, and other overhead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Note 5. Accounts Receivable Securitization Facility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23, 2022 (the “A/R Closing Date”), the Company and certain of its subsidiaries (together with the Company, the “Company Group”) entered into a $15 million accounts receivable securitization facility (the “A/R Facility”) with Norddeutsche Landesbank Girozentrale.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earlier terminated or subsequently extended pursuant to the terms of the Receivables Purchase Agreement, the A/R Facility will expire on June 23, 2025.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draw on the A/R Facility for the three months ended March 31, 2025. The Company drew $3.0 million on the A/R Facility for the three months ended March 31, 2024, and had repaid the balance in full as of March 31, 2024. The interest associated with the draw and repayment was not material for the prior period. The drawdown and subsequent repayment of the A/R Facility represent financing activities, as reported on the Condensed Consolidated Statements of Cash Flows. As of March 31, 2025 approximately $2.3 million of the Company’s receivables are held by SN Technologies. As of March 31, 2025 there were no outstanding borrowings against the A/R facility and $1.3 million was available for the Company to draw under the A/R Facility.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drew $3.0 million on the A/R Facility on April 21, 2025 and had not repaid the balance as of the day of filing this quarterly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6. Fair Value Measurements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Level 1 - Observable inputs - quoted prices in active markets for identical assets and liabilities.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 includes amounts derived from valuation models where one or more significant inputs are unobservable and require the Company to develop relevant assumptions.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assets and liabilities, and their related classifications under the fair value hierarchy: </w:t>
      </w:r>
    </w:p>
    <w:tbl>
      <w:tblPr>
        <w:tblW w:w="7582" w:type="dxa"/>
        <w:jc w:val="left"/>
        <w:tblInd w:w="0" w:type="dxa"/>
        <w:tblLayout w:type="fixed"/>
        <w:tblCellMar>
          <w:top w:w="28" w:type="dxa"/>
          <w:left w:w="28" w:type="dxa"/>
          <w:bottom w:w="28" w:type="dxa"/>
          <w:right w:w="28" w:type="dxa"/>
        </w:tblCellMar>
      </w:tblPr>
      <w:tblGrid>
        <w:gridCol w:w="967"/>
        <w:gridCol w:w="852"/>
        <w:gridCol w:w="86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46"/>
        <w:gridCol w:w="474"/>
        <w:gridCol w:w="179"/>
      </w:tblGrid>
      <w:tr>
        <w:trPr/>
        <w:tc>
          <w:tcPr>
            <w:tcW w:w="96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Money market accounts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Performance-based cash units</w:t>
            </w:r>
            <w:r>
              <w:rPr>
                <w:rFonts w:ascii="Times New Roman;sans-serif" w:hAnsi="Times New Roman;sans-serif"/>
                <w:b w:val="false"/>
                <w:color w:val="000000"/>
                <w:sz w:val="13"/>
              </w:rPr>
              <w:t>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tbl>
      <w:tblPr>
        <w:tblW w:w="7290" w:type="dxa"/>
        <w:jc w:val="center"/>
        <w:tblInd w:w="0" w:type="dxa"/>
        <w:tblLayout w:type="fixed"/>
        <w:tblCellMar>
          <w:top w:w="28" w:type="dxa"/>
          <w:left w:w="28" w:type="dxa"/>
          <w:bottom w:w="28" w:type="dxa"/>
          <w:right w:w="28" w:type="dxa"/>
        </w:tblCellMar>
      </w:tblPr>
      <w:tblGrid>
        <w:gridCol w:w="967"/>
        <w:gridCol w:w="852"/>
        <w:gridCol w:w="865"/>
        <w:gridCol w:w="211"/>
        <w:gridCol w:w="616"/>
        <w:gridCol w:w="109"/>
        <w:gridCol w:w="109"/>
        <w:gridCol w:w="109"/>
        <w:gridCol w:w="109"/>
        <w:gridCol w:w="211"/>
        <w:gridCol w:w="616"/>
        <w:gridCol w:w="109"/>
        <w:gridCol w:w="109"/>
        <w:gridCol w:w="109"/>
        <w:gridCol w:w="109"/>
        <w:gridCol w:w="229"/>
        <w:gridCol w:w="507"/>
        <w:gridCol w:w="118"/>
        <w:gridCol w:w="109"/>
        <w:gridCol w:w="109"/>
        <w:gridCol w:w="109"/>
        <w:gridCol w:w="246"/>
        <w:gridCol w:w="474"/>
        <w:gridCol w:w="179"/>
      </w:tblGrid>
      <w:tr>
        <w:trPr/>
        <w:tc>
          <w:tcPr>
            <w:tcW w:w="96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Money market accounts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Performance-based cash units</w:t>
            </w:r>
            <w:r>
              <w:rPr>
                <w:rFonts w:ascii="Times New Roman;sans-serif" w:hAnsi="Times New Roman;sans-serif"/>
                <w:b w:val="false"/>
                <w:color w:val="000000"/>
                <w:sz w:val="13"/>
              </w:rPr>
              <w:t>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Included in Cash and cash equivalents on the Condensed Consolidated Balance Sheets.</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The short term portion is included in Accrued expenses and the long-term portion is included in Other liabilities, non-current on the Condensed Consolidated Balance Sheets.</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3    </w:t>
      </w:r>
      <w:r>
        <w:rPr>
          <w:rFonts w:ascii="Times New Roman;sans-serif" w:hAnsi="Times New Roman;sans-serif"/>
          <w:b w:val="false"/>
          <w:color w:val="000000"/>
          <w:sz w:val="18"/>
        </w:rPr>
        <w:t>For a discussion of performance-based cash units see </w:t>
      </w:r>
      <w:r>
        <w:rPr>
          <w:rFonts w:ascii="Times New Roman;sans-serif" w:hAnsi="Times New Roman;sans-serif"/>
          <w:b w:val="false"/>
          <w:color w:val="000000"/>
          <w:sz w:val="18"/>
          <w:shd w:fill="FFFFFF" w:val="clear"/>
        </w:rPr>
        <w:t>Note 12. Stock Plans</w:t>
      </w:r>
      <w:r>
        <w:rPr>
          <w:color w:val="000000"/>
          <w:shd w:fill="FFFFFF" w:val="clear"/>
        </w:rPr>
        <w:t xml:space="preserve"> </w:t>
      </w:r>
      <w:r>
        <w:rPr>
          <w:rFonts w:ascii="Times New Roman;sans-serif" w:hAnsi="Times New Roman;sans-serif"/>
          <w:b w:val="false"/>
          <w:color w:val="000000"/>
          <w:sz w:val="18"/>
        </w:rPr>
        <w:t>of the Notes to Condensed Consolidated Financial Statements in Item 1 of this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9. Debt of the Notes to Condensed Consolidated Financial Statements in Item 1 of this Form 10-Q for presentation of Fair Value of Debt.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Note Receivable</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Sequential Technology International,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second quarter of 2020, the Company entered into an agreement with Sequential Technology International, LLC (“STIN”)</w:t>
      </w:r>
      <w:r>
        <w:rPr>
          <w:color w:val="000000"/>
        </w:rPr>
        <w:t xml:space="preserve"> </w:t>
      </w:r>
      <w:r>
        <w:rPr>
          <w:rFonts w:ascii="Times New Roman;sans-serif" w:hAnsi="Times New Roman;sans-serif"/>
          <w:b w:val="false"/>
          <w:color w:val="000000"/>
          <w:sz w:val="20"/>
        </w:rPr>
        <w:t>and AP Capital Holdings II, LLC (“APC”) to divest its remaining equity interest in STIN as well as settle its paid-in-kind purchase money note (“PIK note”) and certain amounts due as of December 31, 2019 in consideration for a $9.0 million secured promissory note (the “Note”). As of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2024, the Company entered into an agreement with STIN and APC to amend the aforementioned promissory note and reduce the principal balance to $3.0 million, forgive outstanding accrued interest and extend the maturity date of the Note to September 2027.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8, 2025, the Company and STIN, APC and Sequential Technology International Holdings, LLC (collectively the “Sequential Parties”) entered into an Amended and Restated Settlement Agreement (“Settlement Agreement”) to further amend the amounts due from STIN under the Note in connection with a transaction through which the Sequential Parties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Under the Settlement Agreement the Company received $1.6 million in past-due rent and contingent consideration which the Company may be entitled to if certain key performance indicators are met within the time periods specified in that Agreement. Given the full allowance for credit losses had been recorded against the Note in 2023, the modification of the terms of the Note had no net impact on the consolidated financial statements for the year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certain sublease arrangements, primarily related to the Company’s real estate leases, where it acts as the lessee and intermediate lessor.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under operating leases are included in Operating lease right-of-use assets, with the related short-term liabilities included in Accrued expenses and long-term portion included in Leases, non-current on the Condensed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finance leases are included in Property, plant and equipment, net, with the related short-term liabilities included in Accrued expenses and long-term portion in Leases, non-current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are recognized on a straight-line basis over the lease terms. Finance lease assets are amortized on a straight-line basis over the shorter of the estimated useful lives of the assets or the lease terms.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right-of-use (“ROU”) assets and lease liabilities:</w:t>
      </w:r>
    </w:p>
    <w:tbl>
      <w:tblPr>
        <w:tblW w:w="7193" w:type="dxa"/>
        <w:jc w:val="left"/>
        <w:tblInd w:w="0" w:type="dxa"/>
        <w:tblLayout w:type="fixed"/>
        <w:tblCellMar>
          <w:top w:w="28" w:type="dxa"/>
          <w:left w:w="28" w:type="dxa"/>
          <w:bottom w:w="28" w:type="dxa"/>
          <w:right w:w="28" w:type="dxa"/>
        </w:tblCellMar>
      </w:tblPr>
      <w:tblGrid>
        <w:gridCol w:w="1205"/>
        <w:gridCol w:w="1059"/>
        <w:gridCol w:w="1065"/>
        <w:gridCol w:w="109"/>
        <w:gridCol w:w="109"/>
        <w:gridCol w:w="109"/>
        <w:gridCol w:w="292"/>
        <w:gridCol w:w="998"/>
        <w:gridCol w:w="150"/>
        <w:gridCol w:w="109"/>
        <w:gridCol w:w="109"/>
        <w:gridCol w:w="109"/>
        <w:gridCol w:w="344"/>
        <w:gridCol w:w="1175"/>
        <w:gridCol w:w="25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lease expense and sublease income:</w:t>
      </w:r>
    </w:p>
    <w:tbl>
      <w:tblPr>
        <w:tblW w:w="6005" w:type="dxa"/>
        <w:jc w:val="left"/>
        <w:tblInd w:w="0" w:type="dxa"/>
        <w:tblLayout w:type="fixed"/>
        <w:tblCellMar>
          <w:top w:w="28" w:type="dxa"/>
          <w:left w:w="28" w:type="dxa"/>
          <w:bottom w:w="28" w:type="dxa"/>
          <w:right w:w="28" w:type="dxa"/>
        </w:tblCellMar>
      </w:tblPr>
      <w:tblGrid>
        <w:gridCol w:w="910"/>
        <w:gridCol w:w="803"/>
        <w:gridCol w:w="807"/>
        <w:gridCol w:w="267"/>
        <w:gridCol w:w="781"/>
        <w:gridCol w:w="138"/>
        <w:gridCol w:w="138"/>
        <w:gridCol w:w="138"/>
        <w:gridCol w:w="138"/>
        <w:gridCol w:w="267"/>
        <w:gridCol w:w="781"/>
        <w:gridCol w:w="138"/>
        <w:gridCol w:w="109"/>
        <w:gridCol w:w="109"/>
        <w:gridCol w:w="109"/>
        <w:gridCol w:w="109"/>
        <w:gridCol w:w="109"/>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lease costs and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Variable lease costs</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Sublease income</w:t>
            </w:r>
            <w:r>
              <w:rPr>
                <w:rFonts w:ascii="Times New Roman;sans-serif" w:hAnsi="Times New Roman;sans-serif"/>
                <w:b w:val="false"/>
                <w:color w:val="000000"/>
                <w:sz w:val="13"/>
              </w:rPr>
              <w:t>1,2</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lease cost</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Amounts are included in Cost of revenues, Selling, general and administrative and/or Research and development based on the function that the underlying leased asset supports, which are reflected on the Condensed Consolidated Statements of </w:t>
      </w:r>
      <w:r>
        <w:rPr>
          <w:rFonts w:ascii="Times New Roman;sans-serif" w:hAnsi="Times New Roman;sans-serif"/>
          <w:b w:val="false"/>
          <w:color w:val="000000"/>
          <w:sz w:val="18"/>
          <w:shd w:fill="FFFFFF" w:val="clear"/>
        </w:rPr>
        <w:t xml:space="preserve">Operations. </w:t>
      </w:r>
    </w:p>
    <w:p>
      <w:pPr>
        <w:pStyle w:val="TextBody"/>
        <w:bidi w:val="0"/>
        <w:spacing w:lineRule="auto" w:line="276" w:before="0" w:after="0"/>
        <w:ind w:left="0" w:right="0" w:hanging="360"/>
        <w:jc w:val="both"/>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Amounts include receipt of a $1.6 million past due sublease payment in the current period, for which we previously recorded an allowance for credit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undiscounted amount of future cash flows included in the Company’s lease liabilities at March 31, 2025 for each of the five years subsequent to December 31, 2024 and thereafter, as well as a reconciliation of such undiscounted cash flows to our lease liabilities at March 31, 2025:</w:t>
      </w:r>
    </w:p>
    <w:tbl>
      <w:tblPr>
        <w:tblW w:w="8166" w:type="dxa"/>
        <w:jc w:val="left"/>
        <w:tblInd w:w="0" w:type="dxa"/>
        <w:tblLayout w:type="fixed"/>
        <w:tblCellMar>
          <w:top w:w="28" w:type="dxa"/>
          <w:left w:w="28" w:type="dxa"/>
          <w:bottom w:w="28" w:type="dxa"/>
          <w:right w:w="28" w:type="dxa"/>
        </w:tblCellMar>
      </w:tblPr>
      <w:tblGrid>
        <w:gridCol w:w="1624"/>
        <w:gridCol w:w="1422"/>
        <w:gridCol w:w="1438"/>
        <w:gridCol w:w="109"/>
        <w:gridCol w:w="109"/>
        <w:gridCol w:w="109"/>
        <w:gridCol w:w="322"/>
        <w:gridCol w:w="1101"/>
        <w:gridCol w:w="166"/>
        <w:gridCol w:w="109"/>
        <w:gridCol w:w="109"/>
        <w:gridCol w:w="109"/>
        <w:gridCol w:w="309"/>
        <w:gridCol w:w="904"/>
        <w:gridCol w:w="226"/>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 average remaining lease term and weighted-average discount rates for our leases:</w:t>
      </w:r>
    </w:p>
    <w:tbl>
      <w:tblPr>
        <w:tblW w:w="10205" w:type="dxa"/>
        <w:jc w:val="center"/>
        <w:tblInd w:w="0" w:type="dxa"/>
        <w:tblLayout w:type="fixed"/>
        <w:tblCellMar>
          <w:top w:w="28" w:type="dxa"/>
          <w:left w:w="28" w:type="dxa"/>
          <w:bottom w:w="28" w:type="dxa"/>
          <w:right w:w="28" w:type="dxa"/>
        </w:tblCellMar>
      </w:tblPr>
      <w:tblGrid>
        <w:gridCol w:w="2580"/>
        <w:gridCol w:w="2219"/>
        <w:gridCol w:w="2226"/>
        <w:gridCol w:w="419"/>
        <w:gridCol w:w="419"/>
        <w:gridCol w:w="421"/>
        <w:gridCol w:w="109"/>
        <w:gridCol w:w="109"/>
        <w:gridCol w:w="109"/>
        <w:gridCol w:w="464"/>
        <w:gridCol w:w="464"/>
        <w:gridCol w:w="666"/>
      </w:tblGrid>
      <w:tr>
        <w:trPr/>
        <w:tc>
          <w:tcPr>
            <w:tcW w:w="2580"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7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7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 weighted based on lease liability balances: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7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7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(percentages), weighted based on the remaining balance of lease payments: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7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702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cash flow and supplemental noncash information related to our lease liabilities:</w:t>
      </w:r>
    </w:p>
    <w:tbl>
      <w:tblPr>
        <w:tblW w:w="9133" w:type="dxa"/>
        <w:jc w:val="center"/>
        <w:tblInd w:w="0" w:type="dxa"/>
        <w:tblLayout w:type="fixed"/>
        <w:tblCellMar>
          <w:top w:w="28" w:type="dxa"/>
          <w:left w:w="28" w:type="dxa"/>
          <w:bottom w:w="28" w:type="dxa"/>
          <w:right w:w="28" w:type="dxa"/>
        </w:tblCellMar>
      </w:tblPr>
      <w:tblGrid>
        <w:gridCol w:w="2126"/>
        <w:gridCol w:w="1864"/>
        <w:gridCol w:w="1874"/>
        <w:gridCol w:w="310"/>
        <w:gridCol w:w="684"/>
        <w:gridCol w:w="160"/>
        <w:gridCol w:w="160"/>
        <w:gridCol w:w="160"/>
        <w:gridCol w:w="160"/>
        <w:gridCol w:w="310"/>
        <w:gridCol w:w="684"/>
        <w:gridCol w:w="160"/>
        <w:gridCol w:w="109"/>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obtaining right-of-use assets: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 Debt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2024 Term Loan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2024 (the “Effective Date”), the Company entered into a Credit Agreement (the “Credit Agreement”) with BGC Lender Rep LLC, as administrative agent, and the lenders party thereto. The Credit Agreement established a senior secured term loan facility of up to $75.0 million (the “Term Loan”), all of which was funded on the Effective Date. The proceeds of the Term Loan were used to (i) fund the Senior Note Repurchase (as defined below), (ii) to fund the Series B Repurchase (as defined below) and (iii) to pay transaction fees and expenses associated with the closing of the transactions contemplated by the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matures on June 28, 2028 (the “Maturity Date”); provided that if (i) the Company’s 8.375% Senior Notes due 2026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a rate per annum equal to the Adjusted Term Secured Overnight Financing Rate (“SOFR”) (as defined in the Credit Agreement) for the applicable interest period, plus 5.50%, subject to a floor of 2.50%.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the Company to repay the outstanding principal amounts of the Term Loan in an amount of $468,750 on the last day of each fiscal quarter beginning on September 30, 2024 and ending on June 30, 2026. Starting on September 30, 2026, and on the last day of each fiscal quarter thereafter, such repayments of outstanding principal shall be $1,875,000. The final principal repayment of the Term Loan shall be repaid on the Maturity Date in an amount equal to the aggregate principal amount of the Term Loan outstanding on such date. The Company may at any time voluntarily prepay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 Loan, in whole or in part subject to a variable prepayment fee if such prepayment is made prior to the third anniversary of the Effective Date. The Company is required to pay an exit fee of $1.5 million if, among other things, the Maturity Date is extended beyond March 31, 2026. The Credit Agreement also contains mandatory prepayment provisions that are customary for secured financings of this type from excess cash flow and with the proceeds of certain asset sales, tax refunds, equity sales or issuances, and debt issuances, each as more fully described in the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made $0.5 million of principal payments on the Term Loan for the three months ending March 31, 2025 in line with the terms of the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Agreement are secured by substantially all of the assets (other than existing real property) of Synchronoss. Other than an Irish Subsidiary (as defined in the Credit Agreement), none of the Company’s direct or indirect foreign subsidiaries or immaterial subsidiaries has guaranteed the loans under the Credit Agreement, but under certain circumstances, such subsidiaries may become guarantors. The Credit Agreement contains customary covenants that limit the Company’s ability and its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Credit Agreement. The financial covenants set forth in the Credit Agreement include (i) a maximum consolidated secured leverage ratio, which will be tested at the end of each of the Company’s fiscal quarter and (ii) an average liquidity requirement for any calendar month. All borrowings under the Credit Agreement are subject to the satisfaction of customary conditions, including the absence of a default and the accuracy of representations and warranties subject to certain exceptions. Upon the occurrence and continuance of an event of default, which, for example, could be triggered by a breach or violation of, or default under, certain material contracts of the Company, BGC Lender Rep may take either or both of the following actions: (i) terminate the commitments and (ii) declare all outstanding obligations immediately due and payable and take such other actions as set forth in the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its debt covenants pertaining to the Term Loan as of March 31, 2025.</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2024 Repurchase of Senior Notes and Series B Preferred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2024, the Company used $66.5 million of the proceeds from the Term Loan and $2.6 million non-interest-bearing deferred consideration, which was paid to BRPI in December of 2024, for a total consideration of $69.1 million (“the total consideration”) to repurchase 100% of its outstanding Series B Perpetual Non-Convertible Preferred Stock (the “Series B Preferred”) and 787,590 (14%) of its outstanding Senior Notes from BRPI, a related party.</w:t>
      </w:r>
    </w:p>
    <w:p>
      <w:pPr>
        <w:pStyle w:val="TextBody"/>
        <w:bidi w:val="0"/>
        <w:spacing w:before="0" w:after="0"/>
        <w:ind w:left="0" w:right="0" w:firstLine="360"/>
        <w:jc w:val="both"/>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2021 Senior Notes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 xml:space="preserve">During the fourth quarter of 2021, the Company sold an additional $16.1 million aggregate principal amount of Senior Notes pursuant to the Sales Agreement. </w:t>
      </w:r>
      <w:r>
        <w:rPr>
          <w:rFonts w:ascii="Times New Roman;sans-serif" w:hAnsi="Times New Roman;sans-serif"/>
          <w:b w:val="false"/>
          <w:color w:val="000000"/>
          <w:sz w:val="20"/>
        </w:rPr>
        <w:t>The additional Senior Notes sold have terms identical to the initial Senior Notes and are fungible and vote together with, the initial Senior Notes. The Senior Notes are listed and trade on The Nasdaq Global Market under the symbol “SNCRL.”</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2024, Synchronoss repurchased 787,590 of its Senior Notes from BRPI, as described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its debt covenants pertaining to the Senior Notes as of March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24, 2025 the Company entered into an agreement with TP Birch Grove to refinance its existing 2021 Senior Notes and 2024 Term Loan facilities with a new $200 million, four-year Term Loan. Refer to Note 19. Subsequent Events of the Notes to Condensed Consolidated Financial Statements in Item 1 of this Form 10-Q for further detail on the transaction.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Carrying Value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borrowings were as follows:</w:t>
      </w:r>
    </w:p>
    <w:tbl>
      <w:tblPr>
        <w:tblW w:w="7718" w:type="dxa"/>
        <w:jc w:val="left"/>
        <w:tblInd w:w="0" w:type="dxa"/>
        <w:tblLayout w:type="fixed"/>
        <w:tblCellMar>
          <w:top w:w="28" w:type="dxa"/>
          <w:left w:w="28" w:type="dxa"/>
          <w:bottom w:w="28" w:type="dxa"/>
          <w:right w:w="28" w:type="dxa"/>
        </w:tblCellMar>
      </w:tblPr>
      <w:tblGrid>
        <w:gridCol w:w="1396"/>
        <w:gridCol w:w="1224"/>
        <w:gridCol w:w="1235"/>
        <w:gridCol w:w="109"/>
        <w:gridCol w:w="109"/>
        <w:gridCol w:w="109"/>
        <w:gridCol w:w="265"/>
        <w:gridCol w:w="1038"/>
        <w:gridCol w:w="137"/>
        <w:gridCol w:w="109"/>
        <w:gridCol w:w="109"/>
        <w:gridCol w:w="109"/>
        <w:gridCol w:w="313"/>
        <w:gridCol w:w="1228"/>
        <w:gridCol w:w="228"/>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discount and debt issuance cost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119,173 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debt issuance cost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Debt issuance costs are deferred and amortized into interest expense using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2021 Senior Notes was determined based on the closing trading price of the Senior Notes as of March 31, 2025 and is categorized accordingly as Level 2 in the fair value hierarchy. The fair value of the 2024 Term Loan was obtained using the Discounted Cash Flow (“DCF”) valuation model with observable inputs as of March 31, 2025 and is categorized accordingly as Level 2 in the fair value hierarchy. </w:t>
      </w:r>
    </w:p>
    <w:p>
      <w:pPr>
        <w:pStyle w:val="TextBody"/>
        <w:bidi w:val="0"/>
        <w:spacing w:before="0" w:after="0"/>
        <w:jc w:val="both"/>
        <w:rPr/>
      </w:pPr>
      <w:r>
        <w:rPr/>
      </w:r>
    </w:p>
    <w:tbl>
      <w:tblPr>
        <w:tblW w:w="8259"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298"/>
        <w:gridCol w:w="1168"/>
        <w:gridCol w:w="154"/>
        <w:gridCol w:w="109"/>
        <w:gridCol w:w="109"/>
        <w:gridCol w:w="109"/>
        <w:gridCol w:w="248"/>
        <w:gridCol w:w="478"/>
        <w:gridCol w:w="128"/>
        <w:gridCol w:w="109"/>
        <w:gridCol w:w="109"/>
        <w:gridCol w:w="109"/>
        <w:gridCol w:w="211"/>
        <w:gridCol w:w="826"/>
        <w:gridCol w:w="109"/>
        <w:gridCol w:w="109"/>
        <w:gridCol w:w="109"/>
        <w:gridCol w:w="109"/>
        <w:gridCol w:w="248"/>
        <w:gridCol w:w="478"/>
        <w:gridCol w:w="128"/>
        <w:gridCol w:w="109"/>
        <w:gridCol w:w="109"/>
        <w:gridCol w:w="109"/>
        <w:gridCol w:w="211"/>
        <w:gridCol w:w="82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March 31, 2025</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187,041 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188,683 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259"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298"/>
        <w:gridCol w:w="1168"/>
        <w:gridCol w:w="154"/>
        <w:gridCol w:w="109"/>
        <w:gridCol w:w="109"/>
        <w:gridCol w:w="109"/>
        <w:gridCol w:w="248"/>
        <w:gridCol w:w="478"/>
        <w:gridCol w:w="128"/>
        <w:gridCol w:w="109"/>
        <w:gridCol w:w="109"/>
        <w:gridCol w:w="109"/>
        <w:gridCol w:w="211"/>
        <w:gridCol w:w="826"/>
        <w:gridCol w:w="109"/>
        <w:gridCol w:w="109"/>
        <w:gridCol w:w="109"/>
        <w:gridCol w:w="109"/>
        <w:gridCol w:w="248"/>
        <w:gridCol w:w="478"/>
        <w:gridCol w:w="128"/>
        <w:gridCol w:w="109"/>
        <w:gridCol w:w="109"/>
        <w:gridCol w:w="109"/>
        <w:gridCol w:w="211"/>
        <w:gridCol w:w="82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2024</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193,275 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interest expense:</w:t>
      </w:r>
    </w:p>
    <w:tbl>
      <w:tblPr>
        <w:tblW w:w="7030" w:type="dxa"/>
        <w:jc w:val="left"/>
        <w:tblInd w:w="0" w:type="dxa"/>
        <w:tblLayout w:type="fixed"/>
        <w:tblCellMar>
          <w:top w:w="28" w:type="dxa"/>
          <w:left w:w="28" w:type="dxa"/>
          <w:bottom w:w="28" w:type="dxa"/>
          <w:right w:w="28" w:type="dxa"/>
        </w:tblCellMar>
      </w:tblPr>
      <w:tblGrid>
        <w:gridCol w:w="1087"/>
        <w:gridCol w:w="952"/>
        <w:gridCol w:w="961"/>
        <w:gridCol w:w="109"/>
        <w:gridCol w:w="109"/>
        <w:gridCol w:w="109"/>
        <w:gridCol w:w="267"/>
        <w:gridCol w:w="781"/>
        <w:gridCol w:w="138"/>
        <w:gridCol w:w="138"/>
        <w:gridCol w:w="138"/>
        <w:gridCol w:w="138"/>
        <w:gridCol w:w="267"/>
        <w:gridCol w:w="781"/>
        <w:gridCol w:w="138"/>
        <w:gridCol w:w="109"/>
        <w:gridCol w:w="109"/>
        <w:gridCol w:w="109"/>
        <w:gridCol w:w="109"/>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exit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Includes interest on uncertain tax provisions.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10. Accumulated Other Comprehensive (Loss) / Income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(loss) income during the three months ended March 31, 2025 were as follows:</w:t>
      </w:r>
    </w:p>
    <w:tbl>
      <w:tblPr>
        <w:tblW w:w="10205" w:type="dxa"/>
        <w:jc w:val="left"/>
        <w:tblInd w:w="0" w:type="dxa"/>
        <w:tblLayout w:type="fixed"/>
        <w:tblCellMar>
          <w:top w:w="28" w:type="dxa"/>
          <w:left w:w="28" w:type="dxa"/>
          <w:bottom w:w="28" w:type="dxa"/>
          <w:right w:w="28" w:type="dxa"/>
        </w:tblCellMar>
      </w:tblPr>
      <w:tblGrid>
        <w:gridCol w:w="1129"/>
        <w:gridCol w:w="970"/>
        <w:gridCol w:w="875"/>
        <w:gridCol w:w="339"/>
        <w:gridCol w:w="1248"/>
        <w:gridCol w:w="175"/>
        <w:gridCol w:w="109"/>
        <w:gridCol w:w="109"/>
        <w:gridCol w:w="109"/>
        <w:gridCol w:w="440"/>
        <w:gridCol w:w="1288"/>
        <w:gridCol w:w="229"/>
        <w:gridCol w:w="109"/>
        <w:gridCol w:w="109"/>
        <w:gridCol w:w="109"/>
        <w:gridCol w:w="244"/>
        <w:gridCol w:w="470"/>
        <w:gridCol w:w="126"/>
        <w:gridCol w:w="109"/>
        <w:gridCol w:w="109"/>
        <w:gridCol w:w="109"/>
        <w:gridCol w:w="311"/>
        <w:gridCol w:w="1144"/>
        <w:gridCol w:w="236"/>
      </w:tblGrid>
      <w:tr>
        <w:trPr/>
        <w:tc>
          <w:tcPr>
            <w:tcW w:w="112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March 31, 2025</w:t>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intercompany foreign currency transactions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(41,137)</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(32,284)</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11. Capital Structure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Company’s authorized capital stock was 26,666,667 shares of stock with a par value of $0.0001, of which 16,666,667 shares were designated as common stock and 10,000,000 shares were designated as preferred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common stock is entitled to vote on all matters and is entitled to one vote for each share held. Dividends on common stock will be paid when, and if, declared by the Company’s Board of Directors. No dividends have ever been declared or paid by the Company.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Treasury Stock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Treasury Stock balance is nil as of March 31, 2025.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Series B Non-Convertible Preferred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closed a private placement of 75,000 shares of its Series B Perpetual Non-Convertible Preferred Stock, par value $0.0001 per share, with an initial liquidation preference of $1,000 per share (the “Series B Preferred”), for net proceeds of $72.8 million (the “Series B Transaction”). The sale of the Series B Preferred was pursuant to the Series B Preferred Stock Purchase Agreement, dated as of June 24, 2021 (the “Series B Purchase Agreement”), between the Company and BRPI. In connection with the closing of the Series B Transaction, the Company (i) filed a Certificate of Designation with the State of Delaware setting forth the rights, preferences, privileges, qualifications, restrictions and limitations on the Series B Preferred (the “Series B Certificate”) and (ii) entered into an Investor Rights Agreement with B. Riley Financial, Inc. (“B. Riley Financial”) and BRPI setting forth certain governance and registration rights of B. Riley Financial with respect to the Company.</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Repurchase</w:t>
      </w:r>
      <w:r>
        <w:rPr>
          <w:color w:val="000000"/>
          <w:u w:val="single"/>
          <w:shd w:fill="FFFFFF" w:val="clear"/>
        </w:rPr>
        <w:t xml:space="preserve"> </w:t>
      </w:r>
      <w:r>
        <w:rPr>
          <w:rFonts w:ascii="Times New Roman;sans-serif" w:hAnsi="Times New Roman;sans-serif"/>
          <w:b w:val="false"/>
          <w:color w:val="000000"/>
          <w:sz w:val="20"/>
          <w:u w:val="single"/>
          <w:shd w:fill="FFFFFF" w:val="clear"/>
        </w:rPr>
        <w:t>of Series B Preferred</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 xml:space="preserve">On June 28, 2024 the Company repurchased all outstanding shares of the Series B Preferred stock, as discussed in Note 9. Debt of the Notes to Condensed Consolidated Financial Statements in Item 1 of this Form 10-Q.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n July 1, 2024 the Company filed a Certificate of Elimination to the Series B Certificate with the Secretary of State of the State of Delaware. As a result of the Series B Repurchase, no shares of the Series B Preferred remain outstanding and none are authorized for issuance as of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and the authorized shares of Series B Preferred Stock were returned to the status of authorized but unissued shares of preferred stock of the Company, without designation as to series pursuant to the Certificate of Designations.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12. Stock Plans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xml:space="preserve">, the Company maintains two stock-based compensation plans, the 2015 Equity Incentive Plan (the “2015 Plan”) and the 2017 New Hire Equity Incentive Plan (“2017 Plan”), under which the Company may grant to its employees, outside directors, and consultants awards in the form of stock options, shares of restricted stock, stock units, or stock appreciation rights and performance shares. As of March 31, 2025, the maximum number of shares of common stock authorized for issuance is 5,741,575 shares under the 2015 Plan and 229,635 shares under the 2017 Plan. </w:t>
      </w:r>
      <w:r>
        <w:rPr>
          <w:rFonts w:ascii="Times New Roman;sans-serif" w:hAnsi="Times New Roman;sans-serif"/>
          <w:b w:val="false"/>
          <w:color w:val="000000"/>
          <w:sz w:val="20"/>
          <w:shd w:fill="FFFFFF" w:val="clear"/>
        </w:rPr>
        <w:t xml:space="preserve">As of March 31, 2025, there were 45,114 shares available for the grant or award under the Company’s 2015 Plan and 108,382 shares available for the grant or award under the Company’s 2017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granted under the Company’s 2015 and 2017 Plans generally vest one-third of the applicable shares on the first, second, and third anniversary of the grant date, subject to continuous service. The Company accounts for stock options under equity accounting. Stock options are measured at fair value at the grant date using the Black-Scholes option pricing model and expense is recognized on a straight-line basis over the requisite service period. The expense for these awards is recorded in APIC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awards granted under the Company’s 2015 and 2017 Plans generally vest one-third of the applicable shares on the first, second, and third anniversary of the grant date, subject to continuous service. The Company accounts for these awards under equity accounting. Restricted stock awards are measured at the closing stock price at the grant date and expense is recognized on a straight-line basis over the requisite service period. The expense for these awards is recorded in APIC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Performance-Based Cash Units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Performance-based cash units (“PBCU”) are performance-based awards granted under the Company’s Long Term Incentive (“LTI”) Plans. PBCU are three-year grants tied to specific company performance metrics. Each year, the Compensation Committee establishes performance targets for the applicable performance period and PBCU are earned annually based on the achievement of these targets. All earned PBCU generally vest at the end of a three-year period assuming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continuous employment as of the vesting date. The PBCU can be settled in cash or in equity as determined by the Compensation Committee, subject to the availability of shares for issuance as of the vesting date.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PBCU that are accounted for as equity awards are measured at the closing stock price at the grant date and expense is recognized on a straight-line basis over the requisite service period. The expense for the period will increase or decrease based on the percentage achievement of the performance metrics at each reporting date. The expense for these awards is recorded in APIC on the Condensed Consolidated Balance Sheets.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PBCU that are accounted for as liability awards are measured at the fair value at the reporting period end date and expense is recognized on a straight-line basis over the requisite service period. The expense for the period will increase or decrease based on updated fair values of these awards as well as the percentage achievement of the performance metrics at each reporting date. The short-term liability related to these awards is included in Accrued expenses and the long-term portion is included in Other liabilities, non-current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has three active LTI Plans: 2023-2025 LTI Plan, 2024-2026 LTI Plan and 2025-2027 LTI Plan.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PBCU granted to employees under the 2022-2024 LTI Plan were accounted for as equity awards due to Company’s intent and ability to settle them in shares of stock. 246,047 PBCU were earned and distributed in shares of stock upon vesting during the first quarter of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Company’s PBCU granted to employees under the 2023-2025 LTI Plan, 2024-2026 LTI Plan and 2025-2027 LTI Plan have been accounted for as liability awards, due to the Company’s intent and the ability to settle such awards in cash upon vesting and expected lack of shares available for issuance. As of March 31, 2025, the short-term liability for such awards is $0.4 million and the long-term liability is $1.2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Stock-Based Compensation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stock-based compensation expense related to all of the Company’s stock awards included by operating expense categories, as follows:</w:t>
      </w:r>
    </w:p>
    <w:tbl>
      <w:tblPr>
        <w:tblW w:w="7152" w:type="dxa"/>
        <w:jc w:val="left"/>
        <w:tblInd w:w="0" w:type="dxa"/>
        <w:tblLayout w:type="fixed"/>
        <w:tblCellMar>
          <w:top w:w="28" w:type="dxa"/>
          <w:left w:w="28" w:type="dxa"/>
          <w:bottom w:w="28" w:type="dxa"/>
          <w:right w:w="28" w:type="dxa"/>
        </w:tblCellMar>
      </w:tblPr>
      <w:tblGrid>
        <w:gridCol w:w="1247"/>
        <w:gridCol w:w="1099"/>
        <w:gridCol w:w="1103"/>
        <w:gridCol w:w="267"/>
        <w:gridCol w:w="781"/>
        <w:gridCol w:w="138"/>
        <w:gridCol w:w="138"/>
        <w:gridCol w:w="138"/>
        <w:gridCol w:w="138"/>
        <w:gridCol w:w="267"/>
        <w:gridCol w:w="781"/>
        <w:gridCol w:w="138"/>
        <w:gridCol w:w="109"/>
        <w:gridCol w:w="109"/>
        <w:gridCol w:w="109"/>
        <w:gridCol w:w="109"/>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related to all of the Company’s stock awards included by award type, as follows:</w:t>
      </w:r>
    </w:p>
    <w:tbl>
      <w:tblPr>
        <w:tblW w:w="7467" w:type="dxa"/>
        <w:jc w:val="left"/>
        <w:tblInd w:w="0" w:type="dxa"/>
        <w:tblLayout w:type="fixed"/>
        <w:tblCellMar>
          <w:top w:w="28" w:type="dxa"/>
          <w:left w:w="28" w:type="dxa"/>
          <w:bottom w:w="28" w:type="dxa"/>
          <w:right w:w="28" w:type="dxa"/>
        </w:tblCellMar>
      </w:tblPr>
      <w:tblGrid>
        <w:gridCol w:w="1365"/>
        <w:gridCol w:w="1197"/>
        <w:gridCol w:w="1202"/>
        <w:gridCol w:w="267"/>
        <w:gridCol w:w="781"/>
        <w:gridCol w:w="138"/>
        <w:gridCol w:w="138"/>
        <w:gridCol w:w="138"/>
        <w:gridCol w:w="138"/>
        <w:gridCol w:w="267"/>
        <w:gridCol w:w="781"/>
        <w:gridCol w:w="138"/>
        <w:gridCol w:w="109"/>
        <w:gridCol w:w="109"/>
        <w:gridCol w:w="109"/>
        <w:gridCol w:w="109"/>
        <w:gridCol w:w="109"/>
        <w:gridCol w:w="109"/>
        <w:gridCol w:w="109"/>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classified as equity:</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cash units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classified awards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classified as liability:</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cash units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before taxes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total unamortized stock-based compensation cost related to unvested restricted stock awards and stock options as of March 31, 2025 was $7.9 million. The expense is expected to be recognized over a weighted-average period of approximately 2.3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total unamortized stock-based compensation cost related to unvested performance-based cash units as of March 31, 2025 was $4.5 million. The expense is expected to be recognized over a weighted-average period of approximately 2.3 years.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13. Restructuring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identify workforce optimization opportunities to better align the Company’s resources with its key strategic priorities.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restructuring accrual at March 31, 2025 and changes during the three months ended March 31, 2025, are presented below:</w:t>
      </w:r>
    </w:p>
    <w:tbl>
      <w:tblPr>
        <w:tblW w:w="5327" w:type="dxa"/>
        <w:jc w:val="left"/>
        <w:tblInd w:w="0" w:type="dxa"/>
        <w:tblLayout w:type="fixed"/>
        <w:tblCellMar>
          <w:top w:w="28" w:type="dxa"/>
          <w:left w:w="28" w:type="dxa"/>
          <w:bottom w:w="28" w:type="dxa"/>
          <w:right w:w="28" w:type="dxa"/>
        </w:tblCellMar>
      </w:tblPr>
      <w:tblGrid>
        <w:gridCol w:w="939"/>
        <w:gridCol w:w="825"/>
        <w:gridCol w:w="830"/>
        <w:gridCol w:w="109"/>
        <w:gridCol w:w="665"/>
        <w:gridCol w:w="1471"/>
        <w:gridCol w:w="488"/>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109" w:type="dxa"/>
            <w:tcBorders/>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14. 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an income tax expense of approximately $1.3 million and $0.6 million during the three months ended March 31, 2025 and 2024, respectively. The effective tax rate was approximately (50.3)% for the three months ended March 31, 2025, which was lower than the U.S. federal statutory rate primarily due to impact of permanent adjustments, including Global Intangible Low-Taxed Income, and valuation allowances recorded, partially offset by the impact of foreign tax rate differential. The Company’s effective tax rate was approximately 11.9% for the three months ended March 31, 2024, which was lower than the U.S. federal statutory rate primarily due to the impact of valuation allowances recorded and foreign tax rate differential, partially offset by projected current income tax expense in the U.S. and certain foreign jurisdictions.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this assessment, the Company continues to record a valuation allowance against the net deferred tax assets of certain jurisdictions as the realization of these assets is not more likely than not, given uncertainty of future earnings in these jurisdictions.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associated with uncertain tax positions were $4.4 million at March 31, 2025. We are not able to reasonably estimate when we would make any cash payments required to settle these liabilities, but we do not believe that the ultimate settlement of our obligations will materially affect our liquidity. The Company anticipates that $3.8 million of its currently unrecognized tax benefits, primarily related to research and development credits and other U.S. tax positions, may be recognized within the next 12 months as a result of a lapse of the statute of limitations.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Internal Revenue Service commenced an audit of certain of the Company’s prior year U.S. federal income tax filings, including the 2013 through 2020 tax years. The audit is currently ongoing and is in its concluding stages. While the receipt of the associated refunds would materially improve its financial position, the Company does not believe that the results of this audit will have a material effect on its results of operations. The Company has not accrued for any potential interest income related to the expected tax refund as of March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Pillar Two Global Anti-Base Erosion rules issued by the Organization for Economic Co-operation and Development ("OECD"), a global policy forum, introduced a global minimum tax of 15% which would apply to multinational groups with consolidated financial statement revenue in excess of EUR 750 million. Nearly all OECD member jurisdictions have agreed in principle to adopt these provisions and numerous jurisdictions, including jurisdictions where the Company operates, have enacted these rules effective January 1, 2024. The Company is not currently subject to these rules but is continuing to evaluate the Pillar Two Framework and its potential impact on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15. Earnings per Common Share (“EPS”)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(such as performance-based cash unit awards)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numerator and denominator used in computing basic and diluted net income attributable to common stockholders per common share from operations.</w:t>
      </w:r>
    </w:p>
    <w:p>
      <w:pPr>
        <w:pStyle w:val="TextBody"/>
        <w:bidi w:val="0"/>
        <w:spacing w:before="0" w:after="0"/>
        <w:ind w:left="0" w:right="0" w:firstLine="360"/>
        <w:jc w:val="both"/>
        <w:rPr/>
      </w:pPr>
      <w:r>
        <w:rPr/>
      </w:r>
    </w:p>
    <w:tbl>
      <w:tblPr>
        <w:tblW w:w="8699" w:type="dxa"/>
        <w:jc w:val="center"/>
        <w:tblInd w:w="0" w:type="dxa"/>
        <w:tblLayout w:type="fixed"/>
        <w:tblCellMar>
          <w:top w:w="28" w:type="dxa"/>
          <w:left w:w="28" w:type="dxa"/>
          <w:bottom w:w="28" w:type="dxa"/>
          <w:right w:w="28" w:type="dxa"/>
        </w:tblCellMar>
      </w:tblPr>
      <w:tblGrid>
        <w:gridCol w:w="1806"/>
        <w:gridCol w:w="1592"/>
        <w:gridCol w:w="1596"/>
        <w:gridCol w:w="244"/>
        <w:gridCol w:w="835"/>
        <w:gridCol w:w="126"/>
        <w:gridCol w:w="126"/>
        <w:gridCol w:w="126"/>
        <w:gridCol w:w="126"/>
        <w:gridCol w:w="244"/>
        <w:gridCol w:w="835"/>
        <w:gridCol w:w="126"/>
        <w:gridCol w:w="109"/>
        <w:gridCol w:w="109"/>
        <w:gridCol w:w="109"/>
        <w:gridCol w:w="109"/>
        <w:gridCol w:w="109"/>
        <w:gridCol w:w="109"/>
        <w:gridCol w:w="109"/>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 Basic:</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Synchronoss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 Diluted:</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Synchronoss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Synchronoss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from assumed conversion of PBCU</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unvested restricted shares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Anti-dilutive stock options and restricted stock awards</w:t>
            </w:r>
            <w:r>
              <w:rPr>
                <w:rFonts w:ascii="Times New Roman;sans-serif" w:hAnsi="Times New Roman;sans-serif"/>
                <w:b w:val="false"/>
                <w:color w:val="000000"/>
                <w:sz w:val="13"/>
              </w:rPr>
              <w:t>1</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Represent stock options and restricted stock awards excluded from the Diluted EPS calculations because the effect would be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16. Commitments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Non-cancelable Agreements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non-cancelable arrangements such as services for hosting, support, and software that expire at various dates, with the latest expiration in 2028.</w:t>
      </w:r>
    </w:p>
    <w:p>
      <w:pPr>
        <w:pStyle w:val="TextBody"/>
        <w:bidi w:val="0"/>
        <w:spacing w:before="0" w:after="0"/>
        <w:ind w:left="0" w:right="0" w:firstLine="360"/>
        <w:jc w:val="both"/>
        <w:rPr/>
      </w:pPr>
      <w:r>
        <w:rPr/>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Aggregate annual future minimum payments under non-cancelable agreements as of March 31, 2025 for each year subsequent to December 31, 2024 and thereafter, are as follows:</w:t>
      </w:r>
    </w:p>
    <w:tbl>
      <w:tblPr>
        <w:tblW w:w="3868" w:type="dxa"/>
        <w:jc w:val="left"/>
        <w:tblInd w:w="0" w:type="dxa"/>
        <w:tblLayout w:type="fixed"/>
        <w:tblCellMar>
          <w:top w:w="28" w:type="dxa"/>
          <w:left w:w="28" w:type="dxa"/>
          <w:bottom w:w="28" w:type="dxa"/>
          <w:right w:w="28" w:type="dxa"/>
        </w:tblCellMar>
      </w:tblPr>
      <w:tblGrid>
        <w:gridCol w:w="217"/>
        <w:gridCol w:w="190"/>
        <w:gridCol w:w="193"/>
        <w:gridCol w:w="109"/>
        <w:gridCol w:w="109"/>
        <w:gridCol w:w="109"/>
        <w:gridCol w:w="497"/>
        <w:gridCol w:w="1704"/>
        <w:gridCol w:w="259"/>
        <w:gridCol w:w="109"/>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Non-cancelable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20,718 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17. Legal Matters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Failure to comply with the provisions of the SEC Order could result in further actions by one or both governmental agencies which could have a material adverse effect on the Company’s results of operations. The penalties have been paid in full as of March 31, 2024. Also on June 7, 2022, the SEC filed a civil action against two former members of the Company’s management team (the “defendants”), alleging misconduct arising out of certain of the restated transactions that took place in 2015 and 2016 investigated by the SEC as set forth above. During the second quarter of 2024, the Court entered final judgments in both of these civil actions pursuant to which the defendants agreed to pay civil penalties totaling an aggregate of $145,000 and one defendant agreed to disgorge incentive compensation received during the period of the restated transactions in the amount of $430,741. The Company has indemnified the defendants in these actions for certain costs and expenses, including reasonable attorney’s fees. During the quarter ended March 31, 2024, the Company reimbursed the defendants for the remaining costs and expenses, and as of March 31, 2025, no additional amounts are owed pursuant to this indemnification obligation.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currently subject to any other legal proceedings that would be expected to have a material adverse effect on its operations; however, the Company may from time to time become a party to various legal proceedings arising in the ordinary course of its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18. Additional Financial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Other Income (expense), net included in the Condensed Consolidated Statements of Operations:</w:t>
      </w:r>
    </w:p>
    <w:tbl>
      <w:tblPr>
        <w:tblW w:w="6511" w:type="dxa"/>
        <w:jc w:val="left"/>
        <w:tblInd w:w="0" w:type="dxa"/>
        <w:tblLayout w:type="fixed"/>
        <w:tblCellMar>
          <w:top w:w="28" w:type="dxa"/>
          <w:left w:w="28" w:type="dxa"/>
          <w:bottom w:w="28" w:type="dxa"/>
          <w:right w:w="28" w:type="dxa"/>
        </w:tblCellMar>
      </w:tblPr>
      <w:tblGrid>
        <w:gridCol w:w="977"/>
        <w:gridCol w:w="860"/>
        <w:gridCol w:w="863"/>
        <w:gridCol w:w="109"/>
        <w:gridCol w:w="109"/>
        <w:gridCol w:w="109"/>
        <w:gridCol w:w="258"/>
        <w:gridCol w:w="848"/>
        <w:gridCol w:w="133"/>
        <w:gridCol w:w="133"/>
        <w:gridCol w:w="133"/>
        <w:gridCol w:w="133"/>
        <w:gridCol w:w="258"/>
        <w:gridCol w:w="756"/>
        <w:gridCol w:w="133"/>
        <w:gridCol w:w="109"/>
        <w:gridCol w:w="109"/>
        <w:gridCol w:w="109"/>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an aggregate of individually immaterial transactions.</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non-cash impact of the foreign exchange gains and losses on intercompany payables and receivables is reflected as an adjustment to reconcile the Net income to cash within the Other, net line item in the operating activities, as reported on the Condensed Consolidated Statements of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19. Subsequent Events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24, 2025 (the “Closing Date”), Synchronoss Technologies Inc. (the “Synchronoss”) and certain of its subsidiaries (together with Synchronoss, the “Companies”) entered into that certain First Amendment to Credit Agreement and Pledge and Security Agreement (the “Amendment”) with the lenders party thereto and BGC Lender Rep LLC, as administrative agent (the “Administrative Agent”), which amended (i) that certain Credit Agreement, dated as of June 28, 2024 (the “Credit Agreement”, and as amended by the Amendment, the “Amended Credit Agreement”), among Synchronoss, the lenders party thereto from time to time and the Administrative Agent and (ii) that certain Pledge and Security Agreement, dated as of June 28, 2024 (the “Security Agreement”, and as amended by the Amendment, the “Amended Security Agreement”), among the Companies and the Administrative Agent.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the Amended Credit Agreement established a new term loan facility in an aggregate principal amount of $200 million (the “First Amendment Loan”), with any existing lenders under the Credit Agreement participating pursuant to a cashless settlement of the $73.6 million outstanding aggregate principal amount of term loan facility under the Credit Agreement. Synchronoss intends to use proceeds from the First Amendment Loan, together with cash on hand, to redeem all of the $121 million outstanding aggregate principal amount of senior notes on or around May 12, 2025 at the applicable redemption price, as previously disclosed.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Amendment Loans will mature on April 24, 2029 (subject to a springing maturity of nine months prior to the date of cancellation of certain material contracts if unreplaced in accordance with the terms of the Amended Credit Agreement) and bear an interest rate of the secured overnight financing rate, which shall not be less than 2.50%, plus a margin of 7.00% per annum (with one 0.50% stepdown at specified leverage). The First Amendment also includes (i) a covenant tested quarterly which limits the consolidated secured leverage ratio to 6.30 to 1.00 or under, (ii) a covenant tested monthly with respect to a minimum number of subscribers under certain material contracts and (iii) certain other changes to the terms of the Credit Agreement, including with respect to certain negative covenants.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MANAGEMENT’S</w:t>
      </w:r>
      <w:r>
        <w:rPr>
          <w:color w:val="000000"/>
        </w:rPr>
        <w:t xml:space="preserve"> </w:t>
      </w:r>
      <w:r>
        <w:rPr>
          <w:rFonts w:ascii="Times New Roman;sans-serif" w:hAnsi="Times New Roman;sans-serif"/>
          <w:b/>
          <w:color w:val="000000"/>
          <w:sz w:val="20"/>
        </w:rPr>
        <w:t>DISCUSSION AND ANALYSIS OF FINANCIAL</w:t>
      </w:r>
      <w:r>
        <w:rPr>
          <w:color w:val="000000"/>
        </w:rPr>
        <w:t xml:space="preserve"> </w:t>
      </w:r>
      <w:r>
        <w:rPr>
          <w:rFonts w:ascii="Times New Roman;sans-serif" w:hAnsi="Times New Roman;sans-serif"/>
          <w:b/>
          <w:color w:val="000000"/>
          <w:sz w:val="20"/>
        </w:rPr>
        <w:t>CONDITION AND RESULTS OF</w:t>
      </w:r>
      <w:r>
        <w:rPr>
          <w:color w:val="000000"/>
        </w:rPr>
        <w:t xml:space="preserve"> </w:t>
      </w:r>
      <w:r>
        <w:rPr>
          <w:rFonts w:ascii="Times New Roman;sans-serif" w:hAnsi="Times New Roman;sans-serif"/>
          <w:b/>
          <w:color w:val="000000"/>
          <w:sz w:val="20"/>
        </w:rPr>
        <w:t>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“should,” “could,” “would,” “project,” “target,” “plan,” “expect,”, “seek,” “hope,” “likely,” or the negative of these terms or other similar expressions.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that may cause actual results to differ materially from those anticipated or implied by the forward-looking statements. These factors include, but are not limited to:</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Adverse changes in the national and global economic environments, including foreign currency exchange and tariffs could affect our sales, revenue and profitability;</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Changes in market trends, growth rates and consumer preferences could impact our ability to meet customer demands, launch new products or features successfully, attract and retain new customers, or to successfully compete with other providers of similar products;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New laws, regulations or changes to existing laws or regulations, including economic and trade policy, taxation and data protection, could increase our operational complexity or cost;</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Failure to anticipate and keep up with technological advancements could impair our competitiveness;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Security breaches or cyber-attacks could compromise our proprietary information, cause reputational harm and result in financial penalties;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The sufficiency of and our ability access cash or cash equivalents to meet our liquidity needs, the timing of our federal tax refund, capital expenditures, fluctuations in interest rates or credit availability could impact our financial performance;</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Legal proceedings or changes in the legal environment could affect our business operations and financial condition;</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Pandemic outbreaks, geopolitical tensions or natural disasters could disrupt our operations;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Our ability to attract and retain talented employees is crucial to our success and any shortfall in that area could impact our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these risks and uncertainties, undue reliance should not be placed on such forward-looking statements.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Investors, the media, and others should note that we intend to announce material information to the public through filings with the Securities and Exchange Commission (SEC), the investor relations page on our website (https://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synchronosstechnologiesinc.gcs-web.com/), press releases, public conference calls, webcasts and social media channels, including our X (formerly known as Twitter) feed (x.com/synchronoss) and LinkedIn page (https://www.linkedin.com/company/synchronoss-technologies).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Synchronoss Technologies, Inc. (“Synchronoss” or the “Company”) is a leading provider of white label cloud software and services that enable our customers to keep subscribers, systems, networks, and content in sync.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Synchronoss Personal Cloud</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Designed for smartphones, tablets, and desktops across all operating systems, our platform ensures a seamless cross-device experience.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solutions through multiple channels such as our corporate website, direct sales teams across key regions (North America, Europe, Middle East and Africa (“EMEA”) and Asia-Pacific (“APAC”)), and industry partnerships.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generate most of our revenues on a subscription basis, which is derived from customer contracts with terms ranging from three to five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depends on the continued growth of B2B and Business-to-Business-to-Consumer driving customer transactions, and continued expansion of our platforms into the telecom (“TMT”) market globally through cloud markets. As such, the volume of subscribers and our ability to expand our footprint in TMT and globally may result in revenue fluctuations on a quarterly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revenues are recorded in U.S. dollars, but as we continue to expand our footprint with international carriers, we are subject to currency translation that could affect our future net sales as reported in U.S. dollars.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Company’s top five customers accounted for</w:t>
      </w:r>
      <w:r>
        <w:rPr>
          <w:color w:val="000000"/>
          <w:shd w:fill="FFFFFF" w:val="clear"/>
        </w:rPr>
        <w:t xml:space="preserve"> </w:t>
      </w:r>
      <w:r>
        <w:rPr>
          <w:rFonts w:ascii="Times New Roman;sans-serif" w:hAnsi="Times New Roman;sans-serif"/>
          <w:b w:val="false"/>
          <w:color w:val="000000"/>
          <w:sz w:val="20"/>
          <w:shd w:fill="FFFFFF" w:val="clear"/>
        </w:rPr>
        <w:t xml:space="preserve">99.1% </w:t>
      </w:r>
      <w:r>
        <w:rPr>
          <w:rFonts w:ascii="Times New Roman;sans-serif" w:hAnsi="Times New Roman;sans-serif"/>
          <w:b w:val="false"/>
          <w:color w:val="000000"/>
          <w:sz w:val="20"/>
        </w:rPr>
        <w:t xml:space="preserve">and 97.2% of net revenues for the three months ended March 31, 2025 and March 31, 2024, respectively. Contracts with these customers typically run for three to five years. Of these customers, both Verizon and AT&amp;T accounted for more than 10% of our revenues in 2025 and 2024. The loss of Verizon or AT&amp;T as a customer would have a material negative impact on our company. However, we believe the costs incurred by and subscriber disruption for Verizon or AT&amp;T to replace Synchronoss’ solutions would be substantial.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Current Trends Affecting Our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has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Discussion of the Condensed Consolidated Statements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an overview of our results of operations for the three months ended March 31, 2025 and 2024 (in thousands):</w:t>
      </w:r>
    </w:p>
    <w:tbl>
      <w:tblPr>
        <w:tblW w:w="9425" w:type="dxa"/>
        <w:jc w:val="left"/>
        <w:tblInd w:w="0" w:type="dxa"/>
        <w:tblLayout w:type="fixed"/>
        <w:tblCellMar>
          <w:top w:w="28" w:type="dxa"/>
          <w:left w:w="28" w:type="dxa"/>
          <w:bottom w:w="28" w:type="dxa"/>
          <w:right w:w="28" w:type="dxa"/>
        </w:tblCellMar>
      </w:tblPr>
      <w:tblGrid>
        <w:gridCol w:w="1318"/>
        <w:gridCol w:w="1161"/>
        <w:gridCol w:w="1166"/>
        <w:gridCol w:w="109"/>
        <w:gridCol w:w="109"/>
        <w:gridCol w:w="109"/>
        <w:gridCol w:w="244"/>
        <w:gridCol w:w="835"/>
        <w:gridCol w:w="126"/>
        <w:gridCol w:w="126"/>
        <w:gridCol w:w="126"/>
        <w:gridCol w:w="126"/>
        <w:gridCol w:w="244"/>
        <w:gridCol w:w="835"/>
        <w:gridCol w:w="126"/>
        <w:gridCol w:w="109"/>
        <w:gridCol w:w="751"/>
        <w:gridCol w:w="109"/>
        <w:gridCol w:w="109"/>
        <w:gridCol w:w="109"/>
        <w:gridCol w:w="253"/>
        <w:gridCol w:w="831"/>
        <w:gridCol w:w="131"/>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color w:val="000000"/>
          <w:sz w:val="20"/>
          <w:shd w:fill="FFFFFF" w:val="clear"/>
        </w:rPr>
        <w:t>Net revenues</w:t>
      </w:r>
      <w:r>
        <w:rPr>
          <w:color w:val="000000"/>
          <w:shd w:fill="FFFFFF" w:val="clear"/>
        </w:rPr>
        <w:t xml:space="preserve"> </w:t>
      </w:r>
      <w:r>
        <w:rPr>
          <w:rFonts w:ascii="Times New Roman;sans-serif" w:hAnsi="Times New Roman;sans-serif"/>
          <w:b w:val="false"/>
          <w:color w:val="000000"/>
          <w:sz w:val="20"/>
          <w:shd w:fill="FFFFFF" w:val="clear"/>
        </w:rPr>
        <w:t xml:space="preserve">decreased $0.8 million to $42.2 million for the three months ended March 31, 2025, compared to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r>
        <w:rPr>
          <w:color w:val="000000"/>
        </w:rPr>
        <w:t> </w:t>
      </w:r>
      <w:r>
        <w:rPr>
          <w:rFonts w:ascii="Times New Roman;sans-serif" w:hAnsi="Times New Roman;sans-serif"/>
          <w:b w:val="false"/>
          <w:color w:val="000000"/>
          <w:sz w:val="20"/>
        </w:rPr>
        <w:t>The decrease in revenue was primarily attributable to a decline in professional services revenue in the current year associated with the termination of certain contracts in 2024.</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 xml:space="preserve">decreased $1.5 million to $8.7 million for the three months ended March 31, 2025, compared to the same period in 2024. The decrease in 2025 was primarily due to lower baseline employee expenses resulting from restructuring measures implemented in the fourth quarter of 2024, as well as cost-saving initiatives aimed at reducing vendor expenditures and overhead.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color w:val="000000"/>
          <w:sz w:val="20"/>
        </w:rPr>
        <w:t>Research and development</w:t>
      </w:r>
      <w:r>
        <w:rPr>
          <w:color w:val="000000"/>
        </w:rPr>
        <w:t xml:space="preserve"> </w:t>
      </w:r>
      <w:r>
        <w:rPr>
          <w:rFonts w:ascii="Times New Roman;sans-serif" w:hAnsi="Times New Roman;sans-serif"/>
          <w:b w:val="false"/>
          <w:color w:val="000000"/>
          <w:sz w:val="20"/>
        </w:rPr>
        <w:t>expense decreased $0.6 million to $9.7 million for the three months ended March 31, 2025, compared to the same period in 2024. The decrease in 2025 was primarily attributable to cost-saving initiatives implemented in the fourth quarter of 2024 aimed at streamlining the workforce and reducing vendor expenditures.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color w:val="000000"/>
          <w:sz w:val="20"/>
        </w:rPr>
        <w:t>Selling, general and administrative</w:t>
      </w:r>
      <w:r>
        <w:rPr>
          <w:color w:val="000000"/>
        </w:rPr>
        <w:t xml:space="preserve"> </w:t>
      </w:r>
      <w:r>
        <w:rPr>
          <w:rFonts w:ascii="Times New Roman;sans-serif" w:hAnsi="Times New Roman;sans-serif"/>
          <w:b w:val="false"/>
          <w:color w:val="000000"/>
          <w:sz w:val="20"/>
        </w:rPr>
        <w:t>expense decreased $1.9 million to $11.4 million for the three months ended March 31, 2025, compared to the same period in 2024. The decrease in 2025 was primarily attributable to cost-saving initiatives implemented in the fourth quarter of 2024 aimed at streamlining the workforce and reducing vendor expenditures.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color w:val="000000"/>
          <w:sz w:val="20"/>
        </w:rPr>
        <w:t>Restructuring charges</w:t>
      </w:r>
      <w:r>
        <w:rPr>
          <w:color w:val="000000"/>
        </w:rPr>
        <w:t xml:space="preserve"> </w:t>
      </w:r>
      <w:r>
        <w:rPr>
          <w:rFonts w:ascii="Times New Roman;sans-serif" w:hAnsi="Times New Roman;sans-serif"/>
          <w:b w:val="false"/>
          <w:color w:val="000000"/>
          <w:sz w:val="20"/>
        </w:rPr>
        <w:t xml:space="preserve">were $0.1 million for the three months ended March 31, 2025 and $0.2 million for the three months ended March 31, 2024. Restructuring charges were primarily related to employment termination costs as a result of the work-force reductions initiated to reduce operating costs and align our resources with our key strategic priorities.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Depreciation and amortization</w:t>
      </w:r>
      <w:r>
        <w:rPr>
          <w:color w:val="000000"/>
        </w:rPr>
        <w:t xml:space="preserve"> </w:t>
      </w:r>
      <w:r>
        <w:rPr>
          <w:rFonts w:ascii="Times New Roman;sans-serif" w:hAnsi="Times New Roman;sans-serif"/>
          <w:b w:val="false"/>
          <w:color w:val="000000"/>
          <w:sz w:val="20"/>
        </w:rPr>
        <w:t>expense decreased $0.3 million for the three months ended March 31, 2025, compared to the same period in 2024. The 2025 decrease was primarily attributable to the reduced amortization of capitalized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Interest</w:t>
      </w:r>
      <w:r>
        <w:rPr>
          <w:color w:val="000000"/>
        </w:rPr>
        <w:t xml:space="preserve"> </w:t>
      </w:r>
      <w:r>
        <w:rPr>
          <w:rFonts w:ascii="Times New Roman;sans-serif" w:hAnsi="Times New Roman;sans-serif"/>
          <w:b/>
          <w:color w:val="000000"/>
          <w:sz w:val="20"/>
        </w:rPr>
        <w:t>income</w:t>
      </w:r>
      <w:r>
        <w:rPr>
          <w:color w:val="000000"/>
        </w:rPr>
        <w:t xml:space="preserve"> </w:t>
      </w:r>
      <w:r>
        <w:rPr>
          <w:rFonts w:ascii="Times New Roman;sans-serif" w:hAnsi="Times New Roman;sans-serif"/>
          <w:b w:val="false"/>
          <w:color w:val="000000"/>
          <w:sz w:val="20"/>
        </w:rPr>
        <w:t xml:space="preserve">increased immaterially for the three months ended March 31, 2025, compared to the same period in prior year. Interest income is mainly related to interest on India's Unitized Time Deposits (UTDs).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color w:val="000000"/>
          <w:sz w:val="20"/>
        </w:rPr>
        <w:t>Interest expense</w:t>
      </w:r>
      <w:r>
        <w:rPr>
          <w:color w:val="000000"/>
        </w:rPr>
        <w:t xml:space="preserve"> </w:t>
      </w:r>
      <w:r>
        <w:rPr>
          <w:rFonts w:ascii="Times New Roman;sans-serif" w:hAnsi="Times New Roman;sans-serif"/>
          <w:b w:val="false"/>
          <w:color w:val="000000"/>
          <w:sz w:val="20"/>
        </w:rPr>
        <w:t xml:space="preserve">increased $1.9 million to $5.4 million for the three months ended March 31, 2025, compared to the same period in 2024. The increase is mainly due to $1.8 million interest expense related to the new Term Loan the Company obtained at the end of the second quarter of 2024, which was used to retire the Series B Preferred stock, improving the Company’s overall capital structure.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Other income (expense), net</w:t>
      </w:r>
      <w:r>
        <w:rPr>
          <w:color w:val="000000"/>
        </w:rPr>
        <w:t xml:space="preserve"> </w:t>
      </w:r>
      <w:r>
        <w:rPr>
          <w:rFonts w:ascii="Times New Roman;sans-serif" w:hAnsi="Times New Roman;sans-serif"/>
          <w:b w:val="false"/>
          <w:color w:val="000000"/>
          <w:sz w:val="20"/>
        </w:rPr>
        <w:t>decreased $9.4 million to expense of $5.6 million for the three months ended March 31, 2025 from income of $3.8 million during the same period in 2024 primarily due to the impact of non-cash foreign exchange losses on intercompany payables and receivables.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pPr>
      <w:r>
        <w:rPr>
          <w:rFonts w:ascii="Times New Roman;sans-serif" w:hAnsi="Times New Roman;sans-serif"/>
          <w:b/>
          <w:color w:val="000000"/>
          <w:sz w:val="20"/>
        </w:rPr>
        <w:t xml:space="preserve">Income tax. </w:t>
      </w:r>
      <w:r>
        <w:rPr>
          <w:rFonts w:ascii="Times New Roman;sans-serif" w:hAnsi="Times New Roman;sans-serif"/>
          <w:b w:val="false"/>
          <w:color w:val="000000"/>
          <w:sz w:val="20"/>
        </w:rPr>
        <w:t xml:space="preserve">The Company recognized an income tax expense of approximately $1.3 million for the three months ended March 31, 2025 and $0.6 million for the three months ended March 31, 2024. The effective tax rate was approximately (50.3)% for the three months ended March 31, 2025, which was lower than the U.S. federal statutory rate primarily due to impact of permanent adjustments, including Global Intangible Low-Taxed Income, and valuation allowances recorded, partially offset by the impact of foreign tax rate differential. The Company’s effective tax rate was approximately 11.9% for the three months ended March 31, 2024, which was lower than the U.S. federal statutory rate primarily due to the impact of valuation allowances recorded and foreign tax rate differential, partially offset by projected current income tax expense in the U.S. and certain foreign jurisdictions.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principal sources of liquidity have been cash provided by operations. At March 31, 2025 the Company had an aggregate of </w:t>
      </w:r>
      <w:r>
        <w:rPr>
          <w:rFonts w:ascii="Times New Roman;sans-serif" w:hAnsi="Times New Roman;sans-serif"/>
          <w:b w:val="false"/>
          <w:color w:val="000000"/>
          <w:sz w:val="20"/>
          <w:shd w:fill="FFFFFF" w:val="clear"/>
        </w:rPr>
        <w:t>$29.1 million</w:t>
      </w:r>
      <w:r>
        <w:rPr>
          <w:color w:val="000000"/>
        </w:rPr>
        <w:t xml:space="preserve"> </w:t>
      </w:r>
      <w:r>
        <w:rPr>
          <w:rFonts w:ascii="Times New Roman;sans-serif" w:hAnsi="Times New Roman;sans-serif"/>
          <w:b w:val="false"/>
          <w:color w:val="000000"/>
          <w:sz w:val="20"/>
        </w:rPr>
        <w:t xml:space="preserve">cash and cash equivalents, and generated operating cash flows of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 xml:space="preserve">for the three months ended March 31, 2025. </w:t>
      </w:r>
      <w:r>
        <w:rPr>
          <w:rFonts w:ascii="Times New Roman;sans-serif" w:hAnsi="Times New Roman;sans-serif"/>
          <w:b w:val="false"/>
          <w:color w:val="000000"/>
          <w:sz w:val="20"/>
          <w:shd w:fill="FFFFFF" w:val="clear"/>
        </w:rPr>
        <w:t>At March 31, 2025, our non-U.S. subsidiaries held approximately $12.1 million of cash and cash equivalents that are available for use by our operations around the worl</w:t>
      </w:r>
      <w:r>
        <w:rPr>
          <w:rFonts w:ascii="Times New Roman;sans-serif" w:hAnsi="Times New Roman;sans-serif"/>
          <w:b w:val="false"/>
          <w:color w:val="000000"/>
          <w:sz w:val="20"/>
        </w:rPr>
        <w:t xml:space="preserve">d. The Company believes it has sufficient cash and cash equivalents and will generate sufficient liquidity from operations to meet its obligations for at least the next 12 months.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However, as the current geopolitical tensions unfold, we will continue to assess any impact on our operations and our liquidity needs. Our liquidity plans are subject to a number of risks and uncertainties, including those described in the "Forward-Looking Statements" section of this MD&amp;A and Part I, Item 1A. “Risk Factors” in our Annual Report on Form 10-K for the year ended December 31, 2024, some of which are outside of our control.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Discussion of Cash Flows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net cash flows follows (in thousands): </w:t>
      </w:r>
    </w:p>
    <w:tbl>
      <w:tblPr>
        <w:tblW w:w="5928" w:type="dxa"/>
        <w:jc w:val="left"/>
        <w:tblInd w:w="0" w:type="dxa"/>
        <w:tblLayout w:type="fixed"/>
        <w:tblCellMar>
          <w:top w:w="28" w:type="dxa"/>
          <w:left w:w="28" w:type="dxa"/>
          <w:bottom w:w="28" w:type="dxa"/>
          <w:right w:w="28" w:type="dxa"/>
        </w:tblCellMar>
      </w:tblPr>
      <w:tblGrid>
        <w:gridCol w:w="961"/>
        <w:gridCol w:w="843"/>
        <w:gridCol w:w="850"/>
        <w:gridCol w:w="231"/>
        <w:gridCol w:w="759"/>
        <w:gridCol w:w="119"/>
        <w:gridCol w:w="119"/>
        <w:gridCol w:w="119"/>
        <w:gridCol w:w="119"/>
        <w:gridCol w:w="231"/>
        <w:gridCol w:w="759"/>
        <w:gridCol w:w="119"/>
        <w:gridCol w:w="109"/>
        <w:gridCol w:w="109"/>
        <w:gridCol w:w="109"/>
        <w:gridCol w:w="109"/>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 xml:space="preserve">Cash provided by operating activities </w:t>
      </w:r>
      <w:r>
        <w:rPr>
          <w:rFonts w:ascii="Times New Roman;sans-serif" w:hAnsi="Times New Roman;sans-serif"/>
          <w:b w:val="false"/>
          <w:color w:val="000000"/>
          <w:sz w:val="20"/>
        </w:rPr>
        <w:t>for the three months ended March 31, 2025 was $0.3 million as compared to $0.5 million of cash provided by operating activities for the same period in 2024. In the current period, the Company generated cash from operations mainly driven by continued growth in cloud subscribers and reduced operating costs, offset by unfavorable movements in working capital compared to the first quarter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Cash used in investing</w:t>
      </w:r>
      <w:r>
        <w:rPr>
          <w:color w:val="000000"/>
        </w:rPr>
        <w:t xml:space="preserve"> </w:t>
      </w:r>
      <w:r>
        <w:rPr>
          <w:rFonts w:ascii="Times New Roman;sans-serif" w:hAnsi="Times New Roman;sans-serif"/>
          <w:b/>
          <w:color w:val="000000"/>
          <w:sz w:val="20"/>
        </w:rPr>
        <w:t xml:space="preserve">activities </w:t>
      </w:r>
      <w:r>
        <w:rPr>
          <w:rFonts w:ascii="Times New Roman;sans-serif" w:hAnsi="Times New Roman;sans-serif"/>
          <w:b w:val="false"/>
          <w:color w:val="000000"/>
          <w:sz w:val="20"/>
        </w:rPr>
        <w:t xml:space="preserve">for the three months ended March 31, 2025 was $3.3 million as compared to $3.8 million of cash used in investing activities during the same period in 2024. The cash used in investing activities during current and prior year primarily funded product development for our Cloud offering and associated labor costs.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Cash used in financing activities</w:t>
      </w:r>
      <w:r>
        <w:rPr>
          <w:color w:val="000000"/>
        </w:rPr>
        <w:t xml:space="preserve"> </w:t>
      </w:r>
      <w:r>
        <w:rPr>
          <w:rFonts w:ascii="Times New Roman;sans-serif" w:hAnsi="Times New Roman;sans-serif"/>
          <w:b w:val="false"/>
          <w:color w:val="000000"/>
          <w:sz w:val="20"/>
        </w:rPr>
        <w:t>for the three months ended March 31, 2025 was $1.3 million as compared to $2.1 million of cash used in financing activities during the same period in 2024. The cash used in financing activities in the current year was primarily related to the $0.5 million principal payment on the Term Loan and $0.8 million of income and payroll taxes paid as a result of stock-based withholding. Cash used in financing activities in the prior year was primarily related to $2.1 million dividend payment on Series B Preferred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Effect of Inflation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shd w:fill="FFFFFF" w:val="clear"/>
        </w:rPr>
        <w:t xml:space="preserve">Inflationary increases in certain input costs, such as occupancy, labor and benefits, and general administrative costs have impacted our business. Management does not believe these impacts have had a material impact on our results of operations during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We cannot assure you, however, that we will not be affected by general inflation in the future.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consist of office and laptop leases, notes payable and related interest as well as contractual commitments under third-party hosting, software licenses and maintenance agreements. The following table summarizes our long</w:t>
        <w:noBreakHyphen/>
        <w:t>term contractual obligations as of March 31, 2025 (in thousands):</w:t>
      </w:r>
    </w:p>
    <w:tbl>
      <w:tblPr>
        <w:tblW w:w="8300" w:type="dxa"/>
        <w:jc w:val="left"/>
        <w:tblInd w:w="0" w:type="dxa"/>
        <w:tblLayout w:type="fixed"/>
        <w:tblCellMar>
          <w:top w:w="28" w:type="dxa"/>
          <w:left w:w="28" w:type="dxa"/>
          <w:bottom w:w="28" w:type="dxa"/>
          <w:right w:w="28" w:type="dxa"/>
        </w:tblCellMar>
      </w:tblPr>
      <w:tblGrid>
        <w:gridCol w:w="854"/>
        <w:gridCol w:w="748"/>
        <w:gridCol w:w="753"/>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obligations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Amount represents obligations associated with colocation agreements and other customer delivery related purchase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Uncertain Tax Positions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associated with uncertain tax positions were $4.4 million at March 31, 2025. We are not able to reasonably estimate when we would make any cash payments required to settle these liabilities, but we do not believe that the ultimate settlement of our obligations will materially affect our liquidity. The Company anticipates that $3.8 million of its currently unrecognized tax benefits, primarily related to research and development credits and other U.S. tax positions, may be recognized within the next 12 months as a result of a lapse of the statute of limitations.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considers an accounting policy to be critical if it is important to a company’s financial condition and results of operations, and if it requires significant judgment and estimates on the part of management in its application. These estimates and assumptions take into account historical and forward looking factors that the Company believes are reasonable, including but not limited to the potential impacts from current geopolitical tensions. As the extent and duration of the impacts from geopolitical developments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significant changes in our critical accounting policies and estimates from our Annual Report on Form 10-K for the year ended December 31, 2024. Refer to Management’s Discussion and Analysis of Financial Condition and Results of Operations contained in Part II, Item 7 of our Annual Report on Form 10-K for the year ended December 31, 2024 for a more complete discussion of our critical accounting policies and estimates.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issued accounting standards see Note 2. Basis of Presentation and Consolidation of the Notes to Condensed Consolidated Financial Statements in Item 1 of this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no off-balance sheet arrangements as of March 31, 2025 and December 31, 2024 that have, or are reasonably likely to have, a current or future effect on our financial condition, changes in financial condition, revenues or expenses, results of operations, liquidity, capital expenditures or capital resources that are material to investors.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about market risk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March 31, 2025 and December 31, 2024 were invested in liquid money market accounts and certificates of deposit. All market-risk sensitive instruments were entered into for non-trading purposes.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Exchange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interest rate fluctuations on the interest income earned on our cash and cash equivalents. A hypothetical 100 basis point movement in interest rates applicable to our cash and cash equivalents outstanding at March 31, 2025 would increase interest income by approximately $0.3 million on an annual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pursuant to our Term Loan Credit Agreement bear interest at a rate per annum equal to the Adjusted Term SOFR (as defined in the Credit Agreement) for the applicable interest period, plus 5.50%, subject to a floor of 2.50%. As such, our net income is sensitive to movements in interest rates. If interest rates increase, our debt obligations pursuant to the Credit Agreement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 Based on our outstanding borrowings pursuant to the Credit Agreement as of March 31, 2025 a hypothetical 100 basis point movement in interest rates would have affected interest expense on the debt by $0.7 million on an annual basis.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March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Rule 15d-15(f) under the Exchange Act) identified in connection with the evaluation of our controls performed during the three months ended March 31, 2025 that have materially affected, or are reasonably likely to materially affect, our internal control over financial reporting.</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material pending legal proceedings that could impact our results of operations, financial condition or cash flows see Note 17. Legal Matters of the Notes to Condensed Consolidated Financial Statements in Item 1 of this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risk factors as previously disclosed in Part I, Item 1A. included in our Annual Report on Form 10-K for the year ended December 31, 2024.</w:t>
      </w:r>
    </w:p>
    <w:p>
      <w:pPr>
        <w:pStyle w:val="TextBody"/>
        <w:bidi w:val="0"/>
        <w:spacing w:before="0" w:after="0"/>
        <w:jc w:val="left"/>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2. UNREGISTERED SALES OF EQUITY SECURITIES AND</w:t>
      </w:r>
      <w:r>
        <w:rPr>
          <w:color w:val="000000"/>
        </w:rPr>
        <w:t xml:space="preserve"> </w:t>
      </w:r>
      <w:r>
        <w:rPr>
          <w:rFonts w:ascii="Times New Roman;sans-serif" w:hAnsi="Times New Roman;sans-serif"/>
          <w:b/>
          <w:color w:val="000000"/>
          <w:sz w:val="20"/>
        </w:rPr>
        <w:t>USE OF PROCEEDS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80"/>
        <w:jc w:val="both"/>
        <w:rPr/>
      </w:pPr>
      <w:r>
        <w:rPr>
          <w:rFonts w:ascii="Times New Roman;sans-serif" w:hAnsi="Times New Roman;sans-serif"/>
          <w:b/>
          <w:color w:val="000000"/>
          <w:sz w:val="20"/>
        </w:rPr>
        <w:t>ITEM 5. OTHER INFORMATION</w:t>
      </w:r>
      <w:r>
        <w:rPr>
          <w:color w:val="000000"/>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3"/>
        <w:gridCol w:w="226"/>
        <w:gridCol w:w="109"/>
        <w:gridCol w:w="109"/>
        <w:gridCol w:w="109"/>
        <w:gridCol w:w="1375"/>
        <w:gridCol w:w="1207"/>
        <w:gridCol w:w="1220"/>
        <w:gridCol w:w="109"/>
        <w:gridCol w:w="109"/>
        <w:gridCol w:w="109"/>
        <w:gridCol w:w="170"/>
        <w:gridCol w:w="170"/>
        <w:gridCol w:w="171"/>
        <w:gridCol w:w="109"/>
        <w:gridCol w:w="109"/>
        <w:gridCol w:w="109"/>
        <w:gridCol w:w="299"/>
        <w:gridCol w:w="245"/>
        <w:gridCol w:w="165"/>
        <w:gridCol w:w="109"/>
        <w:gridCol w:w="109"/>
        <w:gridCol w:w="109"/>
        <w:gridCol w:w="210"/>
        <w:gridCol w:w="210"/>
        <w:gridCol w:w="211"/>
        <w:gridCol w:w="109"/>
        <w:gridCol w:w="109"/>
        <w:gridCol w:w="109"/>
        <w:gridCol w:w="475"/>
        <w:gridCol w:w="257"/>
        <w:gridCol w:w="241"/>
        <w:gridCol w:w="109"/>
        <w:gridCol w:w="109"/>
        <w:gridCol w:w="109"/>
        <w:gridCol w:w="265"/>
        <w:gridCol w:w="265"/>
        <w:gridCol w:w="38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21"/>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16"/>
                  <w:u w:val="single"/>
                </w:rPr>
                <w:t>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6"/>
                  <w:u w:val="single"/>
                </w:rPr>
                <w:t>Certificate of Amendment to the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16"/>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333-132080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9,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16"/>
                  <w:u w:val="single"/>
                </w:rPr>
                <w:t>Amendment No. 1 to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ans-serif" w:hAnsi="Times New Roman;sans-serif"/>
                  <w:b w:val="false"/>
                  <w:color w:val="0000FF"/>
                  <w:sz w:val="16"/>
                  <w:u w:val="single"/>
                </w:rPr>
                <w:t>Amendment No. 2 to the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ans-serif" w:hAnsi="Times New Roman;sans-serif"/>
                  <w:b w:val="false"/>
                  <w:color w:val="0000FF"/>
                  <w:sz w:val="16"/>
                  <w:u w:val="single"/>
                </w:rPr>
                <w:t>Certificate of Designations of the Series B Perpetual Non-Convertible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16"/>
                  <w:u w:val="single"/>
                </w:rPr>
                <w:t>Certificate of Amendment of the Restated Certificate of Incorporation of Synchronoss Technologies,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16"/>
                  <w:u w:val="single"/>
                </w:rPr>
                <w:t xml:space="preserve">Certificate of Elimination of the Series B Perpetual Non-Convertible Preferred Stock.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16"/>
                  <w:u w:val="single"/>
                </w:rPr>
                <w:t>Synchronoss Technologies, Inc.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sncrx331202510xq.htm">
              <w:r>
                <w:rPr>
                  <w:rStyle w:val="InternetLink"/>
                  <w:rFonts w:ascii="Times New Roman;sans-serif" w:hAnsi="Times New Roman;sans-serif"/>
                  <w:b w:val="false"/>
                  <w:color w:val="0000FF"/>
                  <w:sz w:val="16"/>
                  <w:u w:val="single"/>
                </w:rPr>
                <w:t>Certification of Principal Executive Officer pursuant to Rule 13a</w:t>
                <w:noBreakHyphen/>
                <w:t>14(a) of the Exchange Act,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sncrx331202510xq.htm">
              <w:r>
                <w:rPr>
                  <w:rStyle w:val="InternetLink"/>
                  <w:rFonts w:ascii="Times New Roman;sans-serif" w:hAnsi="Times New Roman;sans-serif"/>
                  <w:b w:val="false"/>
                  <w:color w:val="0000FF"/>
                  <w:sz w:val="16"/>
                  <w:u w:val="single"/>
                </w:rPr>
                <w:t>Certification of Principal Financial Officer pursuant to Rule 13a</w:t>
                <w:noBreakHyphen/>
                <w:t>14(a) of the Exchange Act,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sncrx331202510xq.htm">
              <w:r>
                <w:rPr>
                  <w:rStyle w:val="InternetLink"/>
                  <w:rFonts w:ascii="Times New Roman;sans-serif" w:hAnsi="Times New Roman;sans-serif"/>
                  <w:b w:val="false"/>
                  <w:color w:val="0000FF"/>
                  <w:sz w:val="16"/>
                  <w:u w:val="single"/>
                </w:rPr>
                <w:t>Certification of Principal Executive Officer pursuant to Rule 13a</w:t>
                <w:noBreakHyphen/>
                <w:t>14(b) of the Exchange Act and section 18 U.S.C. Section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sncrx331202510xq.htm">
              <w:r>
                <w:rPr>
                  <w:rStyle w:val="InternetLink"/>
                  <w:rFonts w:ascii="Times New Roman;sans-serif" w:hAnsi="Times New Roman;sans-serif"/>
                  <w:b w:val="false"/>
                  <w:color w:val="0000FF"/>
                  <w:sz w:val="16"/>
                  <w:u w:val="single"/>
                </w:rPr>
                <w:t>Certification of Principal Financial Officer pursuant to Rule 13a</w:t>
                <w:noBreakHyphen/>
                <w:t>14(b) of the Exchange Act and section 18 U.S.C. Section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eafb5afafca4d08962d9add0ea904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caused this Report to be signed on its behalf by the undersigned, thereunto duly authorized.</w:t>
      </w:r>
    </w:p>
    <w:tbl>
      <w:tblPr>
        <w:tblW w:w="37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4"/>
        <w:gridCol w:w="894"/>
        <w:gridCol w:w="8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Synchronoss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May 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SECURITIES AND EXCHANGE COMMISSION RULE 13a-14(a)</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I, </w:t>
      </w:r>
      <w:r>
        <w:rPr>
          <w:rFonts w:ascii="Times New Roman;sans-serif" w:hAnsi="Times New Roman;sans-serif"/>
          <w:b/>
          <w:color w:val="000000"/>
          <w:sz w:val="20"/>
        </w:rPr>
        <w:t>Jeff Miller</w:t>
      </w:r>
      <w:r>
        <w:rPr>
          <w:rFonts w:ascii="Times New Roman;sans-serif" w:hAnsi="Times New Roman;sans-serif"/>
          <w:b w:val="false"/>
          <w:color w:val="000000"/>
          <w:sz w:val="20"/>
        </w:rPr>
        <w:t>,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Synchronoss Technologies, Inc. for the quarter ended March 31, 2025;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3264" w:type="dxa"/>
        <w:jc w:val="left"/>
        <w:tblInd w:w="0" w:type="dxa"/>
        <w:tblLayout w:type="fixed"/>
        <w:tblCellMar>
          <w:top w:w="28" w:type="dxa"/>
          <w:left w:w="28" w:type="dxa"/>
          <w:bottom w:w="28" w:type="dxa"/>
          <w:right w:w="28" w:type="dxa"/>
        </w:tblCellMar>
      </w:tblPr>
      <w:tblGrid>
        <w:gridCol w:w="124"/>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SECURITIES AND EXCHANGE COMMISSION RULE 13a-14(a)</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I, </w:t>
      </w:r>
      <w:r>
        <w:rPr>
          <w:rFonts w:ascii="Times New Roman;sans-serif" w:hAnsi="Times New Roman;sans-serif"/>
          <w:b/>
          <w:color w:val="000000"/>
          <w:sz w:val="20"/>
        </w:rPr>
        <w:t>Louis Ferraro</w:t>
      </w:r>
      <w:r>
        <w:rPr>
          <w:rFonts w:ascii="Times New Roman;sans-serif" w:hAnsi="Times New Roman;sans-serif"/>
          <w:b w:val="false"/>
          <w:color w:val="000000"/>
          <w:sz w:val="20"/>
        </w:rPr>
        <w:t>,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Synchronoss Technologies, Inc. for the quarter ended March 31, 2025;</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2025 </w:t>
      </w:r>
    </w:p>
    <w:tbl>
      <w:tblPr>
        <w:tblW w:w="3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ind w:left="0" w:right="0" w:firstLine="720"/>
        <w:jc w:val="right"/>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ind w:left="0" w:right="0" w:firstLine="720"/>
        <w:jc w:val="center"/>
        <w:rPr/>
      </w:pPr>
      <w:r>
        <w:rPr>
          <w:rFonts w:ascii="Times New Roman;sans-serif" w:hAnsi="Times New Roman;sans-serif"/>
          <w:b/>
          <w:color w:val="000000"/>
          <w:sz w:val="20"/>
        </w:rPr>
        <w:t>SECTION 906 OF THE SARBANES-OXLEY ACT OF 2002</w:t>
      </w: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20"/>
        <w:jc w:val="both"/>
        <w:rPr/>
      </w:pPr>
      <w:r>
        <w:rPr>
          <w:rFonts w:ascii="Times New Roman;sans-serif" w:hAnsi="Times New Roman;sans-serif"/>
          <w:b w:val="false"/>
          <w:color w:val="000000"/>
          <w:sz w:val="20"/>
        </w:rPr>
        <w:t xml:space="preserve">In connection with the Quarterly Report on Form 10-Q of Synchronoss Technologies, Inc. (the “Company”) for the quarter ended March 31, 2025, as filed with the Securities and Exchange Commission on the date hereof (the “Report”), I, </w:t>
      </w:r>
      <w:r>
        <w:rPr>
          <w:rFonts w:ascii="Times New Roman;sans-serif" w:hAnsi="Times New Roman;sans-serif"/>
          <w:b/>
          <w:color w:val="000000"/>
          <w:sz w:val="20"/>
        </w:rPr>
        <w:t>Jeff Miller</w:t>
      </w:r>
      <w:r>
        <w:rPr>
          <w:rFonts w:ascii="Times New Roman;sans-serif" w:hAnsi="Times New Roman;sans-serif"/>
          <w:b w:val="false"/>
          <w:color w:val="000000"/>
          <w:sz w:val="20"/>
        </w:rPr>
        <w:t>, the Chief Executive Officer of the Company, hereby certify, pursuant to 18 U.S.C. 1350, as adopted pursuant to Section 906 of the Sarbanes-Oxley Act of 2002, to the best of my knowledge and belief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provided pursuant to 18 U.S.C. 1350 and is not to be deemed a part of the Report, nor is it to be deemed to be “filed” for any purpose whatsoever.</w:t>
      </w:r>
    </w:p>
    <w:p>
      <w:pPr>
        <w:pStyle w:val="TextBody"/>
        <w:bidi w:val="0"/>
        <w:spacing w:before="200" w:after="283"/>
        <w:jc w:val="both"/>
        <w:rPr/>
      </w:pPr>
      <w:r>
        <w:rPr/>
      </w:r>
    </w:p>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35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72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color w:val="000000"/>
        </w:rPr>
        <w:t> </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120"/>
        <w:jc w:val="both"/>
        <w:rPr/>
      </w:pPr>
      <w:r>
        <w:rPr>
          <w:rFonts w:ascii="Times New Roman;sans-serif" w:hAnsi="Times New Roman;sans-serif"/>
          <w:b w:val="false"/>
          <w:color w:val="000000"/>
          <w:sz w:val="20"/>
        </w:rPr>
        <w:t xml:space="preserve">In connection with the Quarterly Report on Form 10-Q of Synchronoss Technologies, Inc. (the “Company”) for the quarter ended March 31, 2025, as filed with the Securities and Exchange Commission on the date hereof (the “Report”), I, </w:t>
      </w:r>
      <w:r>
        <w:rPr>
          <w:rFonts w:ascii="Times New Roman;sans-serif" w:hAnsi="Times New Roman;sans-serif"/>
          <w:b/>
          <w:color w:val="000000"/>
          <w:sz w:val="20"/>
        </w:rPr>
        <w:t>Louis Ferraro</w:t>
      </w:r>
      <w:r>
        <w:rPr>
          <w:rFonts w:ascii="Times New Roman;sans-serif" w:hAnsi="Times New Roman;sans-serif"/>
          <w:b w:val="false"/>
          <w:color w:val="000000"/>
          <w:sz w:val="20"/>
        </w:rPr>
        <w:t>, the Chief Financial Officer of the Company, hereby certify, pursuant to 18 U.S.C. 1350, as adopted pursuant to Section 906 of the Sarbanes-Oxley Act of 2002, to the best of my knowledge and belief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provided pursuant to 18 U.S.C. 1350 and is not to be deemed a part of the Report, nor is it to be deemed to be “filed” for any purpose whatsoever.</w:t>
      </w:r>
    </w:p>
    <w:p>
      <w:pPr>
        <w:pStyle w:val="TextBody"/>
        <w:bidi w:val="0"/>
        <w:spacing w:before="200" w:after="283"/>
        <w:jc w:val="both"/>
        <w:rPr/>
      </w:pPr>
      <w:r>
        <w:rPr/>
      </w:r>
    </w:p>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3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1554/000113155423000013/sncr-123122xex31restatedce.htm" TargetMode="External"/><Relationship Id="rId3" Type="http://schemas.openxmlformats.org/officeDocument/2006/relationships/hyperlink" Target="https://www.sec.gov/Archives/edgar/data/1131554/000113155422000035/sncr-exhx31certificateofam.htm" TargetMode="External"/><Relationship Id="rId4" Type="http://schemas.openxmlformats.org/officeDocument/2006/relationships/hyperlink" Target="https://www.sec.gov/Archives/edgar/data/1131554/000095012306005985/y15440a2exv3w4.txt" TargetMode="External"/><Relationship Id="rId5" Type="http://schemas.openxmlformats.org/officeDocument/2006/relationships/hyperlink" Target="https://www.sec.gov/Archives/edgar/data/1131554/000110465918010721/a18-6289_1ex3d2.htm" TargetMode="External"/><Relationship Id="rId6" Type="http://schemas.openxmlformats.org/officeDocument/2006/relationships/hyperlink" Target="https://www.sec.gov/Archives/edgar/data/1131554/000110465921087598/tm2120300d3_ex3-3.htm" TargetMode="External"/><Relationship Id="rId7" Type="http://schemas.openxmlformats.org/officeDocument/2006/relationships/hyperlink" Target="https://www.sec.gov/Archives/edgar/data/1131554/000110465921087598/tm2120300d3_ex3-1.htm" TargetMode="External"/><Relationship Id="rId8" Type="http://schemas.openxmlformats.org/officeDocument/2006/relationships/hyperlink" Target="https://www.sec.gov/Archives/edgar/data/1131554/000113155423000098/exh31sncr-certificateofame.htm" TargetMode="External"/><Relationship Id="rId9" Type="http://schemas.openxmlformats.org/officeDocument/2006/relationships/hyperlink" Target="https://www.sec.gov/Archives/edgar/data/1131554/000113155424000066/exh31sncr-certificateofeli.htm" TargetMode="External"/><Relationship Id="rId10" Type="http://schemas.openxmlformats.org/officeDocument/2006/relationships/hyperlink" Target="https://www.sec.gov/Archives/edgar/data/1131554/000113155424000099/ex101-sncrx2015equityincen.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17811</Words>
  <Characters>99263</Characters>
  <CharactersWithSpaces>115845</CharactersWithSpaces>
  <Paragraphs>1997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