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151765</wp:posOffset>
            </wp:positionV>
            <wp:extent cx="63353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pacing w:after="0" w:line="29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54610</wp:posOffset>
            </wp:positionV>
            <wp:extent cx="11366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135"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10-K</w:t>
      </w:r>
    </w:p>
    <w:p>
      <w:pPr>
        <w:spacing w:after="0" w:line="40" w:lineRule="exact"/>
        <w:rPr>
          <w:sz w:val="20"/>
          <w:szCs w:val="20"/>
          <w:color w:val="auto"/>
        </w:rPr>
      </w:pPr>
    </w:p>
    <w:p>
      <w:pPr>
        <w:ind w:left="2200" w:hanging="879"/>
        <w:spacing w:after="0"/>
        <w:tabs>
          <w:tab w:leader="none" w:pos="2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2" w:lineRule="exact"/>
        <w:rPr>
          <w:sz w:val="20"/>
          <w:szCs w:val="20"/>
          <w:color w:val="auto"/>
        </w:rPr>
      </w:pPr>
    </w:p>
    <w:p>
      <w:pPr>
        <w:ind w:left="2200" w:hanging="849"/>
        <w:spacing w:after="0"/>
        <w:tabs>
          <w:tab w:leader="none" w:pos="22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6" w:lineRule="exact"/>
        <w:rPr>
          <w:sz w:val="20"/>
          <w:szCs w:val="20"/>
          <w:color w:val="auto"/>
        </w:rPr>
      </w:pPr>
    </w:p>
    <w:p>
      <w:pPr>
        <w:ind w:left="2200"/>
        <w:spacing w:after="0"/>
        <w:tabs>
          <w:tab w:leader="none" w:pos="42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Commission file number 000-52049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11366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178" w:lineRule="exact"/>
        <w:rPr>
          <w:sz w:val="20"/>
          <w:szCs w:val="20"/>
          <w:color w:val="auto"/>
        </w:rPr>
      </w:pPr>
    </w:p>
    <w:p>
      <w:pPr>
        <w:jc w:val="center"/>
        <w:ind w:right="-819"/>
        <w:spacing w:after="0"/>
        <w:rPr>
          <w:sz w:val="20"/>
          <w:szCs w:val="20"/>
          <w:color w:val="auto"/>
        </w:rPr>
      </w:pPr>
      <w:r>
        <w:rPr>
          <w:rFonts w:ascii="Arial" w:cs="Arial" w:eastAsia="Arial" w:hAnsi="Arial"/>
          <w:sz w:val="32"/>
          <w:szCs w:val="32"/>
          <w:b w:val="1"/>
          <w:bCs w:val="1"/>
          <w:color w:val="auto"/>
        </w:rPr>
        <w:t>SYNCHRONOSS TECHNOLOGIES, INC.</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36" w:lineRule="exact"/>
        <w:rPr>
          <w:sz w:val="20"/>
          <w:szCs w:val="20"/>
          <w:color w:val="auto"/>
        </w:rPr>
      </w:pPr>
    </w:p>
    <w:tbl>
      <w:tblPr>
        <w:tblLayout w:type="fixed"/>
        <w:tblInd w:w="2680" w:type="dxa"/>
        <w:tblCellMar>
          <w:top w:w="0" w:type="dxa"/>
          <w:left w:w="0" w:type="dxa"/>
          <w:bottom w:w="0" w:type="dxa"/>
          <w:right w:w="0" w:type="dxa"/>
        </w:tblCellMar>
      </w:tblPr>
      <w:tr>
        <w:trPr>
          <w:trHeight w:val="158"/>
        </w:trPr>
        <w:tc>
          <w:tcPr>
            <w:tcW w:w="1100" w:type="dxa"/>
            <w:vAlign w:val="bottom"/>
          </w:tcPr>
          <w:p>
            <w:pPr>
              <w:jc w:val="center"/>
              <w:ind w:right="21"/>
              <w:spacing w:after="0"/>
              <w:rPr>
                <w:sz w:val="20"/>
                <w:szCs w:val="20"/>
                <w:color w:val="auto"/>
              </w:rPr>
            </w:pPr>
            <w:r>
              <w:rPr>
                <w:rFonts w:ascii="Arial" w:cs="Arial" w:eastAsia="Arial" w:hAnsi="Arial"/>
                <w:sz w:val="13"/>
                <w:szCs w:val="13"/>
                <w:b w:val="1"/>
                <w:bCs w:val="1"/>
                <w:color w:val="auto"/>
                <w:w w:val="94"/>
              </w:rPr>
              <w:t>Delaware</w:t>
            </w:r>
          </w:p>
        </w:tc>
        <w:tc>
          <w:tcPr>
            <w:tcW w:w="5160" w:type="dxa"/>
            <w:vAlign w:val="bottom"/>
          </w:tcPr>
          <w:p>
            <w:pPr>
              <w:jc w:val="right"/>
              <w:ind w:right="378"/>
              <w:spacing w:after="0"/>
              <w:rPr>
                <w:sz w:val="20"/>
                <w:szCs w:val="20"/>
                <w:color w:val="auto"/>
              </w:rPr>
            </w:pPr>
            <w:r>
              <w:rPr>
                <w:rFonts w:ascii="Arial" w:cs="Arial" w:eastAsia="Arial" w:hAnsi="Arial"/>
                <w:sz w:val="13"/>
                <w:szCs w:val="13"/>
                <w:b w:val="1"/>
                <w:bCs w:val="1"/>
                <w:color w:val="auto"/>
              </w:rPr>
              <w:t>06-159540</w:t>
            </w:r>
          </w:p>
        </w:tc>
      </w:tr>
      <w:tr>
        <w:trPr>
          <w:trHeight w:val="132"/>
        </w:trPr>
        <w:tc>
          <w:tcPr>
            <w:tcW w:w="1100" w:type="dxa"/>
            <w:vAlign w:val="bottom"/>
          </w:tcPr>
          <w:p>
            <w:pPr>
              <w:jc w:val="center"/>
              <w:ind w:right="41"/>
              <w:spacing w:after="0"/>
              <w:rPr>
                <w:sz w:val="20"/>
                <w:szCs w:val="20"/>
                <w:color w:val="auto"/>
              </w:rPr>
            </w:pPr>
            <w:r>
              <w:rPr>
                <w:rFonts w:ascii="Arial" w:cs="Arial" w:eastAsia="Arial" w:hAnsi="Arial"/>
                <w:sz w:val="11"/>
                <w:szCs w:val="11"/>
                <w:i w:val="1"/>
                <w:iCs w:val="1"/>
                <w:color w:val="auto"/>
                <w:w w:val="89"/>
              </w:rPr>
              <w:t>(State of incorporation)</w:t>
            </w:r>
          </w:p>
        </w:tc>
        <w:tc>
          <w:tcPr>
            <w:tcW w:w="5160" w:type="dxa"/>
            <w:vAlign w:val="bottom"/>
          </w:tcPr>
          <w:p>
            <w:pPr>
              <w:jc w:val="center"/>
              <w:ind w:left="3658"/>
              <w:spacing w:after="0"/>
              <w:rPr>
                <w:sz w:val="20"/>
                <w:szCs w:val="20"/>
                <w:color w:val="auto"/>
              </w:rPr>
            </w:pPr>
            <w:r>
              <w:rPr>
                <w:rFonts w:ascii="Arial" w:cs="Arial" w:eastAsia="Arial" w:hAnsi="Arial"/>
                <w:sz w:val="11"/>
                <w:szCs w:val="11"/>
                <w:i w:val="1"/>
                <w:iCs w:val="1"/>
                <w:color w:val="auto"/>
                <w:w w:val="89"/>
              </w:rPr>
              <w:t>(IRS Employer Identification No.)</w:t>
            </w:r>
          </w:p>
        </w:tc>
      </w:tr>
      <w:tr>
        <w:trPr>
          <w:trHeight w:val="234"/>
        </w:trPr>
        <w:tc>
          <w:tcPr>
            <w:tcW w:w="1100" w:type="dxa"/>
            <w:vAlign w:val="bottom"/>
          </w:tcPr>
          <w:p>
            <w:pPr>
              <w:spacing w:after="0"/>
              <w:rPr>
                <w:sz w:val="20"/>
                <w:szCs w:val="20"/>
                <w:color w:val="auto"/>
              </w:rPr>
            </w:pPr>
          </w:p>
        </w:tc>
        <w:tc>
          <w:tcPr>
            <w:tcW w:w="5160" w:type="dxa"/>
            <w:vAlign w:val="bottom"/>
          </w:tcPr>
          <w:p>
            <w:pPr>
              <w:jc w:val="center"/>
              <w:ind w:right="1298"/>
              <w:spacing w:after="0"/>
              <w:rPr>
                <w:sz w:val="20"/>
                <w:szCs w:val="20"/>
                <w:color w:val="auto"/>
              </w:rPr>
            </w:pPr>
            <w:r>
              <w:rPr>
                <w:rFonts w:ascii="Arial" w:cs="Arial" w:eastAsia="Arial" w:hAnsi="Arial"/>
                <w:sz w:val="13"/>
                <w:szCs w:val="13"/>
                <w:b w:val="1"/>
                <w:bCs w:val="1"/>
                <w:color w:val="auto"/>
                <w:w w:val="90"/>
              </w:rPr>
              <w:t>750 Route 202 South, Suite 600, Bridgewater, New Jersey 08807</w:t>
            </w:r>
          </w:p>
        </w:tc>
      </w:tr>
      <w:tr>
        <w:trPr>
          <w:trHeight w:val="132"/>
        </w:trPr>
        <w:tc>
          <w:tcPr>
            <w:tcW w:w="1100" w:type="dxa"/>
            <w:vAlign w:val="bottom"/>
          </w:tcPr>
          <w:p>
            <w:pPr>
              <w:spacing w:after="0"/>
              <w:rPr>
                <w:sz w:val="11"/>
                <w:szCs w:val="11"/>
                <w:color w:val="auto"/>
              </w:rPr>
            </w:pPr>
          </w:p>
        </w:tc>
        <w:tc>
          <w:tcPr>
            <w:tcW w:w="5160" w:type="dxa"/>
            <w:vAlign w:val="bottom"/>
          </w:tcPr>
          <w:p>
            <w:pPr>
              <w:jc w:val="center"/>
              <w:ind w:right="1318"/>
              <w:spacing w:after="0"/>
              <w:rPr>
                <w:sz w:val="20"/>
                <w:szCs w:val="20"/>
                <w:color w:val="auto"/>
              </w:rPr>
            </w:pPr>
            <w:r>
              <w:rPr>
                <w:rFonts w:ascii="Arial" w:cs="Arial" w:eastAsia="Arial" w:hAnsi="Arial"/>
                <w:sz w:val="11"/>
                <w:szCs w:val="11"/>
                <w:i w:val="1"/>
                <w:iCs w:val="1"/>
                <w:color w:val="auto"/>
                <w:w w:val="87"/>
              </w:rPr>
              <w:t>(Address of principal executive offices, including ZIP code)</w:t>
            </w:r>
          </w:p>
        </w:tc>
      </w:tr>
      <w:tr>
        <w:trPr>
          <w:trHeight w:val="184"/>
        </w:trPr>
        <w:tc>
          <w:tcPr>
            <w:tcW w:w="1100" w:type="dxa"/>
            <w:vAlign w:val="bottom"/>
          </w:tcPr>
          <w:p>
            <w:pPr>
              <w:spacing w:after="0"/>
              <w:rPr>
                <w:sz w:val="16"/>
                <w:szCs w:val="16"/>
                <w:color w:val="auto"/>
              </w:rPr>
            </w:pPr>
          </w:p>
        </w:tc>
        <w:tc>
          <w:tcPr>
            <w:tcW w:w="5160" w:type="dxa"/>
            <w:vAlign w:val="bottom"/>
          </w:tcPr>
          <w:p>
            <w:pPr>
              <w:jc w:val="center"/>
              <w:ind w:right="1318"/>
              <w:spacing w:after="0"/>
              <w:rPr>
                <w:sz w:val="20"/>
                <w:szCs w:val="20"/>
                <w:color w:val="auto"/>
              </w:rPr>
            </w:pPr>
            <w:r>
              <w:rPr>
                <w:rFonts w:ascii="Arial" w:cs="Arial" w:eastAsia="Arial" w:hAnsi="Arial"/>
                <w:sz w:val="13"/>
                <w:szCs w:val="13"/>
                <w:b w:val="1"/>
                <w:bCs w:val="1"/>
                <w:color w:val="auto"/>
                <w:w w:val="92"/>
              </w:rPr>
              <w:t>(866) 620-3940</w:t>
            </w:r>
          </w:p>
        </w:tc>
      </w:tr>
      <w:tr>
        <w:trPr>
          <w:trHeight w:val="132"/>
        </w:trPr>
        <w:tc>
          <w:tcPr>
            <w:tcW w:w="1100" w:type="dxa"/>
            <w:vAlign w:val="bottom"/>
          </w:tcPr>
          <w:p>
            <w:pPr>
              <w:spacing w:after="0"/>
              <w:rPr>
                <w:sz w:val="11"/>
                <w:szCs w:val="11"/>
                <w:color w:val="auto"/>
              </w:rPr>
            </w:pPr>
          </w:p>
        </w:tc>
        <w:tc>
          <w:tcPr>
            <w:tcW w:w="5160" w:type="dxa"/>
            <w:vAlign w:val="bottom"/>
          </w:tcPr>
          <w:p>
            <w:pPr>
              <w:jc w:val="center"/>
              <w:ind w:right="1298"/>
              <w:spacing w:after="0"/>
              <w:rPr>
                <w:sz w:val="20"/>
                <w:szCs w:val="20"/>
                <w:color w:val="auto"/>
              </w:rPr>
            </w:pPr>
            <w:r>
              <w:rPr>
                <w:rFonts w:ascii="Arial" w:cs="Arial" w:eastAsia="Arial" w:hAnsi="Arial"/>
                <w:sz w:val="11"/>
                <w:szCs w:val="11"/>
                <w:i w:val="1"/>
                <w:iCs w:val="1"/>
                <w:color w:val="auto"/>
                <w:w w:val="86"/>
              </w:rPr>
              <w:t>(Registrant’s telephone number, including area code)</w:t>
            </w:r>
          </w:p>
        </w:tc>
      </w:tr>
      <w:tr>
        <w:trPr>
          <w:trHeight w:val="343"/>
        </w:trPr>
        <w:tc>
          <w:tcPr>
            <w:tcW w:w="1100" w:type="dxa"/>
            <w:vAlign w:val="bottom"/>
          </w:tcPr>
          <w:p>
            <w:pPr>
              <w:spacing w:after="0"/>
              <w:rPr>
                <w:sz w:val="24"/>
                <w:szCs w:val="24"/>
                <w:color w:val="auto"/>
              </w:rPr>
            </w:pPr>
          </w:p>
        </w:tc>
        <w:tc>
          <w:tcPr>
            <w:tcW w:w="5160" w:type="dxa"/>
            <w:vAlign w:val="bottom"/>
          </w:tcPr>
          <w:p>
            <w:pPr>
              <w:jc w:val="center"/>
              <w:ind w:right="1318"/>
              <w:spacing w:after="0"/>
              <w:rPr>
                <w:sz w:val="20"/>
                <w:szCs w:val="20"/>
                <w:color w:val="auto"/>
              </w:rPr>
            </w:pPr>
            <w:r>
              <w:rPr>
                <w:rFonts w:ascii="Arial" w:cs="Arial" w:eastAsia="Arial" w:hAnsi="Arial"/>
                <w:sz w:val="13"/>
                <w:szCs w:val="13"/>
                <w:b w:val="1"/>
                <w:bCs w:val="1"/>
                <w:color w:val="auto"/>
                <w:w w:val="90"/>
              </w:rPr>
              <w:t>Securities registered pursuant to Section 12(b) of the Act:</w:t>
            </w:r>
          </w:p>
        </w:tc>
      </w:tr>
      <w:tr>
        <w:trPr>
          <w:trHeight w:val="169"/>
        </w:trPr>
        <w:tc>
          <w:tcPr>
            <w:tcW w:w="1100" w:type="dxa"/>
            <w:vAlign w:val="bottom"/>
          </w:tcPr>
          <w:p>
            <w:pPr>
              <w:spacing w:after="0"/>
              <w:rPr>
                <w:sz w:val="14"/>
                <w:szCs w:val="14"/>
                <w:color w:val="auto"/>
              </w:rPr>
            </w:pPr>
          </w:p>
        </w:tc>
        <w:tc>
          <w:tcPr>
            <w:tcW w:w="5160" w:type="dxa"/>
            <w:vAlign w:val="bottom"/>
          </w:tcPr>
          <w:p>
            <w:pPr>
              <w:jc w:val="center"/>
              <w:ind w:right="1298"/>
              <w:spacing w:after="0"/>
              <w:rPr>
                <w:sz w:val="20"/>
                <w:szCs w:val="20"/>
                <w:color w:val="auto"/>
              </w:rPr>
            </w:pPr>
            <w:r>
              <w:rPr>
                <w:rFonts w:ascii="Arial" w:cs="Arial" w:eastAsia="Arial" w:hAnsi="Arial"/>
                <w:sz w:val="13"/>
                <w:szCs w:val="13"/>
                <w:b w:val="1"/>
                <w:bCs w:val="1"/>
                <w:color w:val="auto"/>
                <w:w w:val="86"/>
              </w:rPr>
              <w:t>None</w:t>
            </w:r>
          </w:p>
        </w:tc>
      </w:tr>
      <w:tr>
        <w:trPr>
          <w:trHeight w:val="196"/>
        </w:trPr>
        <w:tc>
          <w:tcPr>
            <w:tcW w:w="1100" w:type="dxa"/>
            <w:vAlign w:val="bottom"/>
          </w:tcPr>
          <w:p>
            <w:pPr>
              <w:spacing w:after="0"/>
              <w:rPr>
                <w:sz w:val="17"/>
                <w:szCs w:val="17"/>
                <w:color w:val="auto"/>
              </w:rPr>
            </w:pPr>
          </w:p>
        </w:tc>
        <w:tc>
          <w:tcPr>
            <w:tcW w:w="5160" w:type="dxa"/>
            <w:vAlign w:val="bottom"/>
          </w:tcPr>
          <w:p>
            <w:pPr>
              <w:jc w:val="center"/>
              <w:ind w:right="1318"/>
              <w:spacing w:after="0"/>
              <w:rPr>
                <w:sz w:val="20"/>
                <w:szCs w:val="20"/>
                <w:color w:val="auto"/>
              </w:rPr>
            </w:pPr>
            <w:r>
              <w:rPr>
                <w:rFonts w:ascii="Arial" w:cs="Arial" w:eastAsia="Arial" w:hAnsi="Arial"/>
                <w:sz w:val="13"/>
                <w:szCs w:val="13"/>
                <w:b w:val="1"/>
                <w:bCs w:val="1"/>
                <w:color w:val="auto"/>
                <w:w w:val="90"/>
              </w:rPr>
              <w:t>Securities registered pursuant to Section 12(g) of the Act:</w:t>
            </w:r>
          </w:p>
        </w:tc>
      </w:tr>
      <w:tr>
        <w:trPr>
          <w:trHeight w:val="169"/>
        </w:trPr>
        <w:tc>
          <w:tcPr>
            <w:tcW w:w="1100" w:type="dxa"/>
            <w:vAlign w:val="bottom"/>
          </w:tcPr>
          <w:p>
            <w:pPr>
              <w:spacing w:after="0"/>
              <w:rPr>
                <w:sz w:val="14"/>
                <w:szCs w:val="14"/>
                <w:color w:val="auto"/>
              </w:rPr>
            </w:pPr>
          </w:p>
        </w:tc>
        <w:tc>
          <w:tcPr>
            <w:tcW w:w="5160" w:type="dxa"/>
            <w:vAlign w:val="bottom"/>
          </w:tcPr>
          <w:p>
            <w:pPr>
              <w:jc w:val="center"/>
              <w:ind w:right="1298"/>
              <w:spacing w:after="0"/>
              <w:rPr>
                <w:sz w:val="20"/>
                <w:szCs w:val="20"/>
                <w:color w:val="auto"/>
              </w:rPr>
            </w:pPr>
            <w:r>
              <w:rPr>
                <w:rFonts w:ascii="Arial" w:cs="Arial" w:eastAsia="Arial" w:hAnsi="Arial"/>
                <w:sz w:val="13"/>
                <w:szCs w:val="13"/>
                <w:b w:val="1"/>
                <w:bCs w:val="1"/>
                <w:color w:val="auto"/>
                <w:w w:val="91"/>
              </w:rPr>
              <w:t>Common Stock, $0.0001 par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-500380</wp:posOffset>
            </wp:positionV>
            <wp:extent cx="11366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66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69850</wp:posOffset>
            </wp:positionV>
            <wp:extent cx="11366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165" w:lineRule="exact"/>
        <w:rPr>
          <w:sz w:val="20"/>
          <w:szCs w:val="20"/>
          <w:color w:val="auto"/>
        </w:rPr>
      </w:pPr>
    </w:p>
    <w:p>
      <w:pPr>
        <w:ind w:left="1080"/>
        <w:spacing w:after="0" w:line="138" w:lineRule="exact"/>
        <w:tabs>
          <w:tab w:leader="none" w:pos="8560" w:val="left"/>
        </w:tabs>
        <w:rPr>
          <w:sz w:val="20"/>
          <w:szCs w:val="20"/>
          <w:color w:val="auto"/>
        </w:rPr>
      </w:pPr>
      <w:r>
        <w:rPr>
          <w:rFonts w:ascii="Arial" w:cs="Arial" w:eastAsia="Arial" w:hAnsi="Arial"/>
          <w:sz w:val="12"/>
          <w:szCs w:val="12"/>
          <w:color w:val="auto"/>
        </w:rPr>
        <w:t>Indicate by check mark whether the registrant is a well-known seasoned issuer, as defined in Rule 405 of the Securities Act of 1933.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4" w:lineRule="exact"/>
        <w:rPr>
          <w:sz w:val="20"/>
          <w:szCs w:val="20"/>
          <w:color w:val="auto"/>
        </w:rPr>
      </w:pPr>
    </w:p>
    <w:p>
      <w:pPr>
        <w:ind w:left="680" w:right="780" w:firstLine="399"/>
        <w:spacing w:after="0" w:line="17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o No </w:t>
      </w:r>
      <w:r>
        <w:rPr>
          <w:rFonts w:ascii="MS PGothic" w:cs="MS PGothic" w:eastAsia="MS PGothic" w:hAnsi="MS PGothic"/>
          <w:sz w:val="13"/>
          <w:szCs w:val="13"/>
          <w:color w:val="auto"/>
        </w:rPr>
        <w:t>☑</w:t>
      </w:r>
    </w:p>
    <w:p>
      <w:pPr>
        <w:spacing w:after="0" w:line="67" w:lineRule="exact"/>
        <w:rPr>
          <w:sz w:val="20"/>
          <w:szCs w:val="20"/>
          <w:color w:val="auto"/>
        </w:rPr>
      </w:pPr>
    </w:p>
    <w:p>
      <w:pPr>
        <w:ind w:left="680" w:right="80" w:firstLine="399"/>
        <w:spacing w:after="0" w:line="17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680" w:right="340" w:firstLine="399"/>
        <w:spacing w:after="0" w:line="279"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8"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w:t>
      </w:r>
    </w:p>
    <w:p>
      <w:pPr>
        <w:ind w:left="3680"/>
        <w:spacing w:after="0" w:line="150" w:lineRule="exact"/>
        <w:tabs>
          <w:tab w:leader="none" w:pos="5160" w:val="left"/>
          <w:tab w:leader="none" w:pos="6320" w:val="left"/>
        </w:tabs>
        <w:rPr>
          <w:sz w:val="20"/>
          <w:szCs w:val="20"/>
          <w:color w:val="auto"/>
        </w:rPr>
      </w:pPr>
      <w:r>
        <w:rPr>
          <w:rFonts w:ascii="Arial" w:cs="Arial" w:eastAsia="Arial" w:hAnsi="Arial"/>
          <w:sz w:val="13"/>
          <w:szCs w:val="13"/>
          <w:color w:val="auto"/>
        </w:rPr>
        <w:t>Large Accelerated Filer o</w:t>
        <w:tab/>
        <w:t>Accelerated Filer o</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68" w:lineRule="exact"/>
        <w:rPr>
          <w:sz w:val="20"/>
          <w:szCs w:val="20"/>
          <w:color w:val="auto"/>
        </w:rPr>
      </w:pPr>
    </w:p>
    <w:p>
      <w:pPr>
        <w:ind w:left="1080"/>
        <w:spacing w:after="0" w:line="138" w:lineRule="exact"/>
        <w:tabs>
          <w:tab w:leader="none" w:pos="7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134"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30, 2006, based upon the closing price of the common stock as reported by The NASDAQ Stock Market on such date was approximately $147 million.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January 31, 2007, a total of 32,285,073 shares of the Registrant’s common stock were outstanding.</w:t>
      </w:r>
    </w:p>
    <w:p>
      <w:pPr>
        <w:spacing w:after="0" w:line="94"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color w:val="auto"/>
        </w:rPr>
        <w:t>Information required by Part III (Items 10, 11, 12, 13 and 14) is incorporated by reference to portions of the registrant’s definitive Proxy Statement for its 2007 Annual Meeting of Stockholders (the “Proxy Statement”), which is expected to be filed not later than 120 days after the registrant’s fiscal year ended December 31, 2006.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66675</wp:posOffset>
            </wp:positionV>
            <wp:extent cx="63353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539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182880</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40"/>
          </w:cols>
          <w:pgMar w:left="220" w:top="127" w:right="11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20" w:type="dxa"/>
            <w:vAlign w:val="bottom"/>
            <w:gridSpan w:val="13"/>
          </w:tcPr>
          <w:p>
            <w:pPr>
              <w:jc w:val="center"/>
              <w:ind w:right="3000"/>
              <w:spacing w:after="0"/>
              <w:rPr>
                <w:sz w:val="20"/>
                <w:szCs w:val="20"/>
                <w:color w:val="auto"/>
              </w:rPr>
            </w:pPr>
            <w:r>
              <w:rPr>
                <w:rFonts w:ascii="Arial" w:cs="Arial" w:eastAsia="Arial" w:hAnsi="Arial"/>
                <w:sz w:val="13"/>
                <w:szCs w:val="13"/>
                <w:b w:val="1"/>
                <w:bCs w:val="1"/>
                <w:color w:val="auto"/>
              </w:rPr>
              <w:t>SYNCHRONOSS TECHNOLOGIES, INC.</w:t>
            </w:r>
          </w:p>
        </w:tc>
        <w:tc>
          <w:tcPr>
            <w:tcW w:w="520" w:type="dxa"/>
            <w:vAlign w:val="bottom"/>
          </w:tcPr>
          <w:p>
            <w:pPr>
              <w:spacing w:after="0"/>
              <w:rPr>
                <w:sz w:val="14"/>
                <w:szCs w:val="14"/>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gridSpan w:val="12"/>
          </w:tcPr>
          <w:p>
            <w:pPr>
              <w:jc w:val="center"/>
              <w:ind w:right="3440"/>
              <w:spacing w:after="0"/>
              <w:rPr>
                <w:sz w:val="20"/>
                <w:szCs w:val="20"/>
                <w:color w:val="auto"/>
              </w:rPr>
            </w:pPr>
            <w:r>
              <w:rPr>
                <w:rFonts w:ascii="Arial" w:cs="Arial" w:eastAsia="Arial" w:hAnsi="Arial"/>
                <w:sz w:val="13"/>
                <w:szCs w:val="13"/>
                <w:b w:val="1"/>
                <w:bCs w:val="1"/>
                <w:color w:val="auto"/>
              </w:rPr>
              <w:t>FORM 10-K</w:t>
            </w:r>
          </w:p>
        </w:tc>
        <w:tc>
          <w:tcPr>
            <w:tcW w:w="52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gridSpan w:val="12"/>
          </w:tcPr>
          <w:p>
            <w:pPr>
              <w:jc w:val="center"/>
              <w:ind w:right="3460"/>
              <w:spacing w:after="0"/>
              <w:rPr>
                <w:sz w:val="20"/>
                <w:szCs w:val="20"/>
                <w:color w:val="auto"/>
              </w:rPr>
            </w:pPr>
            <w:r>
              <w:rPr>
                <w:rFonts w:ascii="Arial" w:cs="Arial" w:eastAsia="Arial" w:hAnsi="Arial"/>
                <w:sz w:val="13"/>
                <w:szCs w:val="13"/>
                <w:b w:val="1"/>
                <w:bCs w:val="1"/>
                <w:color w:val="auto"/>
                <w:w w:val="97"/>
              </w:rPr>
              <w:t>DECEMBER 31, 2006</w:t>
            </w:r>
          </w:p>
        </w:tc>
        <w:tc>
          <w:tcPr>
            <w:tcW w:w="52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gridSpan w:val="12"/>
          </w:tcPr>
          <w:p>
            <w:pPr>
              <w:jc w:val="center"/>
              <w:ind w:right="3440"/>
              <w:spacing w:after="0"/>
              <w:rPr>
                <w:sz w:val="20"/>
                <w:szCs w:val="20"/>
                <w:color w:val="auto"/>
              </w:rPr>
            </w:pPr>
            <w:r>
              <w:rPr>
                <w:rFonts w:ascii="Arial" w:cs="Arial" w:eastAsia="Arial" w:hAnsi="Arial"/>
                <w:sz w:val="13"/>
                <w:szCs w:val="13"/>
                <w:b w:val="1"/>
                <w:bCs w:val="1"/>
                <w:color w:val="auto"/>
                <w:w w:val="99"/>
              </w:rPr>
              <w:t>TABLE OF CONTENTS</w:t>
            </w:r>
          </w:p>
        </w:tc>
        <w:tc>
          <w:tcPr>
            <w:tcW w:w="520" w:type="dxa"/>
            <w:vAlign w:val="bottom"/>
          </w:tcPr>
          <w:p>
            <w:pPr>
              <w:spacing w:after="0"/>
              <w:rPr>
                <w:sz w:val="21"/>
                <w:szCs w:val="21"/>
                <w:color w:val="auto"/>
              </w:rPr>
            </w:pPr>
          </w:p>
        </w:tc>
      </w:tr>
      <w:tr>
        <w:trPr>
          <w:trHeight w:val="298"/>
        </w:trPr>
        <w:tc>
          <w:tcPr>
            <w:tcW w:w="10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Item</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Page No.</w:t>
            </w: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gridSpan w:val="9"/>
          </w:tcPr>
          <w:p>
            <w:pPr>
              <w:jc w:val="center"/>
              <w:ind w:right="426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520" w:type="dxa"/>
            <w:vAlign w:val="bottom"/>
          </w:tcPr>
          <w:p>
            <w:pPr>
              <w:spacing w:after="0"/>
              <w:rPr>
                <w:sz w:val="13"/>
                <w:szCs w:val="13"/>
                <w:color w:val="auto"/>
              </w:rPr>
            </w:pPr>
          </w:p>
        </w:tc>
      </w:tr>
      <w:tr>
        <w:trPr>
          <w:trHeight w:val="138"/>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4">
              <w:r>
                <w:rPr>
                  <w:rFonts w:ascii="Arial" w:cs="Arial" w:eastAsia="Arial" w:hAnsi="Arial"/>
                  <w:sz w:val="13"/>
                  <w:szCs w:val="13"/>
                  <w:color w:val="0000EE"/>
                  <w:w w:val="73"/>
                </w:rPr>
                <w:t>1.</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bottom w:val="single" w:sz="8" w:color="0000EE"/>
            </w:tcBorders>
          </w:tcPr>
          <w:p>
            <w:pPr>
              <w:spacing w:after="0" w:line="138" w:lineRule="exact"/>
              <w:rPr>
                <w:rFonts w:ascii="Arial" w:cs="Arial" w:eastAsia="Arial" w:hAnsi="Arial"/>
                <w:sz w:val="13"/>
                <w:szCs w:val="13"/>
                <w:color w:val="0000EE"/>
                <w:w w:val="87"/>
              </w:rPr>
            </w:pPr>
            <w:hyperlink w:anchor="page4">
              <w:r>
                <w:rPr>
                  <w:rFonts w:ascii="Arial" w:cs="Arial" w:eastAsia="Arial" w:hAnsi="Arial"/>
                  <w:sz w:val="13"/>
                  <w:szCs w:val="13"/>
                  <w:color w:val="0000EE"/>
                  <w:w w:val="87"/>
                </w:rPr>
                <w:t>Business</w:t>
              </w:r>
            </w:hyperlink>
          </w:p>
        </w:tc>
        <w:tc>
          <w:tcPr>
            <w:tcW w:w="3520" w:type="dxa"/>
            <w:vAlign w:val="bottom"/>
            <w:gridSpan w:val="17"/>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4260" w:type="dxa"/>
            <w:vAlign w:val="bottom"/>
            <w:gridSpan w:val="8"/>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138"/>
        </w:trPr>
        <w:tc>
          <w:tcPr>
            <w:tcW w:w="580" w:type="dxa"/>
            <w:vAlign w:val="bottom"/>
            <w:gridSpan w:val="3"/>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1A.</w:t>
              </w:r>
            </w:hyperlink>
          </w:p>
        </w:tc>
        <w:tc>
          <w:tcPr>
            <w:tcW w:w="8680" w:type="dxa"/>
            <w:vAlign w:val="bottom"/>
            <w:gridSpan w:val="27"/>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14</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580" w:type="dxa"/>
            <w:vAlign w:val="bottom"/>
            <w:gridSpan w:val="3"/>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1B.</w:t>
              </w:r>
            </w:hyperlink>
          </w:p>
        </w:tc>
        <w:tc>
          <w:tcPr>
            <w:tcW w:w="8680" w:type="dxa"/>
            <w:vAlign w:val="bottom"/>
            <w:gridSpan w:val="27"/>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Unresolved Staff Comments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22</w:t>
            </w:r>
          </w:p>
        </w:tc>
      </w:tr>
      <w:tr>
        <w:trPr>
          <w:trHeight w:val="138"/>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23">
              <w:r>
                <w:rPr>
                  <w:rFonts w:ascii="Arial" w:cs="Arial" w:eastAsia="Arial" w:hAnsi="Arial"/>
                  <w:sz w:val="13"/>
                  <w:szCs w:val="13"/>
                  <w:color w:val="0000EE"/>
                  <w:w w:val="73"/>
                </w:rPr>
                <w:t>2.</w:t>
              </w:r>
            </w:hyperlink>
          </w:p>
        </w:tc>
        <w:tc>
          <w:tcPr>
            <w:tcW w:w="80" w:type="dxa"/>
            <w:vAlign w:val="bottom"/>
            <w:tcBorders>
              <w:top w:val="single" w:sz="8" w:color="0000EE"/>
            </w:tcBorders>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Properties</w:t>
              </w:r>
            </w:hyperlink>
          </w:p>
        </w:tc>
        <w:tc>
          <w:tcPr>
            <w:tcW w:w="7180" w:type="dxa"/>
            <w:vAlign w:val="bottom"/>
            <w:gridSpan w:val="19"/>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3">
              <w:r>
                <w:rPr>
                  <w:rFonts w:ascii="Arial" w:cs="Arial" w:eastAsia="Arial" w:hAnsi="Arial"/>
                  <w:sz w:val="13"/>
                  <w:szCs w:val="13"/>
                  <w:color w:val="0000EE"/>
                  <w:w w:val="73"/>
                </w:rPr>
                <w:t>3.</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80" w:type="dxa"/>
            <w:vAlign w:val="bottom"/>
            <w:gridSpan w:val="27"/>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Legal Proceedings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3">
              <w:r>
                <w:rPr>
                  <w:rFonts w:ascii="Arial" w:cs="Arial" w:eastAsia="Arial" w:hAnsi="Arial"/>
                  <w:sz w:val="13"/>
                  <w:szCs w:val="13"/>
                  <w:color w:val="0000EE"/>
                  <w:w w:val="73"/>
                </w:rPr>
                <w:t>4.</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80" w:type="dxa"/>
            <w:vAlign w:val="bottom"/>
            <w:gridSpan w:val="27"/>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Submission of Matters to a Vote of Security Holders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22</w:t>
            </w: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4">
              <w:r>
                <w:rPr>
                  <w:rFonts w:ascii="Arial" w:cs="Arial" w:eastAsia="Arial" w:hAnsi="Arial"/>
                  <w:sz w:val="13"/>
                  <w:szCs w:val="13"/>
                  <w:b w:val="1"/>
                  <w:bCs w:val="1"/>
                  <w:color w:val="0000EE"/>
                </w:rPr>
                <w:t>PART II</w:t>
              </w:r>
            </w:hyperlink>
          </w:p>
        </w:tc>
        <w:tc>
          <w:tcPr>
            <w:tcW w:w="422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4">
              <w:r>
                <w:rPr>
                  <w:rFonts w:ascii="Arial" w:cs="Arial" w:eastAsia="Arial" w:hAnsi="Arial"/>
                  <w:sz w:val="13"/>
                  <w:szCs w:val="13"/>
                  <w:color w:val="0000EE"/>
                  <w:w w:val="73"/>
                </w:rPr>
                <w:t>5.</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80" w:type="dxa"/>
            <w:vAlign w:val="bottom"/>
            <w:gridSpan w:val="27"/>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Market for Registrant’s Common Equity, Related Stockholder Matters and Issuer Purchases of Equity Securities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23</w:t>
            </w:r>
          </w:p>
        </w:tc>
      </w:tr>
      <w:tr>
        <w:trPr>
          <w:trHeight w:val="138"/>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26">
              <w:r>
                <w:rPr>
                  <w:rFonts w:ascii="Arial" w:cs="Arial" w:eastAsia="Arial" w:hAnsi="Arial"/>
                  <w:sz w:val="13"/>
                  <w:szCs w:val="13"/>
                  <w:color w:val="0000EE"/>
                  <w:w w:val="73"/>
                </w:rPr>
                <w:t>6.</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920" w:type="dxa"/>
            <w:vAlign w:val="bottom"/>
            <w:tcBorders>
              <w:top w:val="single" w:sz="8" w:color="0000EE"/>
            </w:tcBorders>
            <w:gridSpan w:val="26"/>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Selected Financial Data</w:t>
              </w:r>
            </w:hyperlink>
          </w:p>
        </w:tc>
        <w:tc>
          <w:tcPr>
            <w:tcW w:w="2760" w:type="dxa"/>
            <w:vAlign w:val="bottom"/>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25</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27">
              <w:r>
                <w:rPr>
                  <w:rFonts w:ascii="Arial" w:cs="Arial" w:eastAsia="Arial" w:hAnsi="Arial"/>
                  <w:sz w:val="13"/>
                  <w:szCs w:val="13"/>
                  <w:color w:val="0000EE"/>
                  <w:w w:val="73"/>
                </w:rPr>
                <w:t>7.</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40" w:type="dxa"/>
            <w:vAlign w:val="bottom"/>
            <w:tcBorders>
              <w:bottom w:val="single" w:sz="8" w:color="0000EE"/>
            </w:tcBorders>
            <w:gridSpan w:val="23"/>
          </w:tcPr>
          <w:p>
            <w:pPr>
              <w:spacing w:after="0" w:line="138" w:lineRule="exact"/>
              <w:rPr>
                <w:rFonts w:ascii="Arial" w:cs="Arial" w:eastAsia="Arial" w:hAnsi="Arial"/>
                <w:sz w:val="13"/>
                <w:szCs w:val="13"/>
                <w:color w:val="0000EE"/>
                <w:w w:val="92"/>
              </w:rPr>
            </w:pPr>
            <w:hyperlink w:anchor="page27">
              <w:r>
                <w:rPr>
                  <w:rFonts w:ascii="Arial" w:cs="Arial" w:eastAsia="Arial" w:hAnsi="Arial"/>
                  <w:sz w:val="13"/>
                  <w:szCs w:val="13"/>
                  <w:color w:val="0000EE"/>
                  <w:w w:val="92"/>
                </w:rPr>
                <w:t>Management’s Discussion and Analysis of Financial Condition and Results of Operations</w:t>
              </w:r>
            </w:hyperlink>
          </w:p>
        </w:tc>
        <w:tc>
          <w:tcPr>
            <w:tcW w:w="3940" w:type="dxa"/>
            <w:vAlign w:val="bottom"/>
            <w:gridSpan w:val="4"/>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26</w:t>
            </w:r>
          </w:p>
        </w:tc>
      </w:tr>
      <w:tr>
        <w:trPr>
          <w:trHeight w:val="138"/>
        </w:trPr>
        <w:tc>
          <w:tcPr>
            <w:tcW w:w="580" w:type="dxa"/>
            <w:vAlign w:val="bottom"/>
            <w:gridSpan w:val="3"/>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7A.</w:t>
              </w:r>
            </w:hyperlink>
          </w:p>
        </w:tc>
        <w:tc>
          <w:tcPr>
            <w:tcW w:w="8680" w:type="dxa"/>
            <w:vAlign w:val="bottom"/>
            <w:gridSpan w:val="27"/>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Quantitative and Qualitative Disclosures About Market Risk</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36</w:t>
            </w:r>
          </w:p>
        </w:tc>
      </w:tr>
      <w:tr>
        <w:trPr>
          <w:trHeight w:val="138"/>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38">
              <w:r>
                <w:rPr>
                  <w:rFonts w:ascii="Arial" w:cs="Arial" w:eastAsia="Arial" w:hAnsi="Arial"/>
                  <w:sz w:val="13"/>
                  <w:szCs w:val="13"/>
                  <w:color w:val="0000EE"/>
                  <w:w w:val="73"/>
                </w:rPr>
                <w:t>8.</w:t>
              </w:r>
            </w:hyperlink>
          </w:p>
        </w:tc>
        <w:tc>
          <w:tcPr>
            <w:tcW w:w="80" w:type="dxa"/>
            <w:vAlign w:val="bottom"/>
            <w:tcBorders>
              <w:top w:val="single" w:sz="8" w:color="0000EE"/>
            </w:tcBorders>
          </w:tcPr>
          <w:p>
            <w:pPr>
              <w:spacing w:after="0"/>
              <w:rPr>
                <w:sz w:val="12"/>
                <w:szCs w:val="12"/>
                <w:color w:val="auto"/>
              </w:rPr>
            </w:pPr>
          </w:p>
        </w:tc>
        <w:tc>
          <w:tcPr>
            <w:tcW w:w="400" w:type="dxa"/>
            <w:vAlign w:val="bottom"/>
          </w:tcPr>
          <w:p>
            <w:pPr>
              <w:spacing w:after="0"/>
              <w:rPr>
                <w:sz w:val="12"/>
                <w:szCs w:val="12"/>
                <w:color w:val="auto"/>
              </w:rPr>
            </w:pPr>
          </w:p>
        </w:tc>
        <w:tc>
          <w:tcPr>
            <w:tcW w:w="320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Financial Statements and Supplementary Data</w:t>
              </w:r>
            </w:hyperlink>
          </w:p>
        </w:tc>
        <w:tc>
          <w:tcPr>
            <w:tcW w:w="5480" w:type="dxa"/>
            <w:vAlign w:val="bottom"/>
            <w:gridSpan w:val="12"/>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37</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61">
              <w:r>
                <w:rPr>
                  <w:rFonts w:ascii="Arial" w:cs="Arial" w:eastAsia="Arial" w:hAnsi="Arial"/>
                  <w:sz w:val="13"/>
                  <w:szCs w:val="13"/>
                  <w:color w:val="0000EE"/>
                  <w:w w:val="73"/>
                </w:rPr>
                <w:t>9.</w:t>
              </w:r>
            </w:hyperlink>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60" w:type="dxa"/>
            <w:vAlign w:val="bottom"/>
            <w:tcBorders>
              <w:bottom w:val="single" w:sz="8" w:color="0000EE"/>
            </w:tcBorders>
            <w:gridSpan w:val="24"/>
          </w:tcPr>
          <w:p>
            <w:pPr>
              <w:spacing w:after="0" w:line="138" w:lineRule="exact"/>
              <w:rPr>
                <w:rFonts w:ascii="Arial" w:cs="Arial" w:eastAsia="Arial" w:hAnsi="Arial"/>
                <w:sz w:val="13"/>
                <w:szCs w:val="13"/>
                <w:color w:val="0000EE"/>
                <w:w w:val="92"/>
              </w:rPr>
            </w:pPr>
            <w:hyperlink w:anchor="page61">
              <w:r>
                <w:rPr>
                  <w:rFonts w:ascii="Arial" w:cs="Arial" w:eastAsia="Arial" w:hAnsi="Arial"/>
                  <w:sz w:val="13"/>
                  <w:szCs w:val="13"/>
                  <w:color w:val="0000EE"/>
                  <w:w w:val="92"/>
                </w:rPr>
                <w:t>Changes in and Disagreements with Accountants on Accounting and Financial Disclosure</w:t>
              </w:r>
            </w:hyperlink>
          </w:p>
        </w:tc>
        <w:tc>
          <w:tcPr>
            <w:tcW w:w="3920" w:type="dxa"/>
            <w:vAlign w:val="bottom"/>
            <w:gridSpan w:val="3"/>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60</w:t>
            </w:r>
          </w:p>
        </w:tc>
      </w:tr>
      <w:tr>
        <w:trPr>
          <w:trHeight w:val="138"/>
        </w:trPr>
        <w:tc>
          <w:tcPr>
            <w:tcW w:w="580" w:type="dxa"/>
            <w:vAlign w:val="bottom"/>
            <w:gridSpan w:val="3"/>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9A.</w:t>
              </w:r>
            </w:hyperlink>
          </w:p>
        </w:tc>
        <w:tc>
          <w:tcPr>
            <w:tcW w:w="8680" w:type="dxa"/>
            <w:vAlign w:val="bottom"/>
            <w:gridSpan w:val="27"/>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60</w:t>
            </w:r>
          </w:p>
        </w:tc>
      </w:tr>
      <w:tr>
        <w:trPr>
          <w:trHeight w:val="20"/>
        </w:trPr>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580" w:type="dxa"/>
            <w:vAlign w:val="bottom"/>
            <w:gridSpan w:val="3"/>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9B.</w:t>
              </w:r>
            </w:hyperlink>
          </w:p>
        </w:tc>
        <w:tc>
          <w:tcPr>
            <w:tcW w:w="8680" w:type="dxa"/>
            <w:vAlign w:val="bottom"/>
            <w:gridSpan w:val="27"/>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Other Information</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60</w:t>
            </w: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1">
              <w:r>
                <w:rPr>
                  <w:rFonts w:ascii="Arial" w:cs="Arial" w:eastAsia="Arial" w:hAnsi="Arial"/>
                  <w:sz w:val="13"/>
                  <w:szCs w:val="13"/>
                  <w:b w:val="1"/>
                  <w:bCs w:val="1"/>
                  <w:color w:val="0000EE"/>
                </w:rPr>
                <w:t>PART III</w:t>
              </w:r>
            </w:hyperlink>
          </w:p>
        </w:tc>
        <w:tc>
          <w:tcPr>
            <w:tcW w:w="4180" w:type="dxa"/>
            <w:vAlign w:val="bottom"/>
            <w:gridSpan w:val="5"/>
          </w:tcPr>
          <w:p>
            <w:pPr>
              <w:spacing w:after="0"/>
              <w:rPr>
                <w:sz w:val="22"/>
                <w:szCs w:val="22"/>
                <w:color w:val="auto"/>
              </w:rPr>
            </w:pPr>
          </w:p>
        </w:tc>
        <w:tc>
          <w:tcPr>
            <w:tcW w:w="520" w:type="dxa"/>
            <w:vAlign w:val="bottom"/>
          </w:tcPr>
          <w:p>
            <w:pPr>
              <w:spacing w:after="0"/>
              <w:rPr>
                <w:sz w:val="22"/>
                <w:szCs w:val="22"/>
                <w:color w:val="auto"/>
              </w:rPr>
            </w:pPr>
          </w:p>
        </w:tc>
      </w:tr>
      <w:tr>
        <w:trPr>
          <w:trHeight w:val="138"/>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61">
              <w:r>
                <w:rPr>
                  <w:rFonts w:ascii="Arial" w:cs="Arial" w:eastAsia="Arial" w:hAnsi="Arial"/>
                  <w:sz w:val="13"/>
                  <w:szCs w:val="13"/>
                  <w:color w:val="0000EE"/>
                  <w:w w:val="77"/>
                </w:rPr>
                <w:t>10.</w:t>
              </w:r>
            </w:hyperlink>
          </w:p>
        </w:tc>
        <w:tc>
          <w:tcPr>
            <w:tcW w:w="400" w:type="dxa"/>
            <w:vAlign w:val="bottom"/>
          </w:tcPr>
          <w:p>
            <w:pPr>
              <w:spacing w:after="0"/>
              <w:rPr>
                <w:sz w:val="12"/>
                <w:szCs w:val="12"/>
                <w:color w:val="auto"/>
              </w:rPr>
            </w:pPr>
          </w:p>
        </w:tc>
        <w:tc>
          <w:tcPr>
            <w:tcW w:w="266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61">
              <w:r>
                <w:rPr>
                  <w:rFonts w:ascii="Arial" w:cs="Arial" w:eastAsia="Arial" w:hAnsi="Arial"/>
                  <w:sz w:val="13"/>
                  <w:szCs w:val="13"/>
                  <w:color w:val="0000EE"/>
                  <w:w w:val="92"/>
                </w:rPr>
                <w:t>Directors and Executive Officers of the Registrant</w:t>
              </w:r>
            </w:hyperlink>
          </w:p>
        </w:tc>
        <w:tc>
          <w:tcPr>
            <w:tcW w:w="6020" w:type="dxa"/>
            <w:vAlign w:val="bottom"/>
            <w:gridSpan w:val="14"/>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60</w:t>
            </w:r>
          </w:p>
        </w:tc>
      </w:tr>
      <w:tr>
        <w:trPr>
          <w:trHeight w:val="138"/>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62">
              <w:r>
                <w:rPr>
                  <w:rFonts w:ascii="Arial" w:cs="Arial" w:eastAsia="Arial" w:hAnsi="Arial"/>
                  <w:sz w:val="13"/>
                  <w:szCs w:val="13"/>
                  <w:color w:val="0000EE"/>
                  <w:w w:val="77"/>
                </w:rPr>
                <w:t>11.</w:t>
              </w:r>
            </w:hyperlink>
          </w:p>
        </w:tc>
        <w:tc>
          <w:tcPr>
            <w:tcW w:w="400" w:type="dxa"/>
            <w:vAlign w:val="bottom"/>
          </w:tcPr>
          <w:p>
            <w:pPr>
              <w:spacing w:after="0"/>
              <w:rPr>
                <w:sz w:val="12"/>
                <w:szCs w:val="12"/>
                <w:color w:val="auto"/>
              </w:rPr>
            </w:pPr>
          </w:p>
        </w:tc>
        <w:tc>
          <w:tcPr>
            <w:tcW w:w="1340" w:type="dxa"/>
            <w:vAlign w:val="bottom"/>
            <w:tcBorders>
              <w:bottom w:val="single" w:sz="8" w:color="0000EE"/>
            </w:tcBorders>
            <w:gridSpan w:val="7"/>
          </w:tcPr>
          <w:p>
            <w:pPr>
              <w:spacing w:after="0" w:line="138" w:lineRule="exact"/>
              <w:rPr>
                <w:rFonts w:ascii="Arial" w:cs="Arial" w:eastAsia="Arial" w:hAnsi="Arial"/>
                <w:sz w:val="13"/>
                <w:szCs w:val="13"/>
                <w:color w:val="0000EE"/>
                <w:w w:val="91"/>
              </w:rPr>
            </w:pPr>
            <w:hyperlink w:anchor="page62">
              <w:r>
                <w:rPr>
                  <w:rFonts w:ascii="Arial" w:cs="Arial" w:eastAsia="Arial" w:hAnsi="Arial"/>
                  <w:sz w:val="13"/>
                  <w:szCs w:val="13"/>
                  <w:color w:val="0000EE"/>
                  <w:w w:val="91"/>
                </w:rPr>
                <w:t>Executive Compensation</w:t>
              </w:r>
            </w:hyperlink>
          </w:p>
        </w:tc>
        <w:tc>
          <w:tcPr>
            <w:tcW w:w="7340" w:type="dxa"/>
            <w:vAlign w:val="bottom"/>
            <w:gridSpan w:val="20"/>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61</w:t>
            </w:r>
          </w:p>
        </w:tc>
      </w:tr>
      <w:tr>
        <w:trPr>
          <w:trHeight w:val="138"/>
        </w:trPr>
        <w:tc>
          <w:tcPr>
            <w:tcW w:w="180" w:type="dxa"/>
            <w:vAlign w:val="bottom"/>
            <w:gridSpan w:val="2"/>
          </w:tcPr>
          <w:p>
            <w:pPr>
              <w:spacing w:after="0" w:line="138" w:lineRule="exact"/>
              <w:rPr>
                <w:rFonts w:ascii="Arial" w:cs="Arial" w:eastAsia="Arial" w:hAnsi="Arial"/>
                <w:sz w:val="13"/>
                <w:szCs w:val="13"/>
                <w:color w:val="0000EE"/>
                <w:w w:val="77"/>
              </w:rPr>
            </w:pPr>
            <w:hyperlink w:anchor="page62">
              <w:r>
                <w:rPr>
                  <w:rFonts w:ascii="Arial" w:cs="Arial" w:eastAsia="Arial" w:hAnsi="Arial"/>
                  <w:sz w:val="13"/>
                  <w:szCs w:val="13"/>
                  <w:color w:val="0000EE"/>
                  <w:w w:val="77"/>
                </w:rPr>
                <w:t>12.</w:t>
              </w:r>
            </w:hyperlink>
          </w:p>
        </w:tc>
        <w:tc>
          <w:tcPr>
            <w:tcW w:w="400" w:type="dxa"/>
            <w:vAlign w:val="bottom"/>
          </w:tcPr>
          <w:p>
            <w:pPr>
              <w:spacing w:after="0"/>
              <w:rPr>
                <w:sz w:val="12"/>
                <w:szCs w:val="12"/>
                <w:color w:val="auto"/>
              </w:rPr>
            </w:pPr>
          </w:p>
        </w:tc>
        <w:tc>
          <w:tcPr>
            <w:tcW w:w="8680" w:type="dxa"/>
            <w:vAlign w:val="bottom"/>
            <w:gridSpan w:val="27"/>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Security Ownership of Certain Beneficial Owners and Management and Related Stockholder Matters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61</w:t>
            </w:r>
          </w:p>
        </w:tc>
      </w:tr>
      <w:tr>
        <w:trPr>
          <w:trHeight w:val="138"/>
        </w:trPr>
        <w:tc>
          <w:tcPr>
            <w:tcW w:w="180" w:type="dxa"/>
            <w:vAlign w:val="bottom"/>
            <w:tcBorders>
              <w:top w:val="single" w:sz="8" w:color="0000EE"/>
            </w:tcBorders>
            <w:gridSpan w:val="2"/>
          </w:tcPr>
          <w:p>
            <w:pPr>
              <w:spacing w:after="0" w:line="138" w:lineRule="exact"/>
              <w:rPr>
                <w:rFonts w:ascii="Arial" w:cs="Arial" w:eastAsia="Arial" w:hAnsi="Arial"/>
                <w:sz w:val="13"/>
                <w:szCs w:val="13"/>
                <w:color w:val="0000EE"/>
                <w:w w:val="77"/>
              </w:rPr>
            </w:pPr>
            <w:hyperlink w:anchor="page62">
              <w:r>
                <w:rPr>
                  <w:rFonts w:ascii="Arial" w:cs="Arial" w:eastAsia="Arial" w:hAnsi="Arial"/>
                  <w:sz w:val="13"/>
                  <w:szCs w:val="13"/>
                  <w:color w:val="0000EE"/>
                  <w:w w:val="77"/>
                </w:rPr>
                <w:t>13.</w:t>
              </w:r>
            </w:hyperlink>
          </w:p>
        </w:tc>
        <w:tc>
          <w:tcPr>
            <w:tcW w:w="400" w:type="dxa"/>
            <w:vAlign w:val="bottom"/>
          </w:tcPr>
          <w:p>
            <w:pPr>
              <w:spacing w:after="0"/>
              <w:rPr>
                <w:sz w:val="12"/>
                <w:szCs w:val="12"/>
                <w:color w:val="auto"/>
              </w:rPr>
            </w:pPr>
          </w:p>
        </w:tc>
        <w:tc>
          <w:tcPr>
            <w:tcW w:w="5340" w:type="dxa"/>
            <w:vAlign w:val="bottom"/>
            <w:tcBorders>
              <w:top w:val="single" w:sz="8" w:color="0000EE"/>
            </w:tcBorders>
            <w:gridSpan w:val="25"/>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Certain Relationships and Related Transactions</w:t>
              </w:r>
            </w:hyperlink>
          </w:p>
        </w:tc>
        <w:tc>
          <w:tcPr>
            <w:tcW w:w="3340" w:type="dxa"/>
            <w:vAlign w:val="bottom"/>
            <w:gridSpan w:val="2"/>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61</w:t>
            </w:r>
          </w:p>
        </w:tc>
      </w:tr>
      <w:tr>
        <w:trPr>
          <w:trHeight w:val="138"/>
        </w:trPr>
        <w:tc>
          <w:tcPr>
            <w:tcW w:w="180" w:type="dxa"/>
            <w:vAlign w:val="bottom"/>
            <w:tcBorders>
              <w:top w:val="single" w:sz="8" w:color="0000EE"/>
            </w:tcBorders>
            <w:gridSpan w:val="2"/>
          </w:tcPr>
          <w:p>
            <w:pPr>
              <w:spacing w:after="0" w:line="138" w:lineRule="exact"/>
              <w:rPr>
                <w:rFonts w:ascii="Arial" w:cs="Arial" w:eastAsia="Arial" w:hAnsi="Arial"/>
                <w:sz w:val="13"/>
                <w:szCs w:val="13"/>
                <w:color w:val="0000EE"/>
                <w:w w:val="77"/>
              </w:rPr>
            </w:pPr>
            <w:hyperlink w:anchor="page62">
              <w:r>
                <w:rPr>
                  <w:rFonts w:ascii="Arial" w:cs="Arial" w:eastAsia="Arial" w:hAnsi="Arial"/>
                  <w:sz w:val="13"/>
                  <w:szCs w:val="13"/>
                  <w:color w:val="0000EE"/>
                  <w:w w:val="77"/>
                </w:rPr>
                <w:t>14.</w:t>
              </w:r>
            </w:hyperlink>
          </w:p>
        </w:tc>
        <w:tc>
          <w:tcPr>
            <w:tcW w:w="400" w:type="dxa"/>
            <w:vAlign w:val="bottom"/>
          </w:tcPr>
          <w:p>
            <w:pPr>
              <w:spacing w:after="0"/>
              <w:rPr>
                <w:sz w:val="12"/>
                <w:szCs w:val="12"/>
                <w:color w:val="auto"/>
              </w:rPr>
            </w:pPr>
          </w:p>
        </w:tc>
        <w:tc>
          <w:tcPr>
            <w:tcW w:w="250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Principal Accountant Fees and Services</w:t>
              </w:r>
            </w:hyperlink>
          </w:p>
        </w:tc>
        <w:tc>
          <w:tcPr>
            <w:tcW w:w="6180" w:type="dxa"/>
            <w:vAlign w:val="bottom"/>
            <w:gridSpan w:val="15"/>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61</w:t>
            </w: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720" w:type="dxa"/>
            <w:vAlign w:val="bottom"/>
            <w:gridSpan w:val="11"/>
          </w:tcPr>
          <w:p>
            <w:pPr>
              <w:jc w:val="center"/>
              <w:ind w:right="4200"/>
              <w:spacing w:after="0"/>
              <w:rPr>
                <w:rFonts w:ascii="Arial" w:cs="Arial" w:eastAsia="Arial" w:hAnsi="Arial"/>
                <w:sz w:val="13"/>
                <w:szCs w:val="13"/>
                <w:b w:val="1"/>
                <w:bCs w:val="1"/>
                <w:color w:val="0000EE"/>
              </w:rPr>
            </w:pPr>
            <w:hyperlink w:anchor="page62">
              <w:r>
                <w:rPr>
                  <w:rFonts w:ascii="Arial" w:cs="Arial" w:eastAsia="Arial" w:hAnsi="Arial"/>
                  <w:sz w:val="13"/>
                  <w:szCs w:val="13"/>
                  <w:b w:val="1"/>
                  <w:bCs w:val="1"/>
                  <w:color w:val="0000EE"/>
                </w:rPr>
                <w:t>PART IV</w:t>
              </w:r>
            </w:hyperlink>
          </w:p>
        </w:tc>
        <w:tc>
          <w:tcPr>
            <w:tcW w:w="520" w:type="dxa"/>
            <w:vAlign w:val="bottom"/>
          </w:tcPr>
          <w:p>
            <w:pPr>
              <w:spacing w:after="0"/>
              <w:rPr>
                <w:sz w:val="22"/>
                <w:szCs w:val="22"/>
                <w:color w:val="auto"/>
              </w:rPr>
            </w:pPr>
          </w:p>
        </w:tc>
      </w:tr>
      <w:tr>
        <w:trPr>
          <w:trHeight w:val="138"/>
        </w:trPr>
        <w:tc>
          <w:tcPr>
            <w:tcW w:w="180" w:type="dxa"/>
            <w:vAlign w:val="bottom"/>
            <w:gridSpan w:val="2"/>
          </w:tcPr>
          <w:p>
            <w:pPr>
              <w:spacing w:after="0" w:line="138" w:lineRule="exact"/>
              <w:rPr>
                <w:rFonts w:ascii="Arial" w:cs="Arial" w:eastAsia="Arial" w:hAnsi="Arial"/>
                <w:sz w:val="13"/>
                <w:szCs w:val="13"/>
                <w:color w:val="0000EE"/>
                <w:w w:val="77"/>
              </w:rPr>
            </w:pPr>
            <w:hyperlink w:anchor="page62">
              <w:r>
                <w:rPr>
                  <w:rFonts w:ascii="Arial" w:cs="Arial" w:eastAsia="Arial" w:hAnsi="Arial"/>
                  <w:sz w:val="13"/>
                  <w:szCs w:val="13"/>
                  <w:color w:val="0000EE"/>
                  <w:w w:val="77"/>
                </w:rPr>
                <w:t>15.</w:t>
              </w:r>
            </w:hyperlink>
          </w:p>
        </w:tc>
        <w:tc>
          <w:tcPr>
            <w:tcW w:w="400" w:type="dxa"/>
            <w:vAlign w:val="bottom"/>
          </w:tcPr>
          <w:p>
            <w:pPr>
              <w:spacing w:after="0"/>
              <w:rPr>
                <w:sz w:val="12"/>
                <w:szCs w:val="12"/>
                <w:color w:val="auto"/>
              </w:rPr>
            </w:pPr>
          </w:p>
        </w:tc>
        <w:tc>
          <w:tcPr>
            <w:tcW w:w="3980" w:type="dxa"/>
            <w:vAlign w:val="bottom"/>
            <w:gridSpan w:val="17"/>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2"/>
                <w:szCs w:val="12"/>
                <w:color w:val="auto"/>
              </w:rPr>
            </w:pPr>
          </w:p>
        </w:tc>
        <w:tc>
          <w:tcPr>
            <w:tcW w:w="4200" w:type="dxa"/>
            <w:vAlign w:val="bottom"/>
            <w:gridSpan w:val="6"/>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61</w:t>
            </w:r>
          </w:p>
        </w:tc>
      </w:tr>
      <w:tr>
        <w:trPr>
          <w:trHeight w:val="138"/>
        </w:trPr>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tcBorders>
              <w:top w:val="single" w:sz="8" w:color="0000EE"/>
            </w:tcBorders>
            <w:gridSpan w:val="10"/>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Signatures</w:t>
              </w:r>
            </w:hyperlink>
          </w:p>
        </w:tc>
        <w:tc>
          <w:tcPr>
            <w:tcW w:w="6360" w:type="dxa"/>
            <w:vAlign w:val="bottom"/>
            <w:gridSpan w:val="17"/>
          </w:tcPr>
          <w:p>
            <w:pPr>
              <w:spacing w:after="0"/>
              <w:rPr>
                <w:sz w:val="12"/>
                <w:szCs w:val="12"/>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64</w:t>
            </w: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SECOND AMENDMENT TO LEASE AGREEMENT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EMPLOYMENT AGREEMENT CHRIS PUTNAM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EMPLOYMENT AGREEMENT OMAR TELLEZ</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CONSENT OF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108585</wp:posOffset>
            </wp:positionV>
            <wp:extent cx="72898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40"/>
          </w:cols>
          <w:pgMar w:left="940" w:top="750"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2"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The words “Synchronoss”, “we”, “our”, “ours”, “us” and the “Company” refer to Synchronoss Technologies, Inc. All statements in this discussion that are not historical are forward-looking statements within the meaning of Section 27A of the Securities Act of 1933, as amended, and Section 21E of the Securities Exchange Act of 1934, as amended, including statements regarding Synchronoss’ “expectations”, “beliefs”, “hopes”, “intentions”, “strategies” or the like. Such statements are based on management’s current expectations and are subject to a number of factors and uncertainties that could cause actual results to differ materially from those described in the forward-looking statements. Synchronoss cautions investors that there can be no assurance that actual results or business conditions will not differ materially from those projected or suggested in such forward-looking statements as a result of various factors, including, but not limited to, the risk factors discussed in this Annual Report on Form 10-K.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are a leading provider of on-demand multi-channel transaction management solutions to communications service providers (CSPs). We have designed our solution to be flexible across communication services and channels (i.e., e-commerce, CSP stores and other retail outlets, etc.), allowing us to meet the rapidly changing and converging services offered by CSPs. By simplifying technological complexities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 We target complex and high-growth markets including wireless, high speed access (i.e., cable, DSL and Wi-Max), Voice over Internet Protocol (VoIP),video and also target CSP’s bundling of these services (e.g., double, triple and quadruple plays) and their intersection (i.e., video over wireless, IPTV, content activation). Our ActivationNow</w:t>
      </w:r>
      <w:r>
        <w:rPr>
          <w:rFonts w:ascii="Arial" w:cs="Arial" w:eastAsia="Arial" w:hAnsi="Arial"/>
          <w:sz w:val="11"/>
          <w:szCs w:val="11"/>
          <w:color w:val="auto"/>
        </w:rPr>
        <w:t>®</w:t>
      </w:r>
      <w:r>
        <w:rPr>
          <w:rFonts w:ascii="Arial" w:cs="Arial" w:eastAsia="Arial" w:hAnsi="Arial"/>
          <w:sz w:val="13"/>
          <w:szCs w:val="13"/>
          <w:color w:val="auto"/>
        </w:rPr>
        <w:t xml:space="preserve"> platform automates, synchronizes and simplifies electronic order management, activation and provisioning of these services.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industry-leading customers include Cingular Wireless, Vonage Holdings, Cablevision Systems Corporation, Level 3 Communications, SunRocket, Covad, Verizon Business Solutions, Clearwire, Time Warner Cable, Comcast and AT&amp;T. Our CSP customers use our platform and technology to service both consumer and business customers, including over 300 of the Fortune 500 companies. These customers rely on our services to speed, simplify and automate the process of activating their customers and delivering communications services across interconnected networks or providing digital content. In addition, we offer and are targeting growth in services that automate other aspects of the CSPs’ ongoing customer relationships, such as product upgrades, content activation and customer care. Our ActivationNow</w:t>
      </w:r>
      <w:r>
        <w:rPr>
          <w:rFonts w:ascii="Arial" w:cs="Arial" w:eastAsia="Arial" w:hAnsi="Arial"/>
          <w:sz w:val="11"/>
          <w:szCs w:val="11"/>
          <w:color w:val="auto"/>
        </w:rPr>
        <w:t>®</w:t>
      </w:r>
      <w:r>
        <w:rPr>
          <w:rFonts w:ascii="Arial" w:cs="Arial" w:eastAsia="Arial" w:hAnsi="Arial"/>
          <w:sz w:val="13"/>
          <w:szCs w:val="13"/>
          <w:color w:val="auto"/>
        </w:rPr>
        <w:t xml:space="preserve"> platform provides seamless integration between customer-facing CSP applications and “back-office” or infrastructure-related systems and processes. Our platform streamlines these business processes, enhancing the customer experience and allowing us to offer reliable, guaranteed levels of service, which we believe is an important differentiator of our service offering. The end result is very high automation rates which helps drive a better, more complete and cost-effective customer experience.</w:t>
      </w:r>
    </w:p>
    <w:p>
      <w:pPr>
        <w:spacing w:after="0" w:line="74"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 xml:space="preserve">We were incorporated in Delaware in 2000. Our internet address is </w:t>
      </w:r>
      <w:r>
        <w:rPr>
          <w:rFonts w:ascii="Arial" w:cs="Arial" w:eastAsia="Arial" w:hAnsi="Arial"/>
          <w:sz w:val="12"/>
          <w:szCs w:val="12"/>
          <w:u w:val="single" w:color="auto"/>
          <w:color w:val="auto"/>
        </w:rPr>
        <w:t>www.synchronoss.com</w:t>
      </w:r>
      <w:r>
        <w:rPr>
          <w:rFonts w:ascii="Arial" w:cs="Arial" w:eastAsia="Arial" w:hAnsi="Arial"/>
          <w:sz w:val="12"/>
          <w:szCs w:val="12"/>
          <w:color w:val="auto"/>
        </w:rPr>
        <w:t>. On this website, we post the following filings as soon as reasonably practicable after they are electronically filed with or furnished to the U.S. Securities and Exchange Commission (SEC): our annual reports on Form 10-K, quarterly reports on Form 10-Q, our current reports on Form 8-K, our proxy statement on Form 14A related to our annual stockholders’ meeting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intended to be incorporated by reference into this Form 10-K or in any other report or document we file.</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Synchronoss Solution</w:t>
      </w:r>
    </w:p>
    <w:p>
      <w:pPr>
        <w:spacing w:after="0" w:line="100"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Our ActivationNow</w:t>
      </w:r>
      <w:r>
        <w:rPr>
          <w:rFonts w:ascii="Arial" w:cs="Arial" w:eastAsia="Arial" w:hAnsi="Arial"/>
          <w:sz w:val="11"/>
          <w:szCs w:val="11"/>
          <w:color w:val="auto"/>
        </w:rPr>
        <w:t>®</w:t>
      </w:r>
      <w:r>
        <w:rPr>
          <w:rFonts w:ascii="Arial" w:cs="Arial" w:eastAsia="Arial" w:hAnsi="Arial"/>
          <w:sz w:val="13"/>
          <w:szCs w:val="13"/>
          <w:color w:val="auto"/>
        </w:rPr>
        <w:t xml:space="preserve"> platform provides comprehensive multi-channel order processing, transaction management and service provisioning. We have designed ActivationNow</w:t>
      </w:r>
      <w:r>
        <w:rPr>
          <w:rFonts w:ascii="Arial" w:cs="Arial" w:eastAsia="Arial" w:hAnsi="Arial"/>
          <w:sz w:val="11"/>
          <w:szCs w:val="11"/>
          <w:color w:val="auto"/>
        </w:rPr>
        <w:t>®</w:t>
      </w:r>
      <w:r>
        <w:rPr>
          <w:rFonts w:ascii="Arial" w:cs="Arial" w:eastAsia="Arial" w:hAnsi="Arial"/>
          <w:sz w:val="13"/>
          <w:szCs w:val="13"/>
          <w:color w:val="auto"/>
        </w:rPr>
        <w:t xml:space="preserve"> to be a flexible, highly available, scalable, open and on-demand platform, offering a unique solution for managing transactions relating to a wide range of existing communications and digital content services as well as the rapid deployment of new services. In addition to handling large volumes of customer transactions quickly and efficiently, our solution is designed to recognize, isolate and address transactions when there is insufficient information or other erroneous process elements.</w:t>
      </w:r>
    </w:p>
    <w:p>
      <w:pPr>
        <w:spacing w:after="0" w:line="6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Our solution also offers a centralized reporting platform that provides intelligent, real-time analytics around the entire workflow related to transactions. This reporting allows CSPs to appropriately identify trends, their customer’s segments, areas where their business has increased, and empowers the CSP’s product managers with the tools to maximize their marketing trade and promotion dollars and merchandising. Our platform’s automation and ease of integration allows leading CSPs and handset device manufacturers to lower the cost of new customer acquisitions, more effectively add bundled applications and content, streamline on-going customer care, enhance the accuracy and reliability of customer transactions and respond rapidly to competitive market conditions.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Examples of customer-oriented transactions we have the capability to automate and manage include:</w:t>
      </w:r>
    </w:p>
    <w:p>
      <w:pPr>
        <w:spacing w:after="0" w:line="98" w:lineRule="exact"/>
        <w:rPr>
          <w:sz w:val="20"/>
          <w:szCs w:val="20"/>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New account setup and activations — including credit checks, address validation and equipment availability;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Feature requests — adding new functionality to existing services;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Contract renewals — for consumers and enterprises;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Number port requests — local number portability;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migration — between technologies and networks;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Equipment orders — wireless handsets, accessories, etc.;</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Video Activation — activate the video functionality on a 3G phone;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Content/Data Activation — activation of the content/data packages;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Complex Service Bundles — wireline, wireless, VoIP, and High-Speed Data offerings.</w:t>
      </w:r>
    </w:p>
    <w:p>
      <w:pPr>
        <w:spacing w:after="0" w:line="9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solution is also designed to recognize, isolate and address transactions when there is insufficient information or other erroneous process elements, through a suite of capabilities we refer to as “exception handling.” Our exception handling service is designed to consistently meet service level agreements (SLAs), for transactions that are not fully automated or have erroneous process elements. Our exception handling service utilizes two tiers of our platform, the Workflow Manager and the Visibility Manager, to identify, correct and process non-automated transactions and exceptions in real-time. Critical functions provided by our exception handling service center include streamlining operations by reducing the number of transactions processed with human intervention.</w:t>
      </w:r>
    </w:p>
    <w:p>
      <w:pPr>
        <w:spacing w:after="0" w:line="70"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Our flexible solution can manage transactions relating to a wide range of existing communications and digital content services across the many segments of CSPs. For example, we enable wireless providers to conduct business-to-consumer, or B2C, and business-to-business, or B2B, transactions. We also furnish VoIP providers with customer-branded portals, as well as the gateway to service their retail customers and subscribers. The capabilities of our ActivationNow</w:t>
      </w:r>
      <w:r>
        <w:rPr>
          <w:rFonts w:ascii="Arial" w:cs="Arial" w:eastAsia="Arial" w:hAnsi="Arial"/>
          <w:sz w:val="11"/>
          <w:szCs w:val="11"/>
          <w:color w:val="auto"/>
        </w:rPr>
        <w:t>®</w:t>
      </w:r>
      <w:r>
        <w:rPr>
          <w:rFonts w:ascii="Arial" w:cs="Arial" w:eastAsia="Arial" w:hAnsi="Arial"/>
          <w:sz w:val="13"/>
          <w:szCs w:val="13"/>
          <w:color w:val="auto"/>
        </w:rPr>
        <w:t xml:space="preserve"> platform allow CSPs to improve operational performance and efficiencies and rapidly deploy new services.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solution is designed to be:</w:t>
      </w:r>
    </w:p>
    <w:p>
      <w:pPr>
        <w:spacing w:after="0" w:line="96" w:lineRule="exact"/>
        <w:rPr>
          <w:sz w:val="20"/>
          <w:szCs w:val="20"/>
          <w:color w:val="auto"/>
        </w:rPr>
      </w:pPr>
    </w:p>
    <w:p>
      <w:pPr>
        <w:ind w:left="1080" w:right="240" w:firstLine="383"/>
        <w:spacing w:after="0" w:line="268" w:lineRule="auto"/>
        <w:rPr>
          <w:sz w:val="20"/>
          <w:szCs w:val="20"/>
          <w:color w:val="auto"/>
        </w:rPr>
      </w:pPr>
      <w:r>
        <w:rPr>
          <w:rFonts w:ascii="Arial" w:cs="Arial" w:eastAsia="Arial" w:hAnsi="Arial"/>
          <w:sz w:val="13"/>
          <w:szCs w:val="13"/>
          <w:i w:val="1"/>
          <w:iCs w:val="1"/>
          <w:color w:val="auto"/>
        </w:rPr>
        <w:t xml:space="preserve">Highly Automated: </w:t>
      </w:r>
      <w:r>
        <w:rPr>
          <w:rFonts w:ascii="Arial" w:cs="Arial" w:eastAsia="Arial" w:hAnsi="Arial"/>
          <w:sz w:val="13"/>
          <w:szCs w:val="13"/>
          <w:color w:val="auto"/>
        </w:rPr>
        <w:t>We designed our ActivationNow</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to eliminate manual processes and to automate otherwise labor-intensive tasks, thus improving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efficiencies and reducing costs. By tracking every order and identifying those that are not provisioned properly, we substantially reduce the need for manual intervention. Our technology automatically guides a customer’s request for service through the entire series of required steps.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080" w:firstLine="383"/>
        <w:spacing w:after="0" w:line="283" w:lineRule="auto"/>
        <w:rPr>
          <w:sz w:val="20"/>
          <w:szCs w:val="20"/>
          <w:color w:val="auto"/>
        </w:rPr>
      </w:pPr>
      <w:r>
        <w:rPr>
          <w:rFonts w:ascii="Arial" w:cs="Arial" w:eastAsia="Arial" w:hAnsi="Arial"/>
          <w:sz w:val="12"/>
          <w:szCs w:val="12"/>
          <w:i w:val="1"/>
          <w:iCs w:val="1"/>
          <w:color w:val="auto"/>
        </w:rPr>
        <w:t xml:space="preserve">Predictable and Reliable Customer Experience: </w:t>
      </w:r>
      <w:r>
        <w:rPr>
          <w:rFonts w:ascii="Arial" w:cs="Arial" w:eastAsia="Arial" w:hAnsi="Arial"/>
          <w:sz w:val="12"/>
          <w:szCs w:val="12"/>
          <w:color w:val="auto"/>
        </w:rPr>
        <w:t>We are committed to providing high-quality, dependable services to our customers. To ensure reliability, system uptime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service offerings are guaranteed through our commitment to SLAs. Our product is a complete customer management solution, including exception handling, which we believe is one of the main factors that differentiates us from our competitors. In performing exception handling, our platform recognizes and isolates transaction orders that are not configured to specifications, processes them in a timely manner and communicates these orders back to our customers, thereby improving efficiency and reducing backlog. If manual intervention is required, our exception handling is outsourced to centers located in India, Canada and the United States. In addition, our database design preserves data integrity while ensuring fast, efficient, transaction-oriented data retrieval methods. As a demonstration of resilience, the database design has remained stable during the life and evolution of other components of our platform. This stability provides reusability of the business functionality as new, updated graphical user interfaces are developed.</w:t>
      </w:r>
    </w:p>
    <w:p>
      <w:pPr>
        <w:spacing w:after="0" w:line="55" w:lineRule="exact"/>
        <w:rPr>
          <w:sz w:val="20"/>
          <w:szCs w:val="20"/>
          <w:color w:val="auto"/>
        </w:rPr>
      </w:pPr>
    </w:p>
    <w:p>
      <w:pPr>
        <w:ind w:left="1080" w:firstLine="383"/>
        <w:spacing w:after="0" w:line="288" w:lineRule="auto"/>
        <w:rPr>
          <w:sz w:val="20"/>
          <w:szCs w:val="20"/>
          <w:color w:val="auto"/>
        </w:rPr>
      </w:pPr>
      <w:r>
        <w:rPr>
          <w:rFonts w:ascii="Arial" w:cs="Arial" w:eastAsia="Arial" w:hAnsi="Arial"/>
          <w:sz w:val="12"/>
          <w:szCs w:val="12"/>
          <w:i w:val="1"/>
          <w:iCs w:val="1"/>
          <w:color w:val="auto"/>
        </w:rPr>
        <w:t xml:space="preserve">Seamless: </w:t>
      </w:r>
      <w:r>
        <w:rPr>
          <w:rFonts w:ascii="Arial" w:cs="Arial" w:eastAsia="Arial" w:hAnsi="Arial"/>
          <w:sz w:val="12"/>
          <w:szCs w:val="12"/>
          <w:color w:val="auto"/>
        </w:rPr>
        <w:t>Our ActivationNow</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 integrates information across the service provider’s entire operation, including customer information, order information, product</w:t>
      </w:r>
      <w:r>
        <w:rPr>
          <w:rFonts w:ascii="Arial" w:cs="Arial" w:eastAsia="Arial" w:hAnsi="Arial"/>
          <w:sz w:val="12"/>
          <w:szCs w:val="12"/>
          <w:i w:val="1"/>
          <w:iCs w:val="1"/>
          <w:color w:val="auto"/>
        </w:rPr>
        <w:t xml:space="preserve"> </w:t>
      </w:r>
      <w:r>
        <w:rPr>
          <w:rFonts w:ascii="Arial" w:cs="Arial" w:eastAsia="Arial" w:hAnsi="Arial"/>
          <w:sz w:val="12"/>
          <w:szCs w:val="12"/>
          <w:color w:val="auto"/>
        </w:rPr>
        <w:t>and service information, network inventory and workflow information. We have built our ActivationNow</w:t>
      </w:r>
      <w:r>
        <w:rPr>
          <w:rFonts w:ascii="Arial" w:cs="Arial" w:eastAsia="Arial" w:hAnsi="Arial"/>
          <w:sz w:val="10"/>
          <w:szCs w:val="10"/>
          <w:color w:val="auto"/>
        </w:rPr>
        <w:t>®</w:t>
      </w:r>
      <w:r>
        <w:rPr>
          <w:rFonts w:ascii="Arial" w:cs="Arial" w:eastAsia="Arial" w:hAnsi="Arial"/>
          <w:sz w:val="12"/>
          <w:szCs w:val="12"/>
          <w:color w:val="auto"/>
        </w:rPr>
        <w:t xml:space="preserve"> platform using an open design with fully-documented software interfaces, commonly referred to as application programming interfaces, or APIs. Our APIs make it easier for our customers, partners and other third parties to integrate the ActivationNow</w:t>
      </w:r>
      <w:r>
        <w:rPr>
          <w:rFonts w:ascii="Arial" w:cs="Arial" w:eastAsia="Arial" w:hAnsi="Arial"/>
          <w:sz w:val="10"/>
          <w:szCs w:val="10"/>
          <w:color w:val="auto"/>
        </w:rPr>
        <w:t>®</w:t>
      </w:r>
      <w:r>
        <w:rPr>
          <w:rFonts w:ascii="Arial" w:cs="Arial" w:eastAsia="Arial" w:hAnsi="Arial"/>
          <w:sz w:val="12"/>
          <w:szCs w:val="12"/>
          <w:color w:val="auto"/>
        </w:rPr>
        <w:t xml:space="preserve"> platform with other software applications and to build Web-based applications incorporating third-party or CSP-designed capabilities. Through our open design and alliance program, we provide our customers with superior solutions that combine best-of-breed applications with the efficiency and cost-effectiveness of commercial, packaged interfaces.</w:t>
      </w:r>
    </w:p>
    <w:p>
      <w:pPr>
        <w:spacing w:after="0" w:line="52" w:lineRule="exact"/>
        <w:rPr>
          <w:sz w:val="20"/>
          <w:szCs w:val="20"/>
          <w:color w:val="auto"/>
        </w:rPr>
      </w:pPr>
    </w:p>
    <w:p>
      <w:pPr>
        <w:ind w:left="1080" w:right="100" w:firstLine="383"/>
        <w:spacing w:after="0" w:line="263" w:lineRule="auto"/>
        <w:rPr>
          <w:sz w:val="20"/>
          <w:szCs w:val="20"/>
          <w:color w:val="auto"/>
        </w:rPr>
      </w:pPr>
      <w:r>
        <w:rPr>
          <w:rFonts w:ascii="Arial" w:cs="Arial" w:eastAsia="Arial" w:hAnsi="Arial"/>
          <w:sz w:val="13"/>
          <w:szCs w:val="13"/>
          <w:i w:val="1"/>
          <w:iCs w:val="1"/>
          <w:color w:val="auto"/>
        </w:rPr>
        <w:t xml:space="preserve">Scalable: </w:t>
      </w:r>
      <w:r>
        <w:rPr>
          <w:rFonts w:ascii="Arial" w:cs="Arial" w:eastAsia="Arial" w:hAnsi="Arial"/>
          <w:sz w:val="13"/>
          <w:szCs w:val="13"/>
          <w:color w:val="auto"/>
        </w:rPr>
        <w:t>Our ActivationNow</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is designed to process expanding transaction volumes reliably and cost effectively. Transaction volume has increased rapidly since</w:t>
      </w:r>
      <w:r>
        <w:rPr>
          <w:rFonts w:ascii="Arial" w:cs="Arial" w:eastAsia="Arial" w:hAnsi="Arial"/>
          <w:sz w:val="13"/>
          <w:szCs w:val="13"/>
          <w:i w:val="1"/>
          <w:iCs w:val="1"/>
          <w:color w:val="auto"/>
        </w:rPr>
        <w:t xml:space="preserve"> </w:t>
      </w:r>
      <w:r>
        <w:rPr>
          <w:rFonts w:ascii="Arial" w:cs="Arial" w:eastAsia="Arial" w:hAnsi="Arial"/>
          <w:sz w:val="13"/>
          <w:szCs w:val="13"/>
          <w:color w:val="auto"/>
        </w:rPr>
        <w:t>our inception. We anticipate substantial future growth in transaction volumes and believe our platform is capable of scaling its output commensurately, requiring principally routine computer hardware and software updates. In addition, we believe our platform enables service and digital convergence providers to offer a variety of services more quickly and to package and price their services cost effectively by integrating them with available network capacity and resources.</w:t>
      </w:r>
    </w:p>
    <w:p>
      <w:pPr>
        <w:spacing w:after="0" w:line="67"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i w:val="1"/>
          <w:iCs w:val="1"/>
          <w:color w:val="auto"/>
        </w:rPr>
        <w:t xml:space="preserve">Value-added Reporting: </w:t>
      </w:r>
      <w:r>
        <w:rPr>
          <w:rFonts w:ascii="Arial" w:cs="Arial" w:eastAsia="Arial" w:hAnsi="Arial"/>
          <w:sz w:val="13"/>
          <w:szCs w:val="13"/>
          <w:color w:val="auto"/>
        </w:rPr>
        <w:t>Our ActivationNow</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attributes are tightly integrated into the critical workflows of our customers. The ActivationNow</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has</w:t>
      </w:r>
      <w:r>
        <w:rPr>
          <w:rFonts w:ascii="Arial" w:cs="Arial" w:eastAsia="Arial" w:hAnsi="Arial"/>
          <w:sz w:val="13"/>
          <w:szCs w:val="13"/>
          <w:i w:val="1"/>
          <w:iCs w:val="1"/>
          <w:color w:val="auto"/>
        </w:rPr>
        <w:t xml:space="preserve"> </w:t>
      </w:r>
      <w:r>
        <w:rPr>
          <w:rFonts w:ascii="Arial" w:cs="Arial" w:eastAsia="Arial" w:hAnsi="Arial"/>
          <w:sz w:val="13"/>
          <w:szCs w:val="13"/>
          <w:color w:val="auto"/>
        </w:rPr>
        <w:t>analytical reporting capabilities that provide real-time information for every step of the relevant transaction processes. In addition to improving end-user customer satisfaction, these capabilities provide our customers with value-added insights into historical and current transaction trends. We also offer mobile reporting capabilities for key users to receive critical data about their transactions on their mobile devices. Our platform’s capabilities provide what we believe to be a more cost-effective, efficient and productive approach to e-commerce. Our solutions allow our customers to reduce overhead costs associated with building and operating their own e-commerce and customer transaction management infrastructure. We also provide our customers with the information and tools to more efficiently manage marketing and operational aspects of their business. In addition, the automation and ease of integration of our on-demand software allows CSPs to accelerate the deployment of their services and new service offerings by shortening the time between a customer’s order and the provisioning of service.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Demand Drivers for Our Multi-Channel Transaction Management Solutions</w:t>
      </w:r>
    </w:p>
    <w:p>
      <w:pPr>
        <w:spacing w:after="0" w:line="10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services are capable of managing a wide variety of transactions across multiple CSP delivery models, allowing us to benefit from increased growth, complexity and technological change in the communications industry. As communications technology has evolved, new access networks, end-devices and applications with multiple features have emerged. This proliferation of services and advancement of technologies, combined with their bundling (i.e., double, triple and quadruple plays) are accelerating subscriber growth and increasing the number of transactions between CSPs, and their customers. Currently, growth in wireless services, the adoption of VoIP and the increasing importance of e-commerce are strongly driving demand for our transaction management solutions. In addition, we see an opportunity to provide our services to the high-growth market of bundled services (including voice, video, data and wireless) resulting from converging technology markets. We support and target transactions ranging from initial service activations to ongoing customer lifecycle transactions, such as additions, subtractions</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20"/>
        <w:spacing w:after="0" w:line="284" w:lineRule="auto"/>
        <w:rPr>
          <w:sz w:val="20"/>
          <w:szCs w:val="20"/>
          <w:color w:val="auto"/>
        </w:rPr>
      </w:pPr>
      <w:r>
        <w:rPr>
          <w:rFonts w:ascii="Arial" w:cs="Arial" w:eastAsia="Arial" w:hAnsi="Arial"/>
          <w:sz w:val="12"/>
          <w:szCs w:val="12"/>
          <w:color w:val="auto"/>
        </w:rPr>
        <w:t>and changes to services. The need for CSPs to deliver these transactions efficiently increases demand for our on-demand software delivery model. The rapid emergence of all digital, IP-based networks is causing the creation of telecommunications services to be less dependent on particular elements of network infrastructure. In this environment, CSPs are increasingly relying on intelligent platform solutions such as our own in order to quickly develop new packages of service offerings. The critical driver of adoption of our services is shifting from cost reduction at CSPs to generating new revenues via on-demand service creation and bundling. In this environment, we believe that our on-demand capabilities will be a major value-added difference to our CSPs and their largest customers. Our transaction management solutions are available through multiple channels: e-commerce, CSP stores and other retail outlets. Our customers value our multi-channel transaction management solutions, which we believe will be a key differentiator.</w:t>
      </w:r>
    </w:p>
    <w:p>
      <w:pPr>
        <w:spacing w:after="0" w:line="5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Growth in Handset Devices, Network Technology, and Applications and Content. </w:t>
      </w:r>
      <w:r>
        <w:rPr>
          <w:rFonts w:ascii="Arial" w:cs="Arial" w:eastAsia="Arial" w:hAnsi="Arial"/>
          <w:sz w:val="13"/>
          <w:szCs w:val="13"/>
          <w:color w:val="auto"/>
        </w:rPr>
        <w:t>The communications market is moving towards a next generation mobility marketplace, defined as</w:t>
      </w:r>
      <w:r>
        <w:rPr>
          <w:rFonts w:ascii="Arial" w:cs="Arial" w:eastAsia="Arial" w:hAnsi="Arial"/>
          <w:sz w:val="13"/>
          <w:szCs w:val="13"/>
          <w:i w:val="1"/>
          <w:iCs w:val="1"/>
          <w:color w:val="auto"/>
        </w:rPr>
        <w:t xml:space="preserve"> </w:t>
      </w:r>
      <w:r>
        <w:rPr>
          <w:rFonts w:ascii="Arial" w:cs="Arial" w:eastAsia="Arial" w:hAnsi="Arial"/>
          <w:sz w:val="13"/>
          <w:szCs w:val="13"/>
          <w:color w:val="auto"/>
        </w:rPr>
        <w:t>allowing both business and consumer customers to choose a wide range of smart mobile devices, supported on multiple network technologies. By developing such seamless mobility environment, it will fuel a whole set of new transactions designed around providing many forms of enhanced content and applications to increase the monthly average revenue per user (ARPU) of each individual subscriber.</w:t>
      </w:r>
    </w:p>
    <w:p>
      <w:pPr>
        <w:spacing w:after="0" w:line="6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Adoption of VoIP. </w:t>
      </w:r>
      <w:r>
        <w:rPr>
          <w:rFonts w:ascii="Arial" w:cs="Arial" w:eastAsia="Arial" w:hAnsi="Arial"/>
          <w:sz w:val="13"/>
          <w:szCs w:val="13"/>
          <w:color w:val="auto"/>
        </w:rPr>
        <w:t>Internet Protocol-based network technologies are transforming the communications marketplace and VoIP applications are just starting to be deployed. The total</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residential US VoIP customers is expected to grow from 11 million in 2005 to 44 million in 2010, representing a compound annual growth rate of 173% according to International Data Corporation, or IDC. Our strong market capture across new entrants, cable companies and traditional communications providers positions us well to leverage our existing base and maximize capture of new transaction types.</w:t>
      </w:r>
    </w:p>
    <w:p>
      <w:pPr>
        <w:spacing w:after="0" w:line="69"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i w:val="1"/>
          <w:iCs w:val="1"/>
          <w:color w:val="auto"/>
        </w:rPr>
        <w:t xml:space="preserve">Continued growth of e-commerce. </w:t>
      </w:r>
      <w:r>
        <w:rPr>
          <w:rFonts w:ascii="Arial" w:cs="Arial" w:eastAsia="Arial" w:hAnsi="Arial"/>
          <w:sz w:val="13"/>
          <w:szCs w:val="13"/>
          <w:color w:val="auto"/>
        </w:rPr>
        <w:t>Internet-based commerce provides CSPs with the opportunity to cost-effectively gain new customers, provide service and interact more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effectively. Specifically Cost per Gross Add (CPGA) for a customer obtained via e-commerce can be up to 50% less than those obtained via traditional bricks and mortar. In addition, Forrester Research projects e-commerce sales in the United States to grow from $172 billion in 2005 to $329 billion in 2010. With the dramatic increase in Internet usage and desire to directly connect with end users over the course of the customer lifecycle, CSPs are increasingly focusing on e-commerce as a channel for customer acquisition and delivery of ongoing services.</w:t>
      </w:r>
    </w:p>
    <w:p>
      <w:pPr>
        <w:spacing w:after="0" w:line="70"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i w:val="1"/>
          <w:iCs w:val="1"/>
          <w:color w:val="auto"/>
        </w:rPr>
        <w:t xml:space="preserve">Growth in on-demand delivery model. </w:t>
      </w:r>
      <w:r>
        <w:rPr>
          <w:rFonts w:ascii="Arial" w:cs="Arial" w:eastAsia="Arial" w:hAnsi="Arial"/>
          <w:sz w:val="13"/>
          <w:szCs w:val="13"/>
          <w:color w:val="auto"/>
        </w:rPr>
        <w:t>Our on-demand business model enables delivery of proprietary solutions over the Internet as a service. Customers do not have to make large</w:t>
      </w:r>
      <w:r>
        <w:rPr>
          <w:rFonts w:ascii="Arial" w:cs="Arial" w:eastAsia="Arial" w:hAnsi="Arial"/>
          <w:sz w:val="13"/>
          <w:szCs w:val="13"/>
          <w:i w:val="1"/>
          <w:iCs w:val="1"/>
          <w:color w:val="auto"/>
        </w:rPr>
        <w:t xml:space="preserve"> </w:t>
      </w:r>
      <w:r>
        <w:rPr>
          <w:rFonts w:ascii="Arial" w:cs="Arial" w:eastAsia="Arial" w:hAnsi="Arial"/>
          <w:sz w:val="13"/>
          <w:szCs w:val="13"/>
          <w:color w:val="auto"/>
        </w:rPr>
        <w:t>and risky upfront investments in software, additional hardware, extensive implementation services and additional IT staff. Because we implement all upgrades to software on our servers, they automatically become part of our service and available to benefit all customers immediately.</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Pressure on CSPs to improve efficiency. </w:t>
      </w:r>
      <w:r>
        <w:rPr>
          <w:rFonts w:ascii="Arial" w:cs="Arial" w:eastAsia="Arial" w:hAnsi="Arial"/>
          <w:sz w:val="13"/>
          <w:szCs w:val="13"/>
          <w:color w:val="auto"/>
        </w:rPr>
        <w:t>Increased competition and excess network capacity have placed significant pressure on CSPs to reduce costs and increase revenues.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same time, due to deregulation, the emergence of new network technologies and the proliferation of services, the complexity of back office operations has increased significantly. As a result, CSPs are looking for ways to offer new communications services more rapidly and efficiently to existing and new customers. Increased competition and demand for superior end-user experience have placed significant pressure on CSPs to improve customer focused processes. CSPs are increasingly turning to transaction based, cost effective, scalable and automated third-party solutions that can offer guaranteed levels of service delivery.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Growth Strategy</w:t>
      </w:r>
    </w:p>
    <w:p>
      <w:pPr>
        <w:spacing w:after="0" w:line="96"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Our growth strategy is to establish our ActivationNow</w:t>
      </w:r>
      <w:r>
        <w:rPr>
          <w:rFonts w:ascii="Arial" w:cs="Arial" w:eastAsia="Arial" w:hAnsi="Arial"/>
          <w:sz w:val="11"/>
          <w:szCs w:val="11"/>
          <w:color w:val="auto"/>
        </w:rPr>
        <w:t>®</w:t>
      </w:r>
      <w:r>
        <w:rPr>
          <w:rFonts w:ascii="Arial" w:cs="Arial" w:eastAsia="Arial" w:hAnsi="Arial"/>
          <w:sz w:val="13"/>
          <w:szCs w:val="13"/>
          <w:color w:val="auto"/>
        </w:rPr>
        <w:t xml:space="preserve"> platform as the premium platform for leading providers of communications services and digital convergence services, while investing in extensions of the services portfolio. We believe the final and key differentiators in next generation mobility will be to provide a more automated and robust customer experience. We will focus our technology and efforts around improving functionality, helping CSP’s drive higher ARPU, and allowing more capabilities for ordering bundled applications and content offerings across these same complex and advanced networks.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elements of this strategy are:</w:t>
      </w:r>
    </w:p>
    <w:p>
      <w:pPr>
        <w:spacing w:after="0" w:line="96" w:lineRule="exact"/>
        <w:rPr>
          <w:sz w:val="20"/>
          <w:szCs w:val="20"/>
          <w:color w:val="auto"/>
        </w:rPr>
      </w:pPr>
    </w:p>
    <w:p>
      <w:pPr>
        <w:ind w:left="1080" w:firstLine="383"/>
        <w:spacing w:after="0" w:line="261" w:lineRule="auto"/>
        <w:rPr>
          <w:sz w:val="20"/>
          <w:szCs w:val="20"/>
          <w:color w:val="auto"/>
        </w:rPr>
      </w:pPr>
      <w:r>
        <w:rPr>
          <w:rFonts w:ascii="Arial" w:cs="Arial" w:eastAsia="Arial" w:hAnsi="Arial"/>
          <w:sz w:val="13"/>
          <w:szCs w:val="13"/>
          <w:i w:val="1"/>
          <w:iCs w:val="1"/>
          <w:color w:val="auto"/>
        </w:rPr>
        <w:t xml:space="preserve">Expand Customer Base and Target New and Converged Industry Segments. </w:t>
      </w:r>
      <w:r>
        <w:rPr>
          <w:rFonts w:ascii="Arial" w:cs="Arial" w:eastAsia="Arial" w:hAnsi="Arial"/>
          <w:sz w:val="13"/>
          <w:szCs w:val="13"/>
          <w:color w:val="auto"/>
        </w:rPr>
        <w:t>The ActivationNow</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is designed to address CSPs and business models across the range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communications services and digital content markets, a capability we intend to exploit by targeting new industry segments such as converged service providers, cable operators (MSOs), wireless broadband/ WiMAX operators and online content providers. Due to our deep domain expertise and ability to integrate our services across a variety of CSP networks, we have been able to provide services to converging technology markets, such as providers offering integrated packages of voice, video, data, music, TV and/or wireless service (i.e., double, triple and quadruple plays).</w:t>
      </w:r>
    </w:p>
    <w:p>
      <w:pPr>
        <w:spacing w:after="0" w:line="69" w:lineRule="exact"/>
        <w:rPr>
          <w:sz w:val="20"/>
          <w:szCs w:val="20"/>
          <w:color w:val="auto"/>
        </w:rPr>
      </w:pPr>
    </w:p>
    <w:p>
      <w:pPr>
        <w:ind w:left="1080" w:right="180" w:firstLine="383"/>
        <w:spacing w:after="0" w:line="266" w:lineRule="auto"/>
        <w:rPr>
          <w:sz w:val="20"/>
          <w:szCs w:val="20"/>
          <w:color w:val="auto"/>
        </w:rPr>
      </w:pPr>
      <w:r>
        <w:rPr>
          <w:rFonts w:ascii="Arial" w:cs="Arial" w:eastAsia="Arial" w:hAnsi="Arial"/>
          <w:sz w:val="13"/>
          <w:szCs w:val="13"/>
          <w:i w:val="1"/>
          <w:iCs w:val="1"/>
          <w:color w:val="auto"/>
        </w:rPr>
        <w:t xml:space="preserve">Continue to Exploit VoIP Industry Opportunities. </w:t>
      </w:r>
      <w:r>
        <w:rPr>
          <w:rFonts w:ascii="Arial" w:cs="Arial" w:eastAsia="Arial" w:hAnsi="Arial"/>
          <w:sz w:val="13"/>
          <w:szCs w:val="13"/>
          <w:color w:val="auto"/>
        </w:rPr>
        <w:t>We believe continued rapid VoIP industry growth will expand the market and demand for our services. Being the trusted</w:t>
      </w:r>
      <w:r>
        <w:rPr>
          <w:rFonts w:ascii="Arial" w:cs="Arial" w:eastAsia="Arial" w:hAnsi="Arial"/>
          <w:sz w:val="13"/>
          <w:szCs w:val="13"/>
          <w:i w:val="1"/>
          <w:iCs w:val="1"/>
          <w:color w:val="auto"/>
        </w:rPr>
        <w:t xml:space="preserve"> </w:t>
      </w:r>
      <w:r>
        <w:rPr>
          <w:rFonts w:ascii="Arial" w:cs="Arial" w:eastAsia="Arial" w:hAnsi="Arial"/>
          <w:sz w:val="13"/>
          <w:szCs w:val="13"/>
          <w:color w:val="auto"/>
        </w:rPr>
        <w:t>partner to VoIP industry leaders, including Vonage Holdings, Time Warner Cable and Cablevision, positions us well to benefit from the evolving needs, requirements and opportunities of the VoIP industry.</w:t>
      </w:r>
    </w:p>
    <w:p>
      <w:pPr>
        <w:spacing w:after="0" w:line="67" w:lineRule="exact"/>
        <w:rPr>
          <w:sz w:val="20"/>
          <w:szCs w:val="20"/>
          <w:color w:val="auto"/>
        </w:rPr>
      </w:pPr>
    </w:p>
    <w:p>
      <w:pPr>
        <w:ind w:left="1080" w:right="40" w:firstLine="383"/>
        <w:spacing w:after="0" w:line="262" w:lineRule="auto"/>
        <w:rPr>
          <w:sz w:val="20"/>
          <w:szCs w:val="20"/>
          <w:color w:val="auto"/>
        </w:rPr>
      </w:pPr>
      <w:r>
        <w:rPr>
          <w:rFonts w:ascii="Arial" w:cs="Arial" w:eastAsia="Arial" w:hAnsi="Arial"/>
          <w:sz w:val="13"/>
          <w:szCs w:val="13"/>
          <w:i w:val="1"/>
          <w:iCs w:val="1"/>
          <w:color w:val="auto"/>
        </w:rPr>
        <w:t xml:space="preserve">Enhance Current Wireless Industry Leadership. </w:t>
      </w:r>
      <w:r>
        <w:rPr>
          <w:rFonts w:ascii="Arial" w:cs="Arial" w:eastAsia="Arial" w:hAnsi="Arial"/>
          <w:sz w:val="13"/>
          <w:szCs w:val="13"/>
          <w:color w:val="auto"/>
        </w:rPr>
        <w:t>Spending in the global wireless industry has grown significantly in recent years. The Yankee Group predicts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e-commerce channel will be the fastest growing channel for wireless handsets, growing from 12 million transactions in 2007 to 22 million in 2009, or an annual growth rate of 35%. The up-tick in spending is happening because myriad advanced applications are being offered, including wireless Internet access, multimedia messaging, games and Wi-Fi. These applications translate into new transaction types that we can meld into our workflow management system.</w:t>
      </w:r>
    </w:p>
    <w:p>
      <w:pPr>
        <w:spacing w:after="0" w:line="69" w:lineRule="exact"/>
        <w:rPr>
          <w:sz w:val="20"/>
          <w:szCs w:val="20"/>
          <w:color w:val="auto"/>
        </w:rPr>
      </w:pPr>
    </w:p>
    <w:p>
      <w:pPr>
        <w:ind w:left="1080" w:right="40" w:firstLine="383"/>
        <w:spacing w:after="0" w:line="279" w:lineRule="auto"/>
        <w:rPr>
          <w:sz w:val="20"/>
          <w:szCs w:val="20"/>
          <w:color w:val="auto"/>
        </w:rPr>
      </w:pPr>
      <w:r>
        <w:rPr>
          <w:rFonts w:ascii="Arial" w:cs="Arial" w:eastAsia="Arial" w:hAnsi="Arial"/>
          <w:sz w:val="13"/>
          <w:szCs w:val="13"/>
          <w:color w:val="auto"/>
        </w:rPr>
        <w:t>We currently process hundreds of thousands of wireless transactions every month, which are driven by increasing numbers of wireless subscribers and by wireless subscriber churn resulting from local number portability, service provider competition and other factors.</w:t>
      </w:r>
    </w:p>
    <w:p>
      <w:pPr>
        <w:spacing w:after="0" w:line="58" w:lineRule="exact"/>
        <w:rPr>
          <w:sz w:val="20"/>
          <w:szCs w:val="20"/>
          <w:color w:val="auto"/>
        </w:rPr>
      </w:pPr>
    </w:p>
    <w:p>
      <w:pPr>
        <w:ind w:left="1080" w:right="60" w:firstLine="383"/>
        <w:spacing w:after="0" w:line="287" w:lineRule="auto"/>
        <w:rPr>
          <w:sz w:val="20"/>
          <w:szCs w:val="20"/>
          <w:color w:val="auto"/>
        </w:rPr>
      </w:pPr>
      <w:r>
        <w:rPr>
          <w:rFonts w:ascii="Arial" w:cs="Arial" w:eastAsia="Arial" w:hAnsi="Arial"/>
          <w:sz w:val="12"/>
          <w:szCs w:val="12"/>
          <w:i w:val="1"/>
          <w:iCs w:val="1"/>
          <w:color w:val="auto"/>
        </w:rPr>
        <w:t xml:space="preserve">Further Penetrate our Existing Customer Base. </w:t>
      </w:r>
      <w:r>
        <w:rPr>
          <w:rFonts w:ascii="Arial" w:cs="Arial" w:eastAsia="Arial" w:hAnsi="Arial"/>
          <w:sz w:val="12"/>
          <w:szCs w:val="12"/>
          <w:color w:val="auto"/>
        </w:rPr>
        <w:t>We derive significant growth from our existing customers as they continue to expand into new distribution channels, require</w:t>
      </w:r>
      <w:r>
        <w:rPr>
          <w:rFonts w:ascii="Arial" w:cs="Arial" w:eastAsia="Arial" w:hAnsi="Arial"/>
          <w:sz w:val="12"/>
          <w:szCs w:val="12"/>
          <w:i w:val="1"/>
          <w:iCs w:val="1"/>
          <w:color w:val="auto"/>
        </w:rPr>
        <w:t xml:space="preserve"> </w:t>
      </w:r>
      <w:r>
        <w:rPr>
          <w:rFonts w:ascii="Arial" w:cs="Arial" w:eastAsia="Arial" w:hAnsi="Arial"/>
          <w:sz w:val="12"/>
          <w:szCs w:val="12"/>
          <w:color w:val="auto"/>
        </w:rPr>
        <w:t>new service offerings and increase transaction volumes. As CSPs expand consumer, business and indirect distribution, they require new transaction management solutions which drive increasing amounts of transactions over our platform. Many customers purchase multiple services from us, and we believe we are well positioned to cross-sell additional services to customers who do not currently purchase our full services portfolio. In addition, the increasing importance and expansion of Internet-based e-commerce has led to increased focus by CSPs on their e-channel distribution, thus providing another opportunity for us to further penetrate into existing customers.</w:t>
      </w:r>
    </w:p>
    <w:p>
      <w:pPr>
        <w:spacing w:after="0" w:line="55" w:lineRule="exact"/>
        <w:rPr>
          <w:sz w:val="20"/>
          <w:szCs w:val="20"/>
          <w:color w:val="auto"/>
        </w:rPr>
      </w:pPr>
    </w:p>
    <w:p>
      <w:pPr>
        <w:ind w:left="1080" w:firstLine="383"/>
        <w:spacing w:after="0" w:line="266" w:lineRule="auto"/>
        <w:rPr>
          <w:sz w:val="20"/>
          <w:szCs w:val="20"/>
          <w:color w:val="auto"/>
        </w:rPr>
      </w:pPr>
      <w:r>
        <w:rPr>
          <w:rFonts w:ascii="Arial" w:cs="Arial" w:eastAsia="Arial" w:hAnsi="Arial"/>
          <w:sz w:val="13"/>
          <w:szCs w:val="13"/>
          <w:i w:val="1"/>
          <w:iCs w:val="1"/>
          <w:color w:val="auto"/>
        </w:rPr>
        <w:t xml:space="preserve">Expand Into New Geographic Markets. </w:t>
      </w:r>
      <w:r>
        <w:rPr>
          <w:rFonts w:ascii="Arial" w:cs="Arial" w:eastAsia="Arial" w:hAnsi="Arial"/>
          <w:sz w:val="13"/>
          <w:szCs w:val="13"/>
          <w:color w:val="auto"/>
        </w:rPr>
        <w:t>Our current customers operate primarily in North America. We believe there is an opportunity for us to obtain new customers outside</w:t>
      </w:r>
      <w:r>
        <w:rPr>
          <w:rFonts w:ascii="Arial" w:cs="Arial" w:eastAsia="Arial" w:hAnsi="Arial"/>
          <w:sz w:val="13"/>
          <w:szCs w:val="13"/>
          <w:i w:val="1"/>
          <w:iCs w:val="1"/>
          <w:color w:val="auto"/>
        </w:rPr>
        <w:t xml:space="preserve"> </w:t>
      </w:r>
      <w:r>
        <w:rPr>
          <w:rFonts w:ascii="Arial" w:cs="Arial" w:eastAsia="Arial" w:hAnsi="Arial"/>
          <w:sz w:val="13"/>
          <w:szCs w:val="13"/>
          <w:color w:val="auto"/>
        </w:rPr>
        <w:t>of North America. We currently intend to take our business global by penetrating new geographic markets within the next two years, particularly Europe, Asia/Pacific and Latin America, as these markets experience similar trends to those that have driven growth in North America.</w:t>
      </w:r>
    </w:p>
    <w:p>
      <w:pPr>
        <w:spacing w:after="0" w:line="67" w:lineRule="exact"/>
        <w:rPr>
          <w:sz w:val="20"/>
          <w:szCs w:val="20"/>
          <w:color w:val="auto"/>
        </w:rPr>
      </w:pPr>
    </w:p>
    <w:p>
      <w:pPr>
        <w:ind w:left="1080" w:right="80" w:firstLine="383"/>
        <w:spacing w:after="0" w:line="287" w:lineRule="auto"/>
        <w:rPr>
          <w:sz w:val="20"/>
          <w:szCs w:val="20"/>
          <w:color w:val="auto"/>
        </w:rPr>
      </w:pPr>
      <w:r>
        <w:rPr>
          <w:rFonts w:ascii="Arial" w:cs="Arial" w:eastAsia="Arial" w:hAnsi="Arial"/>
          <w:sz w:val="12"/>
          <w:szCs w:val="12"/>
          <w:i w:val="1"/>
          <w:iCs w:val="1"/>
          <w:color w:val="auto"/>
        </w:rPr>
        <w:t xml:space="preserve">Expand into the Smart Handset Markets. </w:t>
      </w:r>
      <w:r>
        <w:rPr>
          <w:rFonts w:ascii="Arial" w:cs="Arial" w:eastAsia="Arial" w:hAnsi="Arial"/>
          <w:sz w:val="12"/>
          <w:szCs w:val="12"/>
          <w:color w:val="auto"/>
        </w:rPr>
        <w:t>Our proprietary technology allows CSPs to bring together disparate systems and manage the ordering, activation and provisioning</w:t>
      </w:r>
      <w:r>
        <w:rPr>
          <w:rFonts w:ascii="Arial" w:cs="Arial" w:eastAsia="Arial" w:hAnsi="Arial"/>
          <w:sz w:val="12"/>
          <w:szCs w:val="12"/>
          <w:i w:val="1"/>
          <w:iCs w:val="1"/>
          <w:color w:val="auto"/>
        </w:rPr>
        <w:t xml:space="preserve"> </w:t>
      </w:r>
      <w:r>
        <w:rPr>
          <w:rFonts w:ascii="Arial" w:cs="Arial" w:eastAsia="Arial" w:hAnsi="Arial"/>
          <w:sz w:val="12"/>
          <w:szCs w:val="12"/>
          <w:color w:val="auto"/>
        </w:rPr>
        <w:t>of communications services, allowing them to lower the cost of new customer acquisition and product lifecycle management. We believe the smart handset makers will face the same hurdles and we plan to extend our technology from the network to the interface and software that sits on the actual smart handset. As new Smart phones are deployed, we will strive to ensure our technology can support a “plug and play” approach to end users wishing to purchase new advanced services, by automating and re-using our current platform’s embedded roots with many of the leading service providers today across all wireless, wireline, VoiP, and high speed data networks.</w:t>
      </w:r>
    </w:p>
    <w:p>
      <w:pPr>
        <w:spacing w:after="0" w:line="55" w:lineRule="exact"/>
        <w:rPr>
          <w:sz w:val="20"/>
          <w:szCs w:val="20"/>
          <w:color w:val="auto"/>
        </w:rPr>
      </w:pPr>
    </w:p>
    <w:p>
      <w:pPr>
        <w:ind w:left="1080" w:right="220" w:firstLine="383"/>
        <w:spacing w:after="0" w:line="291" w:lineRule="auto"/>
        <w:rPr>
          <w:sz w:val="20"/>
          <w:szCs w:val="20"/>
          <w:color w:val="auto"/>
        </w:rPr>
      </w:pPr>
      <w:r>
        <w:rPr>
          <w:rFonts w:ascii="Arial" w:cs="Arial" w:eastAsia="Arial" w:hAnsi="Arial"/>
          <w:sz w:val="12"/>
          <w:szCs w:val="12"/>
          <w:i w:val="1"/>
          <w:iCs w:val="1"/>
          <w:color w:val="auto"/>
        </w:rPr>
        <w:t xml:space="preserve">Maintain Technology Leadership. </w:t>
      </w:r>
      <w:r>
        <w:rPr>
          <w:rFonts w:ascii="Arial" w:cs="Arial" w:eastAsia="Arial" w:hAnsi="Arial"/>
          <w:sz w:val="12"/>
          <w:szCs w:val="12"/>
          <w:color w:val="auto"/>
        </w:rPr>
        <w:t>Our proprietary technology allows CSPs to bring together disparate systems and manage the ordering, activation and provisioning of</w:t>
      </w:r>
      <w:r>
        <w:rPr>
          <w:rFonts w:ascii="Arial" w:cs="Arial" w:eastAsia="Arial" w:hAnsi="Arial"/>
          <w:sz w:val="12"/>
          <w:szCs w:val="12"/>
          <w:i w:val="1"/>
          <w:iCs w:val="1"/>
          <w:color w:val="auto"/>
        </w:rPr>
        <w:t xml:space="preserve"> </w:t>
      </w:r>
      <w:r>
        <w:rPr>
          <w:rFonts w:ascii="Arial" w:cs="Arial" w:eastAsia="Arial" w:hAnsi="Arial"/>
          <w:sz w:val="12"/>
          <w:szCs w:val="12"/>
          <w:color w:val="auto"/>
        </w:rPr>
        <w:t>communications services, allowing them to lower the cost of new customer acquisition and product lifecycle management. We intend to build upon our technology leadership by continuing to invest in research and development to increase the automation of processes and workflows, thus driving increased interest in our solutions by making it more economical for CSPs to use us as a third-party solutions provider. In addition, we believe our close relationships with our tier-</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CSPs will continue to provide us with valuable insights into the challenges that are creating demand for next-generation solutions.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Services</w:t>
      </w:r>
    </w:p>
    <w:p>
      <w:pPr>
        <w:spacing w:after="0" w:line="10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are a leading provider of multi-channel transaction management solutions to the communications services and digital content marketplaces based on our penetration and relationships with key CSPs. Our offerings are designed to allow our customers to respond to market demand quickly and efficiently, to optimize service offerings and to build stronger relationships with their customers. In addition, we offer process and workflow consulting services, development services and enterprise portal management services. From time to time, the Company will provide these services for a fee as part of the process of transitioning new customers onto our platform and integrating our platform with the customer’s back office systems. These services enable our customers to realize the benefits of our transaction management solution.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ActivationNow</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Platform</w:t>
      </w:r>
    </w:p>
    <w:p>
      <w:pPr>
        <w:spacing w:after="0" w:line="100"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Our ActivationNow</w:t>
      </w:r>
      <w:r>
        <w:rPr>
          <w:rFonts w:ascii="Arial" w:cs="Arial" w:eastAsia="Arial" w:hAnsi="Arial"/>
          <w:sz w:val="10"/>
          <w:szCs w:val="10"/>
          <w:color w:val="auto"/>
        </w:rPr>
        <w:t>®</w:t>
      </w:r>
      <w:r>
        <w:rPr>
          <w:rFonts w:ascii="Arial" w:cs="Arial" w:eastAsia="Arial" w:hAnsi="Arial"/>
          <w:sz w:val="12"/>
          <w:szCs w:val="12"/>
          <w:color w:val="auto"/>
        </w:rPr>
        <w:t xml:space="preserve"> platform addresses a service provider’s needs and requirements with a flexible design which can scale with their expanding business operations. The ActivationNow</w:t>
      </w:r>
      <w:r>
        <w:rPr>
          <w:rFonts w:ascii="Arial" w:cs="Arial" w:eastAsia="Arial" w:hAnsi="Arial"/>
          <w:sz w:val="10"/>
          <w:szCs w:val="10"/>
          <w:color w:val="auto"/>
        </w:rPr>
        <w:t>®</w:t>
      </w:r>
      <w:r>
        <w:rPr>
          <w:rFonts w:ascii="Arial" w:cs="Arial" w:eastAsia="Arial" w:hAnsi="Arial"/>
          <w:sz w:val="12"/>
          <w:szCs w:val="12"/>
          <w:color w:val="auto"/>
        </w:rPr>
        <w:t xml:space="preserve"> platform is engineered to meet volume, speed to market and service guarantees which are important differentiators of the Synchronoss transaction management solution. The ActivationNow</w:t>
      </w:r>
      <w:r>
        <w:rPr>
          <w:rFonts w:ascii="Arial" w:cs="Arial" w:eastAsia="Arial" w:hAnsi="Arial"/>
          <w:sz w:val="10"/>
          <w:szCs w:val="10"/>
          <w:color w:val="auto"/>
        </w:rPr>
        <w:t>®</w:t>
      </w:r>
      <w:r>
        <w:rPr>
          <w:rFonts w:ascii="Arial" w:cs="Arial" w:eastAsia="Arial" w:hAnsi="Arial"/>
          <w:sz w:val="12"/>
          <w:szCs w:val="12"/>
          <w:color w:val="auto"/>
        </w:rPr>
        <w:t xml:space="preserve"> platform is a fully hosted service delivered over the Internet or a dedicated communication channel. Each new customer addition comes with a specific transaction fee and with guaranteed service levels. In addition, ActivationNow</w:t>
      </w:r>
      <w:r>
        <w:rPr>
          <w:rFonts w:ascii="Arial" w:cs="Arial" w:eastAsia="Arial" w:hAnsi="Arial"/>
          <w:sz w:val="10"/>
          <w:szCs w:val="10"/>
          <w:color w:val="auto"/>
        </w:rPr>
        <w:t>®</w:t>
      </w:r>
      <w:r>
        <w:rPr>
          <w:rFonts w:ascii="Arial" w:cs="Arial" w:eastAsia="Arial" w:hAnsi="Arial"/>
          <w:sz w:val="12"/>
          <w:szCs w:val="12"/>
          <w:color w:val="auto"/>
        </w:rPr>
        <w:t xml:space="preserve"> platform provides complete work flow management, including exception handling. Our ActivationNow</w:t>
      </w:r>
      <w:r>
        <w:rPr>
          <w:rFonts w:ascii="Arial" w:cs="Arial" w:eastAsia="Arial" w:hAnsi="Arial"/>
          <w:sz w:val="10"/>
          <w:szCs w:val="10"/>
          <w:color w:val="auto"/>
        </w:rPr>
        <w:t>®</w:t>
      </w:r>
      <w:r>
        <w:rPr>
          <w:rFonts w:ascii="Arial" w:cs="Arial" w:eastAsia="Arial" w:hAnsi="Arial"/>
          <w:sz w:val="12"/>
          <w:szCs w:val="12"/>
          <w:color w:val="auto"/>
        </w:rPr>
        <w:t xml:space="preserve"> platform:</w:t>
      </w:r>
    </w:p>
    <w:p>
      <w:pPr>
        <w:spacing w:after="0" w:line="52" w:lineRule="exact"/>
        <w:rPr>
          <w:sz w:val="20"/>
          <w:szCs w:val="20"/>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Provides what we believe to be one of the lowest cost per gross adds in the wireless e-commerce market;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Handles extraordinary transaction volumes with our scalable platform;</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Delivers speed to market on new and existing offerings;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Enables multi-channel transaction management solutions to be deployed;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Guarantees performance backed by solid business metrics and SLAs.</w:t>
      </w:r>
    </w:p>
    <w:p>
      <w:pPr>
        <w:spacing w:after="0" w:line="96" w:lineRule="exact"/>
        <w:rPr>
          <w:sz w:val="20"/>
          <w:szCs w:val="20"/>
          <w:color w:val="auto"/>
        </w:rPr>
      </w:pPr>
    </w:p>
    <w:p>
      <w:pPr>
        <w:ind w:left="680" w:right="180" w:firstLine="399"/>
        <w:spacing w:after="0" w:line="268" w:lineRule="auto"/>
        <w:rPr>
          <w:sz w:val="20"/>
          <w:szCs w:val="20"/>
          <w:color w:val="auto"/>
        </w:rPr>
      </w:pPr>
      <w:r>
        <w:rPr>
          <w:rFonts w:ascii="Arial" w:cs="Arial" w:eastAsia="Arial" w:hAnsi="Arial"/>
          <w:sz w:val="13"/>
          <w:szCs w:val="13"/>
          <w:color w:val="auto"/>
        </w:rPr>
        <w:t>The ActivationNow</w:t>
      </w:r>
      <w:r>
        <w:rPr>
          <w:rFonts w:ascii="Arial" w:cs="Arial" w:eastAsia="Arial" w:hAnsi="Arial"/>
          <w:sz w:val="11"/>
          <w:szCs w:val="11"/>
          <w:color w:val="auto"/>
        </w:rPr>
        <w:t>®</w:t>
      </w:r>
      <w:r>
        <w:rPr>
          <w:rFonts w:ascii="Arial" w:cs="Arial" w:eastAsia="Arial" w:hAnsi="Arial"/>
          <w:sz w:val="13"/>
          <w:szCs w:val="13"/>
          <w:color w:val="auto"/>
        </w:rPr>
        <w:t xml:space="preserve"> platform is designed to integrate with back-office systems, allowing work to flow electronically across the service provider’s and digital convergence provider’s organization while providing ready access to performance and resource usage information. Our integrated approach provides comprehensive support for current and emerging services, network technologies, smart handset devices and evolving business processes across all forms of bundled services.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ind w:left="680" w:right="360" w:firstLine="399"/>
        <w:spacing w:after="0" w:line="425" w:lineRule="auto"/>
        <w:rPr>
          <w:sz w:val="20"/>
          <w:szCs w:val="20"/>
          <w:color w:val="auto"/>
        </w:rPr>
      </w:pPr>
      <w:r>
        <w:rPr>
          <w:rFonts w:ascii="Arial" w:cs="Arial" w:eastAsia="Arial" w:hAnsi="Arial"/>
          <w:sz w:val="13"/>
          <w:szCs w:val="13"/>
          <w:color w:val="auto"/>
        </w:rPr>
        <w:t>The ActivationNow</w:t>
      </w:r>
      <w:r>
        <w:rPr>
          <w:rFonts w:ascii="Arial" w:cs="Arial" w:eastAsia="Arial" w:hAnsi="Arial"/>
          <w:sz w:val="11"/>
          <w:szCs w:val="11"/>
          <w:color w:val="auto"/>
        </w:rPr>
        <w:t>®</w:t>
      </w:r>
      <w:r>
        <w:rPr>
          <w:rFonts w:ascii="Arial" w:cs="Arial" w:eastAsia="Arial" w:hAnsi="Arial"/>
          <w:sz w:val="13"/>
          <w:szCs w:val="13"/>
          <w:color w:val="auto"/>
        </w:rPr>
        <w:t xml:space="preserve"> platform (see Illustration 1 below) is comprised of four distinct tiers, each providing solutions to the most common and critical needs of our customers. </w:t>
      </w:r>
      <w:r>
        <w:rPr>
          <w:rFonts w:ascii="Arial" w:cs="Arial" w:eastAsia="Arial" w:hAnsi="Arial"/>
          <w:sz w:val="13"/>
          <w:szCs w:val="13"/>
          <w:b w:val="1"/>
          <w:bCs w:val="1"/>
          <w:color w:val="auto"/>
        </w:rPr>
        <w:t>Illustration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34925</wp:posOffset>
            </wp:positionV>
            <wp:extent cx="3208655" cy="2216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8655" cy="221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PerformancePartner</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Portal</w:t>
      </w:r>
    </w:p>
    <w:p>
      <w:pPr>
        <w:spacing w:after="0" w:line="100" w:lineRule="exact"/>
        <w:rPr>
          <w:sz w:val="20"/>
          <w:szCs w:val="20"/>
          <w:color w:val="auto"/>
        </w:rPr>
      </w:pPr>
    </w:p>
    <w:p>
      <w:pPr>
        <w:ind w:left="680" w:right="300" w:firstLine="399"/>
        <w:spacing w:after="0" w:line="326" w:lineRule="auto"/>
        <w:rPr>
          <w:sz w:val="20"/>
          <w:szCs w:val="20"/>
          <w:color w:val="auto"/>
        </w:rPr>
      </w:pPr>
      <w:r>
        <w:rPr>
          <w:rFonts w:ascii="Arial" w:cs="Arial" w:eastAsia="Arial" w:hAnsi="Arial"/>
          <w:sz w:val="12"/>
          <w:szCs w:val="12"/>
          <w:color w:val="auto"/>
        </w:rPr>
        <w:t>Our PerformancePartner</w:t>
      </w:r>
      <w:r>
        <w:rPr>
          <w:rFonts w:ascii="Arial" w:cs="Arial" w:eastAsia="Arial" w:hAnsi="Arial"/>
          <w:sz w:val="10"/>
          <w:szCs w:val="10"/>
          <w:color w:val="auto"/>
        </w:rPr>
        <w:t>®</w:t>
      </w:r>
      <w:r>
        <w:rPr>
          <w:rFonts w:ascii="Arial" w:cs="Arial" w:eastAsia="Arial" w:hAnsi="Arial"/>
          <w:sz w:val="12"/>
          <w:szCs w:val="12"/>
          <w:color w:val="auto"/>
        </w:rPr>
        <w:t xml:space="preserve"> portal, the first tier of the ActivationNow</w:t>
      </w:r>
      <w:r>
        <w:rPr>
          <w:rFonts w:ascii="Arial" w:cs="Arial" w:eastAsia="Arial" w:hAnsi="Arial"/>
          <w:sz w:val="10"/>
          <w:szCs w:val="10"/>
          <w:color w:val="auto"/>
        </w:rPr>
        <w:t>®</w:t>
      </w:r>
      <w:r>
        <w:rPr>
          <w:rFonts w:ascii="Arial" w:cs="Arial" w:eastAsia="Arial" w:hAnsi="Arial"/>
          <w:sz w:val="12"/>
          <w:szCs w:val="12"/>
          <w:color w:val="auto"/>
        </w:rPr>
        <w:t xml:space="preserve"> platform, is a graphical user interface that allows entry of transaction data into the gateway. Through the PerformancePartner</w:t>
      </w:r>
      <w:r>
        <w:rPr>
          <w:rFonts w:ascii="Arial" w:cs="Arial" w:eastAsia="Arial" w:hAnsi="Arial"/>
          <w:sz w:val="10"/>
          <w:szCs w:val="10"/>
          <w:color w:val="auto"/>
        </w:rPr>
        <w:t>®</w:t>
      </w:r>
      <w:r>
        <w:rPr>
          <w:rFonts w:ascii="Arial" w:cs="Arial" w:eastAsia="Arial" w:hAnsi="Arial"/>
          <w:sz w:val="12"/>
          <w:szCs w:val="12"/>
          <w:color w:val="auto"/>
        </w:rPr>
        <w:t xml:space="preserve"> portal, the CSPs can set up accounts, renew contracts and update and submit new transactions for transaction management processing.</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Gateway Manager</w:t>
      </w:r>
    </w:p>
    <w:p>
      <w:pPr>
        <w:spacing w:after="0" w:line="100" w:lineRule="exact"/>
        <w:rPr>
          <w:sz w:val="20"/>
          <w:szCs w:val="20"/>
          <w:color w:val="auto"/>
        </w:rPr>
      </w:pPr>
    </w:p>
    <w:p>
      <w:pPr>
        <w:ind w:left="680" w:firstLine="399"/>
        <w:spacing w:after="0" w:line="300" w:lineRule="auto"/>
        <w:rPr>
          <w:sz w:val="20"/>
          <w:szCs w:val="20"/>
          <w:color w:val="auto"/>
        </w:rPr>
      </w:pPr>
      <w:r>
        <w:rPr>
          <w:rFonts w:ascii="Arial" w:cs="Arial" w:eastAsia="Arial" w:hAnsi="Arial"/>
          <w:sz w:val="12"/>
          <w:szCs w:val="12"/>
          <w:color w:val="auto"/>
        </w:rPr>
        <w:t>Our gateways, the service provisioning subsystems and second tier of the ActivationNow</w:t>
      </w:r>
      <w:r>
        <w:rPr>
          <w:rFonts w:ascii="Arial" w:cs="Arial" w:eastAsia="Arial" w:hAnsi="Arial"/>
          <w:sz w:val="10"/>
          <w:szCs w:val="10"/>
          <w:color w:val="auto"/>
        </w:rPr>
        <w:t>®</w:t>
      </w:r>
      <w:r>
        <w:rPr>
          <w:rFonts w:ascii="Arial" w:cs="Arial" w:eastAsia="Arial" w:hAnsi="Arial"/>
          <w:sz w:val="12"/>
          <w:szCs w:val="12"/>
          <w:color w:val="auto"/>
        </w:rPr>
        <w:t xml:space="preserve"> platform, provide the capability to fulfill multiple transactions. These gateways are the engines that support our clients’ front-end portals, handling hundreds of thousands of transactions on a monthly basis. Our gateways deliver flexible architecture, supporting seamless entry and rapid time to market for our CSP customers. In addition, these gateways contain business rules to interact with the CSPs’ back-office and third-party trading partners.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WorkFlow Manager</w:t>
      </w:r>
    </w:p>
    <w:p>
      <w:pPr>
        <w:spacing w:after="0" w:line="100" w:lineRule="exact"/>
        <w:rPr>
          <w:sz w:val="20"/>
          <w:szCs w:val="20"/>
          <w:color w:val="auto"/>
        </w:rPr>
      </w:pPr>
    </w:p>
    <w:p>
      <w:pPr>
        <w:jc w:val="both"/>
        <w:ind w:left="680" w:right="400" w:firstLine="399"/>
        <w:spacing w:after="0" w:line="326" w:lineRule="auto"/>
        <w:rPr>
          <w:sz w:val="20"/>
          <w:szCs w:val="20"/>
          <w:color w:val="auto"/>
        </w:rPr>
      </w:pPr>
      <w:r>
        <w:rPr>
          <w:rFonts w:ascii="Arial" w:cs="Arial" w:eastAsia="Arial" w:hAnsi="Arial"/>
          <w:sz w:val="12"/>
          <w:szCs w:val="12"/>
          <w:color w:val="auto"/>
        </w:rPr>
        <w:t>Our WorkFlow Manager, the third tier of our ActivationNow</w:t>
      </w:r>
      <w:r>
        <w:rPr>
          <w:rFonts w:ascii="Arial" w:cs="Arial" w:eastAsia="Arial" w:hAnsi="Arial"/>
          <w:sz w:val="10"/>
          <w:szCs w:val="10"/>
          <w:color w:val="auto"/>
        </w:rPr>
        <w:t>®</w:t>
      </w:r>
      <w:r>
        <w:rPr>
          <w:rFonts w:ascii="Arial" w:cs="Arial" w:eastAsia="Arial" w:hAnsi="Arial"/>
          <w:sz w:val="12"/>
          <w:szCs w:val="12"/>
          <w:color w:val="auto"/>
        </w:rPr>
        <w:t xml:space="preserve"> platform, provides a seamless interaction with all third-party relationships and enables CSPs to have a single transaction view, including all relevant data from third-party systems. The Workflow Manager is designed to ensure that each customer transaction is fulfilled accurately and offers:</w:t>
      </w:r>
    </w:p>
    <w:p>
      <w:pPr>
        <w:spacing w:after="0" w:line="33" w:lineRule="exact"/>
        <w:rPr>
          <w:sz w:val="20"/>
          <w:szCs w:val="20"/>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Flexible configuration to meet individual CSP requirements;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Centralized queue management for maximum productivity;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Real-time visibility for transaction revenues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Exception handling management;</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Order view available during each stage of the transactional process;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Uniform look and integrated experience.</w:t>
      </w:r>
    </w:p>
    <w:p>
      <w:pPr>
        <w:spacing w:after="0" w:line="9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By streamlining all procurement processes from pre-order through service activation and billing, our WorkFlow Manager reduces many costs and time impediments that often delay the process of delivering products and services to end-users.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Visibility Manager</w:t>
      </w:r>
    </w:p>
    <w:p>
      <w:pPr>
        <w:spacing w:after="0" w:line="100" w:lineRule="exact"/>
        <w:rPr>
          <w:sz w:val="20"/>
          <w:szCs w:val="20"/>
          <w:color w:val="auto"/>
        </w:rPr>
      </w:pPr>
    </w:p>
    <w:p>
      <w:pPr>
        <w:ind w:left="680" w:right="180" w:firstLine="399"/>
        <w:spacing w:after="0" w:line="283" w:lineRule="auto"/>
        <w:rPr>
          <w:sz w:val="20"/>
          <w:szCs w:val="20"/>
          <w:color w:val="auto"/>
        </w:rPr>
      </w:pPr>
      <w:r>
        <w:rPr>
          <w:rFonts w:ascii="Arial" w:cs="Arial" w:eastAsia="Arial" w:hAnsi="Arial"/>
          <w:sz w:val="13"/>
          <w:szCs w:val="13"/>
          <w:color w:val="auto"/>
        </w:rPr>
        <w:t>The fourth tier of our ActivationNow</w:t>
      </w:r>
      <w:r>
        <w:rPr>
          <w:rFonts w:ascii="Arial" w:cs="Arial" w:eastAsia="Arial" w:hAnsi="Arial"/>
          <w:sz w:val="11"/>
          <w:szCs w:val="11"/>
          <w:color w:val="auto"/>
        </w:rPr>
        <w:t>®</w:t>
      </w:r>
      <w:r>
        <w:rPr>
          <w:rFonts w:ascii="Arial" w:cs="Arial" w:eastAsia="Arial" w:hAnsi="Arial"/>
          <w:sz w:val="13"/>
          <w:szCs w:val="13"/>
          <w:color w:val="auto"/>
        </w:rPr>
        <w:t xml:space="preserve"> platform, our Visibility Manager, provides historical trending and mobile reporting to our CSP customers, supports best business practices and processes and allows CSPs to assess whether daily metrics are met or exceeded. The Visibility Manager offers:</w:t>
      </w:r>
    </w:p>
    <w:p>
      <w:pPr>
        <w:spacing w:after="0" w:line="55" w:lineRule="exact"/>
        <w:rPr>
          <w:sz w:val="20"/>
          <w:szCs w:val="20"/>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 centralized reporting platform that provides intelligent analytics around the entire workflow;</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Transaction management information;</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Historical trending;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Mobile reporting for key users to receive critical transaction data on mobile devices.</w:t>
      </w:r>
    </w:p>
    <w:p>
      <w:pPr>
        <w:spacing w:after="0" w:line="96"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The Gateway Manager, WorkFlow Manager and Visibility Manager tiers are typically deployed by all of our customers. The PerformancePartner</w:t>
      </w:r>
      <w:r>
        <w:rPr>
          <w:rFonts w:ascii="Arial" w:cs="Arial" w:eastAsia="Arial" w:hAnsi="Arial"/>
          <w:sz w:val="10"/>
          <w:szCs w:val="10"/>
          <w:color w:val="auto"/>
        </w:rPr>
        <w:t>®</w:t>
      </w:r>
      <w:r>
        <w:rPr>
          <w:rFonts w:ascii="Arial" w:cs="Arial" w:eastAsia="Arial" w:hAnsi="Arial"/>
          <w:sz w:val="12"/>
          <w:szCs w:val="12"/>
          <w:color w:val="auto"/>
        </w:rPr>
        <w:t xml:space="preserve"> portal is deployed only if our customer does not have a front-end portal to interact with end-user customers. All of our four tiers are designed to be open and flexible to enable rapid deployments. One critical function provided by our ActivationNow</w:t>
      </w:r>
      <w:r>
        <w:rPr>
          <w:rFonts w:ascii="Arial" w:cs="Arial" w:eastAsia="Arial" w:hAnsi="Arial"/>
          <w:sz w:val="10"/>
          <w:szCs w:val="10"/>
          <w:color w:val="auto"/>
        </w:rPr>
        <w:t>®</w:t>
      </w:r>
      <w:r>
        <w:rPr>
          <w:rFonts w:ascii="Arial" w:cs="Arial" w:eastAsia="Arial" w:hAnsi="Arial"/>
          <w:sz w:val="12"/>
          <w:szCs w:val="12"/>
          <w:color w:val="auto"/>
        </w:rPr>
        <w:t xml:space="preserve"> platform design is information management. By making information more accessible and useful, our ActivationNow</w:t>
      </w:r>
      <w:r>
        <w:rPr>
          <w:rFonts w:ascii="Arial" w:cs="Arial" w:eastAsia="Arial" w:hAnsi="Arial"/>
          <w:sz w:val="10"/>
          <w:szCs w:val="10"/>
          <w:color w:val="auto"/>
        </w:rPr>
        <w:t>®</w:t>
      </w:r>
      <w:r>
        <w:rPr>
          <w:rFonts w:ascii="Arial" w:cs="Arial" w:eastAsia="Arial" w:hAnsi="Arial"/>
          <w:sz w:val="12"/>
          <w:szCs w:val="12"/>
          <w:color w:val="auto"/>
        </w:rPr>
        <w:t xml:space="preserve"> platform enables a service provider to manage its business more efficiently, to provide more services with the highest possible quality and to deliver superior customer care. Our ActivationNow</w:t>
      </w:r>
      <w:r>
        <w:rPr>
          <w:rFonts w:ascii="Arial" w:cs="Arial" w:eastAsia="Arial" w:hAnsi="Arial"/>
          <w:sz w:val="10"/>
          <w:szCs w:val="10"/>
          <w:color w:val="auto"/>
        </w:rPr>
        <w:t>®</w:t>
      </w:r>
      <w:r>
        <w:rPr>
          <w:rFonts w:ascii="Arial" w:cs="Arial" w:eastAsia="Arial" w:hAnsi="Arial"/>
          <w:sz w:val="12"/>
          <w:szCs w:val="12"/>
          <w:color w:val="auto"/>
        </w:rPr>
        <w:t xml:space="preserve"> platform is designed to recognize, isolate and address transactions when there is insufficient information or other erroneous process elements through a suite of capabilities we refer to as “exception handling.” Our solution offers a centralized reporting platform that provides intelligent, real-time analytics around the entire workflow related to a transaction. The Workflow Manager and the Visibility Manager identify, correct and process non-automated transactions and exceptions in real-time, which we believe are key differentiators for our solution.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typical customers are providers of communications services, from traditional local and long-distance services to Internet-based services. We serve wireless service providers, such as Cingular Wireless; providers of VoIP services, such as Vonage Holdings and Cablevision Systems; VoIP enablers, such as Level 3 Communications; and long distance carriers, such as Verizon Business. We also serve emerging CSPs, such as Clearwire. We maintain strong and collaborative relationships with our customers, which we believe to be one of our core competencies and critical to our success. We are generally the only provider of the services we offer to our customers. Our contracts typically extend up to 48 months in length and include minimum transaction or revenues commitments from our customers. All of our significant customers may terminate their contracts for convenience upon written notice and payment of contractual penalties. We have a long-standing relationship with Cingular Wireless dating back to January 25, 2001 when we began providing service to AT&amp;T Wireless, which was subsequently acquired by Cingular Wireless, and in December 2006 became a division of AT&amp;T Inc. In addition to other ongoing arrangements with Cingular Wireless, we are the primary provider of e-commerce transaction management solutions to Cingular Wireless. Under the terms of this agreement, Cingular Wireless may terminate its relationship with us for convenience, although we believe Cingular would encounter substantial costs in replacing our transaction management solution. For 2006, we received 65% of our revenues from Cingular Wireless, compared to 80% of our revenues in 2005. Our only other customer accounting for at least 10% of our revenues in 2006 was Vonage Holdings.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8"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We market and sell our services primarily through a direct sales force. To date, we have concentrated our sales efforts on a range of CSPs that offer wireless, broadband, VoIP and wireline services that offer digital convergence services. Following each sale, we assign account managers to provide ongoing support and to identify additional sales opportunities. We generate leads from contacts made through trade shows, seminars, conferences, market research, our Web site, customers, partners and our ongoing public relations program. Our sales effort has thus far been focused on North American customers. However, because of ongoing privatization and the increasing competition among CSPs in international markets, we intend to expand our sales and marketing efforts outside of North America, through a combination of direct sales in selected markets, continued partnerships and the extension of our relationships with existing customers as they expand into international markets.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Marketing</w:t>
      </w:r>
    </w:p>
    <w:p>
      <w:pPr>
        <w:spacing w:after="0" w:line="98" w:lineRule="exact"/>
        <w:rPr>
          <w:sz w:val="20"/>
          <w:szCs w:val="20"/>
          <w:color w:val="auto"/>
        </w:rPr>
      </w:pPr>
    </w:p>
    <w:p>
      <w:pPr>
        <w:jc w:val="both"/>
        <w:ind w:left="680" w:right="160" w:firstLine="399"/>
        <w:spacing w:after="0" w:line="266" w:lineRule="auto"/>
        <w:rPr>
          <w:sz w:val="20"/>
          <w:szCs w:val="20"/>
          <w:color w:val="auto"/>
        </w:rPr>
      </w:pPr>
      <w:r>
        <w:rPr>
          <w:rFonts w:ascii="Arial" w:cs="Arial" w:eastAsia="Arial" w:hAnsi="Arial"/>
          <w:sz w:val="13"/>
          <w:szCs w:val="13"/>
          <w:color w:val="auto"/>
        </w:rPr>
        <w:t>We focus our marketing efforts on product initiatives, creating awareness of our services and generating new sales opportunities. We base our product management strategy on an analysis of market requirements, competitive offerings and projected cost savings. Our product managers are active in numerous technology and industry forums such as CTIA, VON and NCTA at which we demonstrate our transaction management solutions.</w:t>
      </w:r>
    </w:p>
    <w:p>
      <w:pPr>
        <w:spacing w:after="0" w:line="67"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In addition, through our product marketing and marketing communications functions, we manage and maintain our Web site, publish product related communications and educational white papers and conduct seminars and user group meetings. We also have an active public relations program and maintain relationships with recognized industry analysts such as IDC and Yankee Group. We also actively sponsor technology-related conferences and demonstrate our solution at trade shows targeted at providers of communications services.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 and Technology</w:t>
      </w:r>
    </w:p>
    <w:p>
      <w:pPr>
        <w:spacing w:after="0" w:line="102" w:lineRule="exact"/>
        <w:rPr>
          <w:sz w:val="20"/>
          <w:szCs w:val="20"/>
          <w:color w:val="auto"/>
        </w:rPr>
      </w:pPr>
    </w:p>
    <w:p>
      <w:pPr>
        <w:jc w:val="both"/>
        <w:ind w:left="680" w:right="100" w:firstLine="399"/>
        <w:spacing w:after="0" w:line="299" w:lineRule="auto"/>
        <w:rPr>
          <w:sz w:val="20"/>
          <w:szCs w:val="20"/>
          <w:color w:val="auto"/>
        </w:rPr>
      </w:pPr>
      <w:r>
        <w:rPr>
          <w:rFonts w:ascii="Arial" w:cs="Arial" w:eastAsia="Arial" w:hAnsi="Arial"/>
          <w:sz w:val="12"/>
          <w:szCs w:val="12"/>
          <w:color w:val="auto"/>
        </w:rPr>
        <w:t>We leverage a common, proprietary e-commerce information technology platform, to deliver carrier grade services to our customers across communication and digital convergence market segments. Constructed using a combination of internally developed and licensed technologies, our e-commerce platform integrates our order management, gateway, workflow and reporting into a unified system. The platform is a secure foundation on which to build and offer additional services and maximize performance, scalability and reliability.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Exception Handling Services</w:t>
      </w:r>
    </w:p>
    <w:p>
      <w:pPr>
        <w:spacing w:after="0" w:line="98" w:lineRule="exact"/>
        <w:rPr>
          <w:sz w:val="20"/>
          <w:szCs w:val="20"/>
          <w:color w:val="auto"/>
        </w:rPr>
      </w:pPr>
    </w:p>
    <w:p>
      <w:pPr>
        <w:ind w:left="680" w:right="120" w:firstLine="399"/>
        <w:spacing w:after="0" w:line="259" w:lineRule="auto"/>
        <w:rPr>
          <w:sz w:val="20"/>
          <w:szCs w:val="20"/>
          <w:color w:val="auto"/>
        </w:rPr>
      </w:pPr>
      <w:r>
        <w:rPr>
          <w:rFonts w:ascii="Arial" w:cs="Arial" w:eastAsia="Arial" w:hAnsi="Arial"/>
          <w:sz w:val="13"/>
          <w:szCs w:val="13"/>
          <w:color w:val="auto"/>
        </w:rPr>
        <w:t>We differentiate our services from both the internal and competitive offerings by handling exceptions through both our technology and human touch solutions, a substantial portion of which is provided by third-party vendors. Our business process engineers optimize each workflow; however, there are exceptions and we handle these to ensure the highest quality customer experience at the lowest cost. Our exception handling services handle the customer communication touchpoints including provisioning orders, inbound calls, automated IVR responses (e.g., order status, address changes), web forums, inbound and outbound email, proactive outbound calls (e.g., out of stock, backorders, exceptions) and self-correct order tools. These services are continuously reviewed for improved workflow and automation. We use third-party vendors in providing exception handling services, each of whom provide services under automatically renewable contracts.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Data Center Facilities</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over five years, we have operated and maintained a data center in Bethlehem, PA, and have consistently focused on the security, technology, maintenance, staffing and reliability of the data center facility. This secure facility houses all customer-facing, production, test and development systems that are the backbone of the services delivered to our customers. The facility and all systems are monitored 7 days a week, 24 hours a day, and are protected via multiple layers of physical and electronic security measures. In addition, a redundant power supply ensures constant, regulated power into the Managed Data Facility and a back-up generator system provides power indefinitely to the facility in the event of a utility power failure. All systems in the Managed Data Facility are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monitored for availability and performance using industry standard tools such as HP OpenView</w:t>
      </w:r>
      <w:r>
        <w:rPr>
          <w:rFonts w:ascii="Arial" w:cs="Arial" w:eastAsia="Arial" w:hAnsi="Arial"/>
          <w:sz w:val="10"/>
          <w:szCs w:val="10"/>
          <w:b w:val="1"/>
          <w:bCs w:val="1"/>
          <w:color w:val="auto"/>
        </w:rPr>
        <w:t>®</w:t>
      </w:r>
      <w:r>
        <w:rPr>
          <w:rFonts w:ascii="Arial" w:cs="Arial" w:eastAsia="Arial" w:hAnsi="Arial"/>
          <w:sz w:val="12"/>
          <w:szCs w:val="12"/>
          <w:color w:val="auto"/>
        </w:rPr>
        <w:t>, Big Brother</w:t>
      </w:r>
      <w:r>
        <w:rPr>
          <w:rFonts w:ascii="Arial" w:cs="Arial" w:eastAsia="Arial" w:hAnsi="Arial"/>
          <w:sz w:val="10"/>
          <w:szCs w:val="10"/>
          <w:b w:val="1"/>
          <w:bCs w:val="1"/>
          <w:color w:val="auto"/>
        </w:rPr>
        <w:t>®</w:t>
      </w:r>
      <w:r>
        <w:rPr>
          <w:rFonts w:ascii="Arial" w:cs="Arial" w:eastAsia="Arial" w:hAnsi="Arial"/>
          <w:sz w:val="12"/>
          <w:szCs w:val="12"/>
          <w:color w:val="auto"/>
        </w:rPr>
        <w:t>, Oracle Enterprise Manager</w:t>
      </w:r>
      <w:r>
        <w:rPr>
          <w:rFonts w:ascii="Arial" w:cs="Arial" w:eastAsia="Arial" w:hAnsi="Arial"/>
          <w:sz w:val="10"/>
          <w:szCs w:val="10"/>
          <w:b w:val="1"/>
          <w:bCs w:val="1"/>
          <w:color w:val="auto"/>
        </w:rPr>
        <w:t>®</w:t>
      </w:r>
      <w:r>
        <w:rPr>
          <w:rFonts w:ascii="Arial" w:cs="Arial" w:eastAsia="Arial" w:hAnsi="Arial"/>
          <w:sz w:val="12"/>
          <w:szCs w:val="12"/>
          <w:color w:val="auto"/>
        </w:rPr>
        <w:t>, CiscoWorks</w:t>
      </w:r>
      <w:r>
        <w:rPr>
          <w:rFonts w:ascii="Arial" w:cs="Arial" w:eastAsia="Arial" w:hAnsi="Arial"/>
          <w:sz w:val="10"/>
          <w:szCs w:val="10"/>
          <w:b w:val="1"/>
          <w:bCs w:val="1"/>
          <w:color w:val="auto"/>
        </w:rPr>
        <w:t>®</w:t>
      </w:r>
      <w:r>
        <w:rPr>
          <w:rFonts w:ascii="Arial" w:cs="Arial" w:eastAsia="Arial" w:hAnsi="Arial"/>
          <w:sz w:val="12"/>
          <w:szCs w:val="12"/>
          <w:color w:val="auto"/>
        </w:rPr>
        <w:t xml:space="preserve"> and Empirix OneSight</w:t>
      </w:r>
      <w:r>
        <w:rPr>
          <w:rFonts w:ascii="Arial" w:cs="Arial" w:eastAsia="Arial" w:hAnsi="Arial"/>
          <w:sz w:val="10"/>
          <w:szCs w:val="10"/>
          <w:b w:val="1"/>
          <w:bCs w:val="1"/>
          <w:color w:val="auto"/>
        </w:rPr>
        <w:t>®</w:t>
      </w:r>
      <w:r>
        <w:rPr>
          <w:rFonts w:ascii="Arial" w:cs="Arial" w:eastAsia="Arial" w:hAnsi="Arial"/>
          <w:sz w:val="12"/>
          <w:szCs w:val="12"/>
          <w:b w:val="1"/>
          <w:bCs w:val="1"/>
          <w:color w:val="auto"/>
        </w:rPr>
        <w: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We use AT&amp;T, a tier-one service provider, to provide a managed, fully-redundant network solution to deliver enterprise scale services to its customers. Specifically, we have two OC-3 fiber optic rings, delivering 115MB/sec of highly redundant bandwidth to the Bethlehem and Bridgewater facilities. WAN connectivity between our locations is achieved via a DS-3 MPLS circuit and Internet access to each location via a dedicated DS-3. A dedicated fiber-optic connection, provided by Level 3 Communications, is utilized to provide a data center backbone connection between our Bethlehem and Bridgewater facilities that is used for disaster recover.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Disaster Recovery Facility</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operate a second data center facility at our corporate headquarters in Bridgewater, New Jersey that is used to provide a hot site for disaster recovery purposes. In the event of a major service disruption at our primary facility, production application services will be activated at the secondary facility and services will be restored in a period of time required to meet all customer-facing service level agreements (SLAs) for availability and service delivery.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 Support</w:t>
      </w:r>
    </w:p>
    <w:p>
      <w:pPr>
        <w:spacing w:after="0" w:line="98"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Customer Service Center (CSC) acts as an initial point of contact for all customer related issues and requests. The CSC staff is available 7 days a week via phone, email or pager to facilitate the diagnosis and resolution of application and service related issues with which they are presented. Issues that require further investigation are immediately escalated to our product and infrastructure support teams on behalf of the customer to provide the greatest speed of problem resolution and highest levels of customer service.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600" w:firstLine="399"/>
        <w:spacing w:after="0" w:line="299" w:lineRule="auto"/>
        <w:rPr>
          <w:sz w:val="20"/>
          <w:szCs w:val="20"/>
          <w:color w:val="auto"/>
        </w:rPr>
      </w:pPr>
      <w:r>
        <w:rPr>
          <w:rFonts w:ascii="Arial" w:cs="Arial" w:eastAsia="Arial" w:hAnsi="Arial"/>
          <w:sz w:val="12"/>
          <w:szCs w:val="12"/>
          <w:color w:val="auto"/>
        </w:rPr>
        <w:t>Competition in our markets is intense and includes rapidly-changing technologies and customer requirements, as well as evolving industry standards and frequent product introductions. We compete primarily on the basis of the breadth of our domain expertise and our proprietary exception handling, as well as on the basis of price, time-to-market, functionality, quality and breadth of product and service offerings. We believe the most important factors making us a strong competitor include:</w:t>
      </w:r>
    </w:p>
    <w:p>
      <w:pPr>
        <w:spacing w:after="0" w:line="48" w:lineRule="exact"/>
        <w:rPr>
          <w:sz w:val="20"/>
          <w:szCs w:val="20"/>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breadth and depth of our transaction management solutions, including our exception handling technology;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quality and performance of our product;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high-quality customer service;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implement and integrate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overall value of our platform;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references of our customers.</w:t>
      </w:r>
    </w:p>
    <w:p>
      <w:pPr>
        <w:spacing w:after="0" w:line="98"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We are aware of other software developers and smaller entrepreneurial companies that are focusing significant resources on developing and marketing products and services that will compete with our ActivationNow</w:t>
      </w:r>
      <w:r>
        <w:rPr>
          <w:rFonts w:ascii="Arial" w:cs="Arial" w:eastAsia="Arial" w:hAnsi="Arial"/>
          <w:sz w:val="11"/>
          <w:szCs w:val="11"/>
          <w:color w:val="auto"/>
        </w:rPr>
        <w:t>®</w:t>
      </w:r>
      <w:r>
        <w:rPr>
          <w:rFonts w:ascii="Arial" w:cs="Arial" w:eastAsia="Arial" w:hAnsi="Arial"/>
          <w:sz w:val="13"/>
          <w:szCs w:val="13"/>
          <w:color w:val="auto"/>
        </w:rPr>
        <w:t xml:space="preserve"> platform. We anticipate continued growth in the communications industry and the entrance of new competitors in the order processing and transaction management solution market and expect that the market for our products and services will remain intensely competitive.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2"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We are not currently subject to direct federal, state or local government regulation, other than regulations that apply to businesses generally. Many of our customers are subject to regulation by the Federal Communications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60"/>
        <w:spacing w:after="0" w:line="279" w:lineRule="auto"/>
        <w:rPr>
          <w:sz w:val="20"/>
          <w:szCs w:val="20"/>
          <w:color w:val="auto"/>
        </w:rPr>
      </w:pPr>
      <w:r>
        <w:rPr>
          <w:rFonts w:ascii="Arial" w:cs="Arial" w:eastAsia="Arial" w:hAnsi="Arial"/>
          <w:sz w:val="13"/>
          <w:szCs w:val="13"/>
          <w:color w:val="auto"/>
        </w:rPr>
        <w:t>Commission, or FCC. Changes in FCC regulations that affect our existing or potential customers could lead them to spend less on transaction management solutions, which would reduce our revenues and could have a material adverse effect on our business, financial condition or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To establish and protect our intellectual property, we rely on a combination of copyright, trade secret and trademark laws, as well as confidentiality procedures and contractual restrictions. Synchronoss</w:t>
      </w:r>
      <w:r>
        <w:rPr>
          <w:rFonts w:ascii="Arial" w:cs="Arial" w:eastAsia="Arial" w:hAnsi="Arial"/>
          <w:sz w:val="11"/>
          <w:szCs w:val="11"/>
          <w:color w:val="auto"/>
        </w:rPr>
        <w:t>®</w:t>
      </w:r>
      <w:r>
        <w:rPr>
          <w:rFonts w:ascii="Arial" w:cs="Arial" w:eastAsia="Arial" w:hAnsi="Arial"/>
          <w:sz w:val="13"/>
          <w:szCs w:val="13"/>
          <w:color w:val="auto"/>
        </w:rPr>
        <w:t>, the Synchronoss logo, PerformancePartner</w:t>
      </w:r>
      <w:r>
        <w:rPr>
          <w:rFonts w:ascii="Arial" w:cs="Arial" w:eastAsia="Arial" w:hAnsi="Arial"/>
          <w:sz w:val="11"/>
          <w:szCs w:val="11"/>
          <w:color w:val="auto"/>
        </w:rPr>
        <w:t>®</w:t>
      </w:r>
      <w:r>
        <w:rPr>
          <w:rFonts w:ascii="Arial" w:cs="Arial" w:eastAsia="Arial" w:hAnsi="Arial"/>
          <w:sz w:val="13"/>
          <w:szCs w:val="13"/>
          <w:color w:val="auto"/>
        </w:rPr>
        <w:t xml:space="preserve"> and ActivationNow</w:t>
      </w:r>
      <w:r>
        <w:rPr>
          <w:rFonts w:ascii="Arial" w:cs="Arial" w:eastAsia="Arial" w:hAnsi="Arial"/>
          <w:sz w:val="11"/>
          <w:szCs w:val="11"/>
          <w:color w:val="auto"/>
        </w:rPr>
        <w:t>®</w:t>
      </w:r>
      <w:r>
        <w:rPr>
          <w:rFonts w:ascii="Arial" w:cs="Arial" w:eastAsia="Arial" w:hAnsi="Arial"/>
          <w:sz w:val="13"/>
          <w:szCs w:val="13"/>
          <w:color w:val="auto"/>
        </w:rPr>
        <w:t xml:space="preserve"> are registered trademarks of Synchronoss Technologies, Inc. In addition to legal protections, we rely on the technical and creative skills of our employees, frequent product enhancements and improved product quality to maintain a technology-leadership position. We cannot be certain that others will not develop technologies that are similar or superior to our technology.</w:t>
      </w:r>
    </w:p>
    <w:p>
      <w:pPr>
        <w:spacing w:after="0" w:line="69"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We generally enter into confidentiality and invention assignment agreements with our employees and confidentiality agreements with our alliance partners and customers, and we generally control access to and distribution of our software, documentation and other proprietary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360" w:firstLine="399"/>
        <w:spacing w:after="0" w:line="262" w:lineRule="auto"/>
        <w:rPr>
          <w:sz w:val="20"/>
          <w:szCs w:val="20"/>
          <w:color w:val="auto"/>
        </w:rPr>
      </w:pPr>
      <w:r>
        <w:rPr>
          <w:rFonts w:ascii="Arial" w:cs="Arial" w:eastAsia="Arial" w:hAnsi="Arial"/>
          <w:sz w:val="13"/>
          <w:szCs w:val="13"/>
          <w:color w:val="auto"/>
        </w:rPr>
        <w:t>We believe that our growth and success is attributable in large part to our employees and an experienced management team, many members of which have years of industry experience in building, implementing, marketing and selling transaction management solutions critical to business operations. We intend to continue training our employees as well as developing and promoting our culture and believe such efforts provide us with a sustainable competitive advantage. We offer a work environment that enables employees to make meaningful contributions, as well as incentive programs to continue to motivate and reward our employees.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we had 170 full-time employees. None of our employees are covered by any collective bargaining agreements.</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certain information regarding our Executive Officers as of February 28, 2007:</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8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160" w:type="dxa"/>
            <w:vAlign w:val="bottom"/>
          </w:tcPr>
          <w:p>
            <w:pPr>
              <w:jc w:val="right"/>
              <w:ind w:right="36"/>
              <w:spacing w:after="0"/>
              <w:rPr>
                <w:sz w:val="20"/>
                <w:szCs w:val="20"/>
                <w:color w:val="auto"/>
              </w:rPr>
            </w:pPr>
            <w:r>
              <w:rPr>
                <w:rFonts w:ascii="Arial" w:cs="Arial" w:eastAsia="Arial" w:hAnsi="Arial"/>
                <w:sz w:val="11"/>
                <w:szCs w:val="11"/>
                <w:b w:val="1"/>
                <w:bCs w:val="1"/>
                <w:color w:val="auto"/>
              </w:rPr>
              <w:t>Age</w:t>
            </w:r>
          </w:p>
        </w:tc>
        <w:tc>
          <w:tcPr>
            <w:tcW w:w="4960" w:type="dxa"/>
            <w:vAlign w:val="bottom"/>
          </w:tcPr>
          <w:p>
            <w:pPr>
              <w:ind w:left="250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8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Stephen G. Waldis</w:t>
            </w:r>
          </w:p>
        </w:tc>
        <w:tc>
          <w:tcPr>
            <w:tcW w:w="2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39</w:t>
            </w:r>
          </w:p>
        </w:tc>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Chairman of the Board of Directors, President and Chief Executive Officer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Lawrence R. Irving</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50</w:t>
            </w:r>
          </w:p>
        </w:tc>
        <w:tc>
          <w:tcPr>
            <w:tcW w:w="4960" w:type="dxa"/>
            <w:vAlign w:val="bottom"/>
          </w:tcPr>
          <w:p>
            <w:pPr>
              <w:ind w:left="100"/>
              <w:spacing w:after="0"/>
              <w:rPr>
                <w:sz w:val="20"/>
                <w:szCs w:val="20"/>
                <w:color w:val="auto"/>
              </w:rPr>
            </w:pPr>
            <w:r>
              <w:rPr>
                <w:rFonts w:ascii="Arial" w:cs="Arial" w:eastAsia="Arial" w:hAnsi="Arial"/>
                <w:sz w:val="13"/>
                <w:szCs w:val="13"/>
                <w:color w:val="auto"/>
              </w:rPr>
              <w:t>Chief Financial Officer and Treasurer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Robert Garcia</w:t>
            </w:r>
          </w:p>
        </w:tc>
        <w:tc>
          <w:tcPr>
            <w:tcW w:w="2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of Operations and Service Delivery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Omar Tellez</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38</w:t>
            </w:r>
          </w:p>
        </w:tc>
        <w:tc>
          <w:tcPr>
            <w:tcW w:w="4960" w:type="dxa"/>
            <w:vAlign w:val="bottom"/>
          </w:tcPr>
          <w:p>
            <w:pPr>
              <w:ind w:left="100"/>
              <w:spacing w:after="0"/>
              <w:rPr>
                <w:sz w:val="20"/>
                <w:szCs w:val="20"/>
                <w:color w:val="auto"/>
              </w:rPr>
            </w:pPr>
            <w:r>
              <w:rPr>
                <w:rFonts w:ascii="Arial" w:cs="Arial" w:eastAsia="Arial" w:hAnsi="Arial"/>
                <w:sz w:val="13"/>
                <w:szCs w:val="13"/>
                <w:color w:val="auto"/>
              </w:rPr>
              <w:t>Executive Vice President of Marketing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Chris Putnam</w:t>
            </w:r>
          </w:p>
        </w:tc>
        <w:tc>
          <w:tcPr>
            <w:tcW w:w="2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of Sales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Ronald J. Prague</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43</w:t>
            </w:r>
          </w:p>
        </w:tc>
        <w:tc>
          <w:tcPr>
            <w:tcW w:w="4960" w:type="dxa"/>
            <w:vAlign w:val="bottom"/>
          </w:tcPr>
          <w:p>
            <w:pPr>
              <w:ind w:left="100"/>
              <w:spacing w:after="0"/>
              <w:rPr>
                <w:sz w:val="20"/>
                <w:szCs w:val="20"/>
                <w:color w:val="auto"/>
              </w:rPr>
            </w:pPr>
            <w:r>
              <w:rPr>
                <w:rFonts w:ascii="Arial" w:cs="Arial" w:eastAsia="Arial" w:hAnsi="Arial"/>
                <w:sz w:val="13"/>
                <w:szCs w:val="13"/>
                <w:color w:val="auto"/>
              </w:rPr>
              <w:t>Vice President, General Counsel and Secretary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 Andrew Cox</w:t>
            </w:r>
          </w:p>
        </w:tc>
        <w:tc>
          <w:tcPr>
            <w:tcW w:w="2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41</w:t>
            </w:r>
          </w:p>
        </w:tc>
        <w:tc>
          <w:tcPr>
            <w:tcW w:w="4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Information Officer</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Stephen G. Waldis </w:t>
      </w:r>
      <w:r>
        <w:rPr>
          <w:rFonts w:ascii="Arial" w:cs="Arial" w:eastAsia="Arial" w:hAnsi="Arial"/>
          <w:sz w:val="13"/>
          <w:szCs w:val="13"/>
          <w:color w:val="auto"/>
        </w:rPr>
        <w:t>has served as President and Chief Executive Officer of Synchronoss since founding the company in 2000 and has served as Chairman of the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since February of 2001. Before founding Synchronoss, from 1994 to 2000, Mr. Waldis served as Chief Operating Officer at Vertek Corporation, a privately held professional services company serving the telecommunications industry. From 1992 to 1994, Mr. Waldis served as Vice President of Sales and Marketing of Logical Design Solutions, a provider of telecom and interactive solutions. From 1989 to 1992, Mr. Waldis worked in various technical and product management roles at AT&amp;T. Mr. Waldis received a degree in corporate communications from Seton Hall University.</w:t>
      </w:r>
    </w:p>
    <w:p>
      <w:pPr>
        <w:spacing w:after="0" w:line="70"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Lawrence R. Irving </w:t>
      </w:r>
      <w:r>
        <w:rPr>
          <w:rFonts w:ascii="Arial" w:cs="Arial" w:eastAsia="Arial" w:hAnsi="Arial"/>
          <w:sz w:val="13"/>
          <w:szCs w:val="13"/>
          <w:color w:val="auto"/>
        </w:rPr>
        <w:t>has served as Chief Financial Officer and Treasurer of Synchronoss since July 2001. Before joining Synchronoss, from 1998 to 2001, Mr. Irving served 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Officer and Treasurer at CommTech Corporation, a telecommunications software provider that was acquired by ADC Telecommunications. From 1995 to 1998, Mr. Irving served as Chief Financial Officer of Holmes Protection Group, a publicly traded</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60"/>
        <w:spacing w:after="0" w:line="279" w:lineRule="auto"/>
        <w:rPr>
          <w:sz w:val="20"/>
          <w:szCs w:val="20"/>
          <w:color w:val="auto"/>
        </w:rPr>
      </w:pPr>
      <w:r>
        <w:rPr>
          <w:rFonts w:ascii="Arial" w:cs="Arial" w:eastAsia="Arial" w:hAnsi="Arial"/>
          <w:sz w:val="13"/>
          <w:szCs w:val="13"/>
          <w:color w:val="auto"/>
        </w:rPr>
        <w:t>company which was acquired by Tyco International. Mr. Irving is a certified public accountant and a member of the New York State Society of Certified Public Accountants. Mr. Irving received a degree in accounting from Pace University.</w:t>
      </w:r>
    </w:p>
    <w:p>
      <w:pPr>
        <w:spacing w:after="0" w:line="58"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i w:val="1"/>
          <w:iCs w:val="1"/>
          <w:color w:val="auto"/>
        </w:rPr>
        <w:t xml:space="preserve">Robert Garcia </w:t>
      </w:r>
      <w:r>
        <w:rPr>
          <w:rFonts w:ascii="Arial" w:cs="Arial" w:eastAsia="Arial" w:hAnsi="Arial"/>
          <w:sz w:val="12"/>
          <w:szCs w:val="12"/>
          <w:color w:val="auto"/>
        </w:rPr>
        <w:t>has served as Executive Vice President of Operations and Service Delivery and General Manager of the western office of Synchronoss since August 2000. Before</w:t>
      </w:r>
      <w:r>
        <w:rPr>
          <w:rFonts w:ascii="Arial" w:cs="Arial" w:eastAsia="Arial" w:hAnsi="Arial"/>
          <w:sz w:val="12"/>
          <w:szCs w:val="12"/>
          <w:i w:val="1"/>
          <w:iCs w:val="1"/>
          <w:color w:val="auto"/>
        </w:rPr>
        <w:t xml:space="preserve"> </w:t>
      </w:r>
      <w:r>
        <w:rPr>
          <w:rFonts w:ascii="Arial" w:cs="Arial" w:eastAsia="Arial" w:hAnsi="Arial"/>
          <w:sz w:val="12"/>
          <w:szCs w:val="12"/>
          <w:color w:val="auto"/>
        </w:rPr>
        <w:t>joining Synchronoss, Mr. Garcia was a Senior Business Consultant with Vertek Corporation from January 1999 to August 2000. Mr. Garcia has also held senior management positions with Philips Lighting Company and Johnson &amp; Johnson Company. Mr. Garcia received a degree in logistics and economics from St. John’s University in New York.</w:t>
      </w:r>
    </w:p>
    <w:p>
      <w:pPr>
        <w:spacing w:after="0" w:line="4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Chris Putnam </w:t>
      </w:r>
      <w:r>
        <w:rPr>
          <w:rFonts w:ascii="Arial" w:cs="Arial" w:eastAsia="Arial" w:hAnsi="Arial"/>
          <w:sz w:val="13"/>
          <w:szCs w:val="13"/>
          <w:color w:val="auto"/>
        </w:rPr>
        <w:t>has been with Synchronoss since January 2004 and has served as Executive Vice President of Sales of Synchronoss since April 2005. Mr. Putnam leads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new business initiatives and sales teams, and he is responsible for strategic account acquisitions such as Time Warner Cable, Comcast and Vonage. Prior to joining Synchronoss, from 1999 to 2004, Mr. Putnam served as Director of Sales for Perot Systems’ Telecommunications business unit. Mr. Putnam received a degree in communications from Texas Christian University.</w:t>
      </w:r>
    </w:p>
    <w:p>
      <w:pPr>
        <w:spacing w:after="0" w:line="6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Omar Tellez </w:t>
      </w:r>
      <w:r>
        <w:rPr>
          <w:rFonts w:ascii="Arial" w:cs="Arial" w:eastAsia="Arial" w:hAnsi="Arial"/>
          <w:sz w:val="13"/>
          <w:szCs w:val="13"/>
          <w:color w:val="auto"/>
        </w:rPr>
        <w:t>joined in June 2006 as Executive Vice President of Marketing. Before joining Synchronoss, Mr. Téllez was the Vice President of the Product Solutions Group at</w:t>
      </w:r>
      <w:r>
        <w:rPr>
          <w:rFonts w:ascii="Arial" w:cs="Arial" w:eastAsia="Arial" w:hAnsi="Arial"/>
          <w:sz w:val="13"/>
          <w:szCs w:val="13"/>
          <w:i w:val="1"/>
          <w:iCs w:val="1"/>
          <w:color w:val="auto"/>
        </w:rPr>
        <w:t xml:space="preserve"> </w:t>
      </w:r>
      <w:r>
        <w:rPr>
          <w:rFonts w:ascii="Arial" w:cs="Arial" w:eastAsia="Arial" w:hAnsi="Arial"/>
          <w:sz w:val="13"/>
          <w:szCs w:val="13"/>
          <w:color w:val="auto"/>
        </w:rPr>
        <w:t>Openwave Systems from 2001 to 2006 and was with Booz Allen &amp; Hamilton’s Communication Media and Technology Practice from 1996 to 2001. Mr. Tellez received a master of business administration degree from the Haas School of Business at the University of California, Berkeley, and a degree in industrial engineering from the Universidad de los Andes in Bogota, Colombia.</w:t>
      </w:r>
    </w:p>
    <w:p>
      <w:pPr>
        <w:spacing w:after="0" w:line="69"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i w:val="1"/>
          <w:iCs w:val="1"/>
          <w:color w:val="auto"/>
        </w:rPr>
        <w:t xml:space="preserve">Ronald J. Prague </w:t>
      </w:r>
      <w:r>
        <w:rPr>
          <w:rFonts w:ascii="Arial" w:cs="Arial" w:eastAsia="Arial" w:hAnsi="Arial"/>
          <w:sz w:val="12"/>
          <w:szCs w:val="12"/>
          <w:color w:val="auto"/>
        </w:rPr>
        <w:t>joined Synchronoss in July 2006 as Vice President and General Counsel of Synchronoss and has served as Secretary since October 2006. Before joining</w:t>
      </w:r>
      <w:r>
        <w:rPr>
          <w:rFonts w:ascii="Arial" w:cs="Arial" w:eastAsia="Arial" w:hAnsi="Arial"/>
          <w:sz w:val="12"/>
          <w:szCs w:val="12"/>
          <w:i w:val="1"/>
          <w:iCs w:val="1"/>
          <w:color w:val="auto"/>
        </w:rPr>
        <w:t xml:space="preserve"> </w:t>
      </w:r>
      <w:r>
        <w:rPr>
          <w:rFonts w:ascii="Arial" w:cs="Arial" w:eastAsia="Arial" w:hAnsi="Arial"/>
          <w:sz w:val="12"/>
          <w:szCs w:val="12"/>
          <w:color w:val="auto"/>
        </w:rPr>
        <w:t>Synchronoss, Mr. Prague held various positions with Intel Corporation from February 1998 to June 2006, most recently as Group Counsel for Intel’s Communications Infrastructure Group. Prior to joining Intel, Mr. Prague practiced law with the law firm of Haythe &amp; Curley (now Torys LLP) from 1992 to 1998 and with Richards &amp; O’Neil (now Bingham McCutchen) from 1988 to 1992. Mr. Prague is a graduate of Northwestern University School of Law and earned a degree in business administration and marketing from Cornell University.</w:t>
      </w:r>
    </w:p>
    <w:p>
      <w:pPr>
        <w:spacing w:after="0" w:line="53" w:lineRule="exact"/>
        <w:rPr>
          <w:sz w:val="20"/>
          <w:szCs w:val="20"/>
          <w:color w:val="auto"/>
        </w:rPr>
      </w:pPr>
    </w:p>
    <w:p>
      <w:pPr>
        <w:jc w:val="both"/>
        <w:ind w:left="680" w:right="100" w:firstLine="399"/>
        <w:spacing w:after="0" w:line="266" w:lineRule="auto"/>
        <w:rPr>
          <w:sz w:val="20"/>
          <w:szCs w:val="20"/>
          <w:color w:val="auto"/>
        </w:rPr>
      </w:pPr>
      <w:r>
        <w:rPr>
          <w:rFonts w:ascii="Arial" w:cs="Arial" w:eastAsia="Arial" w:hAnsi="Arial"/>
          <w:sz w:val="13"/>
          <w:szCs w:val="13"/>
          <w:i w:val="1"/>
          <w:iCs w:val="1"/>
          <w:color w:val="auto"/>
        </w:rPr>
        <w:t xml:space="preserve">S. Andrew Cox </w:t>
      </w:r>
      <w:r>
        <w:rPr>
          <w:rFonts w:ascii="Arial" w:cs="Arial" w:eastAsia="Arial" w:hAnsi="Arial"/>
          <w:sz w:val="13"/>
          <w:szCs w:val="13"/>
          <w:color w:val="auto"/>
        </w:rPr>
        <w:t>joined Synchronoss in December 2003 as Chief Information Officer. Prior to joining Synchronoss, from March 1997 to December 2003, Mr. Cox was the Managing</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for Infrastructure Solutions with CoreTech Consulting Group, and was an analyst with Rohm and Haas Company from December 1992 to March 1997. Mr. Cox received a degree in electrical engineering from Bucknell University and a Masters of Business Administration from Loyola College.</w:t>
      </w:r>
    </w:p>
    <w:p>
      <w:pPr>
        <w:spacing w:after="0" w:line="14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2"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i w:val="1"/>
          <w:iCs w:val="1"/>
          <w:color w:val="auto"/>
        </w:rPr>
        <w:t>The following are certain risk factors that could affect our business, financial results and results of operations. You should carefully consider the following risk factors in connection with evaluating the forward-looking statements contained in this Annual Report on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Substantial Customer Concentration, with One Customer Accounting for a Substantial Portion of our 2006 Revenues.</w:t>
      </w:r>
    </w:p>
    <w:p>
      <w:pPr>
        <w:spacing w:after="0" w:line="98" w:lineRule="exact"/>
        <w:rPr>
          <w:sz w:val="20"/>
          <w:szCs w:val="20"/>
          <w:color w:val="auto"/>
        </w:rPr>
      </w:pPr>
    </w:p>
    <w:p>
      <w:pPr>
        <w:ind w:left="680" w:right="60" w:firstLine="399"/>
        <w:spacing w:after="0" w:line="337" w:lineRule="auto"/>
        <w:rPr>
          <w:sz w:val="20"/>
          <w:szCs w:val="20"/>
          <w:color w:val="auto"/>
        </w:rPr>
      </w:pPr>
      <w:r>
        <w:rPr>
          <w:rFonts w:ascii="Arial" w:cs="Arial" w:eastAsia="Arial" w:hAnsi="Arial"/>
          <w:sz w:val="11"/>
          <w:szCs w:val="11"/>
          <w:color w:val="auto"/>
        </w:rPr>
        <w:t>We currently derive a significant portion of our revenues from one customer, Cingular Wireless. Our relationship with Cingular Wireless dates back to January 2001 when we began providing service to AT&amp;T Wireless, which was subsequently acquired by Cingular Wireless and is now a division of AT&amp;T Corp. For the year ended December 31, 2006, Cingular Wireless accounted for approximately 65% of our revenues, compared to 80% for the fiscal year ended December 31, 2005. Our five largest customers, Cingular Wireless, Vonage, Level 3</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00"/>
        <w:spacing w:after="0" w:line="279" w:lineRule="auto"/>
        <w:rPr>
          <w:sz w:val="20"/>
          <w:szCs w:val="20"/>
          <w:color w:val="auto"/>
        </w:rPr>
      </w:pPr>
      <w:r>
        <w:rPr>
          <w:rFonts w:ascii="Arial" w:cs="Arial" w:eastAsia="Arial" w:hAnsi="Arial"/>
          <w:sz w:val="13"/>
          <w:szCs w:val="13"/>
          <w:color w:val="auto"/>
        </w:rPr>
        <w:t>Communications, Time Warner Cable and Cablevision, accounted for approximately 94% of our revenues for the year ended December 31, 2006, compared to 96% of our revenues for the year ended December 31, 2005.</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A Slow Down in Market Acceptance and Government Regulation of Voice over Internet Protocol Technology Could Negatively Impact Our Ability to Grow Our Revenues.</w:t>
      </w:r>
    </w:p>
    <w:p>
      <w:pPr>
        <w:spacing w:after="0" w:line="109"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Serving providers of Voice over Internet Protocol, or VoIP, is an important part of our business plan. A slow down in market acceptance and increased government regulation of VoIP technology could negatively impact our ability to achieve and maintain profitability and grow our revenues. We began targeting the VoIP market in 2004. VoIP customers attributed approximately 34% or $24 million to our total revenues for the year ended December 31, 2006, and 17% or $9 million to our total revenues in 2005.</w:t>
      </w:r>
    </w:p>
    <w:p>
      <w:pPr>
        <w:spacing w:after="0" w:line="67"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 regulatory status of VoIP is not clear and, in early 2004, the Federal Communications Commission (“FCC”) opened a proceeding to establish the regulatory framework for Internet Protocol-enabled services, including VoIP. In this proceeding, the FCC will address various regulatory issues, including universal service, intercarrier compensation, numbering, disability access, consumer protection and customer access to 911 emergency services. The outcome that the FCC reaches on these issues could have a material impact on our customers and potential customers and an adverse effect on our business. In addition, if access charges and tariffs are imposed on the use of Internet Protocol-enabled service, including VoIP, the cost of providing VoIP services would increase, which could have an adverse effect on our customers and our business.</w:t>
      </w:r>
    </w:p>
    <w:p>
      <w:pPr>
        <w:spacing w:after="0" w:line="55"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color w:val="auto"/>
        </w:rPr>
        <w:t>Market reluctance to embrace VoIP as an alternative to traditional forms of telephone communication and limitations and/or expenses incurred as a result of increased governmental regulation could negatively impact the growth prospects of a key target customer base, potentially impacting in a negative way our ability to successfully market certain of our products and services.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Adapt to Rapid Technological Change in the Communications Industry, We Could Lose Customers or Market Share.</w:t>
      </w:r>
    </w:p>
    <w:p>
      <w:pPr>
        <w:spacing w:after="0" w:line="9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and/or market share.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Success of Our Business Depends on the Continued Growth of Consumer and Business Transactions Related to Communications Services on the Internet.</w:t>
      </w:r>
    </w:p>
    <w:p>
      <w:pPr>
        <w:spacing w:after="0" w:line="109" w:lineRule="exact"/>
        <w:rPr>
          <w:sz w:val="20"/>
          <w:szCs w:val="20"/>
          <w:color w:val="auto"/>
        </w:rPr>
      </w:pPr>
    </w:p>
    <w:p>
      <w:pPr>
        <w:jc w:val="both"/>
        <w:ind w:left="680" w:right="140" w:firstLine="399"/>
        <w:spacing w:after="0" w:line="299" w:lineRule="auto"/>
        <w:rPr>
          <w:sz w:val="20"/>
          <w:szCs w:val="20"/>
          <w:color w:val="auto"/>
        </w:rPr>
      </w:pPr>
      <w:r>
        <w:rPr>
          <w:rFonts w:ascii="Arial" w:cs="Arial" w:eastAsia="Arial" w:hAnsi="Arial"/>
          <w:sz w:val="12"/>
          <w:szCs w:val="12"/>
          <w:color w:val="auto"/>
        </w:rPr>
        <w:t>The future success of our business depends upon the continued growth of consumer and business transactions on the Internet, including attracting consumers who have historically purchased wireless services and devices through traditional retail stores. Specific factors that could deter consumers from purchasing wireless services and devices on the Internet include concerns about buying wireless devices without a face-to -face interaction with sales personnel and the ability to physically handle and examine the devices.</w:t>
      </w:r>
    </w:p>
    <w:p>
      <w:pPr>
        <w:spacing w:after="0" w:line="48" w:lineRule="exact"/>
        <w:rPr>
          <w:sz w:val="20"/>
          <w:szCs w:val="20"/>
          <w:color w:val="auto"/>
        </w:rPr>
      </w:pPr>
    </w:p>
    <w:p>
      <w:pPr>
        <w:ind w:left="680" w:right="40" w:firstLine="399"/>
        <w:spacing w:after="0" w:line="318" w:lineRule="auto"/>
        <w:rPr>
          <w:sz w:val="20"/>
          <w:szCs w:val="20"/>
          <w:color w:val="auto"/>
        </w:rPr>
      </w:pPr>
      <w:r>
        <w:rPr>
          <w:rFonts w:ascii="Arial" w:cs="Arial" w:eastAsia="Arial" w:hAnsi="Arial"/>
          <w:sz w:val="11"/>
          <w:szCs w:val="11"/>
          <w:color w:val="auto"/>
        </w:rPr>
        <w:t>Our business growth would be impeded if the performance or perception of the Internet was harmed by security problems such as “viruses,” “worms” and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Compromises to Our Privacy Safeguards Could Impact Our Reputation.</w:t>
      </w:r>
    </w:p>
    <w:p>
      <w:pPr>
        <w:spacing w:after="0" w:line="98" w:lineRule="exact"/>
        <w:rPr>
          <w:sz w:val="20"/>
          <w:szCs w:val="20"/>
          <w:color w:val="auto"/>
        </w:rPr>
      </w:pPr>
    </w:p>
    <w:p>
      <w:pPr>
        <w:jc w:val="both"/>
        <w:ind w:left="680" w:right="220" w:firstLine="399"/>
        <w:spacing w:after="0" w:line="291" w:lineRule="auto"/>
        <w:rPr>
          <w:sz w:val="20"/>
          <w:szCs w:val="20"/>
          <w:color w:val="auto"/>
        </w:rPr>
      </w:pPr>
      <w:r>
        <w:rPr>
          <w:rFonts w:ascii="Arial" w:cs="Arial" w:eastAsia="Arial" w:hAnsi="Arial"/>
          <w:sz w:val="12"/>
          <w:szCs w:val="12"/>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We do not currently carry insurance to protect us against this risk. Concerns about the security of online transactions and the privacy of personal information could deter consumers from transacting business with us on the Internet.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Fraudulent Internet Transactions Could Negatively Impact Our Business.</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CSP customers currently bear the risk for a fraudulent credit card transaction, in the future we may be forced to share some of that risk and the associated costs with our CSP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the CSP and our business could be adversely affected.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Wireless Services Industry Experiences a Decline in Subscribers, Our Business May Suffer.</w:t>
      </w:r>
    </w:p>
    <w:p>
      <w:pPr>
        <w:spacing w:after="0" w:line="98"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The wireless services industry has faced an increasing number of challenges, including a slowdown in new subscriber growth. Telecommunications Industry Association projects that the growth in U.S.wireless communications subscribers may slow from 11.1% growth in 2006 to a compounded annual growth rate of 5% from 2007 to 2010. Revenues from services performed for customers in the wireless services industry accounted for 65% of our revenues in 2006 and 80% in 2005.</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Consolidation in the Communications Industry Can Reduce the Number of Customers and Adversely Affect Our Business.</w:t>
      </w:r>
    </w:p>
    <w:p>
      <w:pPr>
        <w:spacing w:after="0" w:line="9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and decide to either use a different service provider or to manage its transactions internally, this could have a negative material impact on our business. These consolidations and alliances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Successfully With Existing or New Competitors, Our Business Could Be Harmed.</w:t>
      </w:r>
    </w:p>
    <w:p>
      <w:pPr>
        <w:spacing w:after="0" w:line="98"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communications services companies. Rapid technological changes, such as advancements in software integration across multiple and incompatible systems, and economies of scale may make it more economical for CSPs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Cingular Wireless could result in a substantial reduction in or the outright termination of our contract with Cingular Wireless, which would have a significant negative material impact on our business.</w:t>
      </w:r>
    </w:p>
    <w:p>
      <w:pPr>
        <w:spacing w:after="0" w:line="138" w:lineRule="exact"/>
        <w:rPr>
          <w:sz w:val="20"/>
          <w:szCs w:val="20"/>
          <w:color w:val="auto"/>
        </w:rPr>
      </w:pPr>
    </w:p>
    <w:p>
      <w:pPr>
        <w:ind w:left="880" w:right="80"/>
        <w:spacing w:after="0" w:line="279" w:lineRule="auto"/>
        <w:rPr>
          <w:sz w:val="20"/>
          <w:szCs w:val="20"/>
          <w:color w:val="auto"/>
        </w:rPr>
      </w:pPr>
      <w:r>
        <w:rPr>
          <w:rFonts w:ascii="Arial" w:cs="Arial" w:eastAsia="Arial" w:hAnsi="Arial"/>
          <w:sz w:val="13"/>
          <w:szCs w:val="13"/>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58"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Our success depends on our ability to provide reliable services to our customers and process a high volume of transactions in a timely and effective manner. Although we have a disaster recovery facility in our Bridgewater, New Jersey corporate headquarters, our network operations are currently located in a single facility in Bethlehem, Pennsylvania that is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w:t>
      </w:r>
    </w:p>
    <w:p>
      <w:pPr>
        <w:spacing w:after="0" w:line="69" w:lineRule="exact"/>
        <w:rPr>
          <w:sz w:val="20"/>
          <w:szCs w:val="20"/>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damage to or failure of our computer software or hardware or our connections and outsourced service arrangements with third parties;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errors in the processing of data by our system;</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computer viruses or software defects;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physical or electronic break-ins, sabotage, intentional acts of vandalism and similar events;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fire, cyberattack, terrorist attach or other catastrophic event;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increased capacity demands or changes in systems requirements of our customers; or</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errors by our employees or third-party service providers.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Meet Our Service Level Obligations Under Our Service Level Agreements, We Would Be Subject to Penalties and Could Lose Customers.</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Financial and Operating Difficulties in the Telecommunications Sector May Negatively Affect Our Customers and Our Company.</w:t>
      </w:r>
    </w:p>
    <w:p>
      <w:pPr>
        <w:spacing w:after="0" w:line="9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Recently, the telecommunications sector has been facing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Our Reliance on Third-Party Providers for Communications Software, Services, Hardware and Infrastructure Exposes Us to a Variety of Risks We Cannot Control.</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69"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Our business also depends upon the capacity, reliability and security of the infrastructure owned and managed by third 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138"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5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A significant barrier to online commerce is concern about the secure transmission of confidential information over public networks. The encryption and authentication technology licensed from third 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138" w:lineRule="exact"/>
        <w:rPr>
          <w:sz w:val="20"/>
          <w:szCs w:val="20"/>
          <w:color w:val="auto"/>
        </w:rPr>
      </w:pPr>
    </w:p>
    <w:p>
      <w:pPr>
        <w:ind w:left="880" w:right="60"/>
        <w:spacing w:after="0" w:line="279" w:lineRule="auto"/>
        <w:rPr>
          <w:sz w:val="20"/>
          <w:szCs w:val="20"/>
          <w:color w:val="auto"/>
        </w:rPr>
      </w:pPr>
      <w:r>
        <w:rPr>
          <w:rFonts w:ascii="Arial" w:cs="Arial" w:eastAsia="Arial" w:hAnsi="Arial"/>
          <w:sz w:val="13"/>
          <w:szCs w:val="13"/>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56"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Our success depends to a significant degree upon the protection of our software and other proprietary technology rights, particularly our ActivationNow</w:t>
      </w:r>
      <w:r>
        <w:rPr>
          <w:rFonts w:ascii="Arial" w:cs="Arial" w:eastAsia="Arial" w:hAnsi="Arial"/>
          <w:sz w:val="11"/>
          <w:szCs w:val="11"/>
          <w:color w:val="auto"/>
        </w:rPr>
        <w:t>®</w:t>
      </w:r>
      <w:r>
        <w:rPr>
          <w:rFonts w:ascii="Arial" w:cs="Arial" w:eastAsia="Arial" w:hAnsi="Arial"/>
          <w:sz w:val="13"/>
          <w:szCs w:val="13"/>
          <w:color w:val="auto"/>
        </w:rPr>
        <w:t xml:space="preserve"> platform. We rely on trade secret, copyright and trademark laws and confidentiality agreements with employees and third parties, all of which offer only limited protection. The steps we have taken to protect our intellectual property may not prevent misappropriation of our proprietary rights or the reverse engineering of our solutions. Legal standards relating to the validity, enforceability and scope of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87" w:lineRule="auto"/>
        <w:rPr>
          <w:sz w:val="20"/>
          <w:szCs w:val="20"/>
          <w:color w:val="auto"/>
        </w:rPr>
      </w:pPr>
      <w:r>
        <w:rPr>
          <w:rFonts w:ascii="Arial" w:cs="Arial" w:eastAsia="Arial" w:hAnsi="Arial"/>
          <w:sz w:val="12"/>
          <w:szCs w:val="12"/>
          <w:color w:val="auto"/>
        </w:rPr>
        <w:t>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98"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 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 parties.</w:t>
      </w:r>
    </w:p>
    <w:p>
      <w:pPr>
        <w:spacing w:after="0" w:line="57"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127" w:lineRule="exact"/>
        <w:rPr>
          <w:sz w:val="20"/>
          <w:szCs w:val="20"/>
          <w:color w:val="auto"/>
        </w:rPr>
      </w:pPr>
    </w:p>
    <w:p>
      <w:pPr>
        <w:ind w:left="880" w:right="80"/>
        <w:spacing w:after="0" w:line="279" w:lineRule="auto"/>
        <w:rPr>
          <w:sz w:val="20"/>
          <w:szCs w:val="20"/>
          <w:color w:val="auto"/>
        </w:rPr>
      </w:pPr>
      <w:r>
        <w:rPr>
          <w:rFonts w:ascii="Arial" w:cs="Arial" w:eastAsia="Arial" w:hAnsi="Arial"/>
          <w:sz w:val="13"/>
          <w:szCs w:val="13"/>
          <w:b w:val="1"/>
          <w:bCs w:val="1"/>
          <w:i w:val="1"/>
          <w:iCs w:val="1"/>
          <w:color w:val="auto"/>
        </w:rPr>
        <w:t>We May Seek to Acquire Companies or Technologies, Which Could Disrupt Our Ongoing Business, Disrupt Our Management and Employees and Adversely Affect Our Results of Operations.</w:t>
      </w:r>
    </w:p>
    <w:p>
      <w:pPr>
        <w:spacing w:after="0" w:line="5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may acquire companies where we believe we can acquire new products or services or otherwise enhance our market position or strategic strengths. We have not made any acquisitions to date, and therefore our ability as an organization to make acquisitions is unproven. We may not be able to find suitable acquisition candidates and we may not be able to complete acquisitions on favorable terms, if at all. If we do complete acquisitions, we cannot be sure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 -day responsibilities, increase our expenses and harm our results of operations or financial condition. Future acquisitions could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153" w:lineRule="exact"/>
        <w:rPr>
          <w:sz w:val="20"/>
          <w:szCs w:val="20"/>
          <w:color w:val="auto"/>
        </w:rPr>
      </w:pPr>
    </w:p>
    <w:p>
      <w:pPr>
        <w:ind w:left="880" w:right="520"/>
        <w:spacing w:after="0" w:line="279" w:lineRule="auto"/>
        <w:rPr>
          <w:sz w:val="20"/>
          <w:szCs w:val="20"/>
          <w:color w:val="auto"/>
        </w:rPr>
      </w:pPr>
      <w:r>
        <w:rPr>
          <w:rFonts w:ascii="Arial" w:cs="Arial" w:eastAsia="Arial" w:hAnsi="Arial"/>
          <w:sz w:val="13"/>
          <w:szCs w:val="13"/>
          <w:b w:val="1"/>
          <w:bCs w:val="1"/>
          <w:i w:val="1"/>
          <w:iCs w:val="1"/>
          <w:color w:val="auto"/>
        </w:rPr>
        <w:t>Our Potential Expansion into International Markets May Be Subject to Uncertainties That Could Increase Our Costs to Comply with Regulatory Requirements in Foreign Jurisdictions, Disrupt Our Operations and Require Increased Focus from Our Management.</w:t>
      </w:r>
    </w:p>
    <w:p>
      <w:pPr>
        <w:spacing w:after="0" w:line="58"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Our growth strategy involves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right="160"/>
        <w:spacing w:after="0" w:line="266" w:lineRule="auto"/>
        <w:rPr>
          <w:sz w:val="20"/>
          <w:szCs w:val="20"/>
          <w:color w:val="auto"/>
        </w:rPr>
      </w:pPr>
      <w:r>
        <w:rPr>
          <w:rFonts w:ascii="Arial" w:cs="Arial" w:eastAsia="Arial" w:hAnsi="Arial"/>
          <w:sz w:val="13"/>
          <w:szCs w:val="13"/>
          <w:color w:val="auto"/>
        </w:rPr>
        <w:t>associated with managing a large organization spread throughout various countries. If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Senior Management is Important to Our Customer Relationships, and the Loss of One or More of Our Senior Managers Could Have a Negative Impact on Our Business.</w:t>
      </w:r>
    </w:p>
    <w:p>
      <w:pPr>
        <w:spacing w:after="0" w:line="109" w:lineRule="exact"/>
        <w:rPr>
          <w:sz w:val="20"/>
          <w:szCs w:val="20"/>
          <w:color w:val="auto"/>
        </w:rPr>
      </w:pPr>
    </w:p>
    <w:p>
      <w:pPr>
        <w:ind w:left="680" w:firstLine="399"/>
        <w:spacing w:after="0" w:line="324" w:lineRule="auto"/>
        <w:rPr>
          <w:sz w:val="20"/>
          <w:szCs w:val="20"/>
          <w:color w:val="auto"/>
        </w:rPr>
      </w:pPr>
      <w:r>
        <w:rPr>
          <w:rFonts w:ascii="Arial" w:cs="Arial" w:eastAsia="Arial" w:hAnsi="Arial"/>
          <w:sz w:val="11"/>
          <w:szCs w:val="11"/>
          <w:color w:val="auto"/>
        </w:rPr>
        <w:t>We believe that our success depends in part on the continued contributions of our Chairman of the Board of Directors, President and Chief Executive Officer, Stephen G. Waldis, and other members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Mr. Waldis or any other members of senior management could materially impair our ability to identify and secure new contracts and otherwise manage our business.</w:t>
      </w:r>
    </w:p>
    <w:p>
      <w:pPr>
        <w:spacing w:after="0" w:line="118" w:lineRule="exact"/>
        <w:rPr>
          <w:sz w:val="20"/>
          <w:szCs w:val="20"/>
          <w:color w:val="auto"/>
        </w:rPr>
      </w:pPr>
    </w:p>
    <w:p>
      <w:pPr>
        <w:ind w:left="880" w:right="580"/>
        <w:spacing w:after="0" w:line="279" w:lineRule="auto"/>
        <w:rPr>
          <w:sz w:val="20"/>
          <w:szCs w:val="20"/>
          <w:color w:val="auto"/>
        </w:rPr>
      </w:pPr>
      <w:r>
        <w:rPr>
          <w:rFonts w:ascii="Arial" w:cs="Arial" w:eastAsia="Arial" w:hAnsi="Arial"/>
          <w:sz w:val="13"/>
          <w:szCs w:val="13"/>
          <w:b w:val="1"/>
          <w:bCs w:val="1"/>
          <w:i w:val="1"/>
          <w:iCs w:val="1"/>
          <w:color w:val="auto"/>
        </w:rPr>
        <w:t>We Continue to Incur Significant Costs as a Result of Operating as a Public Company, and Our Management Is Required to Devote Substantial Time to New Compliance Initiatives.</w:t>
      </w:r>
    </w:p>
    <w:p>
      <w:pPr>
        <w:spacing w:after="0" w:line="5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We have only operated as a public company since June 2006 and we will continue to incur significant legal, accounting and other expenses as we comply with the Sarbanes-Oxley Act of 2002, as well as new rules subsequently implemented by the Securities and Exchange Commission and the Nasdaq Stock Market’s National Market. These rules impose various new requirements on public companies, including requiring changes in corporate governance practices. Our management and other personnel will continue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5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addition, the Sarbanes-Oxley Act requires, among other things, that we report on the effectiveness of our internal control over financial reporting and disclosure controls and procedures. In particular, for the year ending on December 31, 2007,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Stock Market’s National Market, the Securities and Exchange Commission or other regulatory authorities, which would require additional financial and management resources.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Accounting Principles Could Result in Unfavorable Accounting Charges.</w:t>
      </w:r>
    </w:p>
    <w:p>
      <w:pPr>
        <w:spacing w:after="0" w:line="9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We prepare our financial statements in conformity with U.S. generally accepted accounting principles. These principles are subject to interpretation by the SEC and various bodies formed to interpret and create appropriate accounting principles. A change in these principles could have a significant effect on our reported results and may even retroactively affect previously reported transactions. Our accounting principles that recently have been or may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380"/>
        <w:spacing w:after="0" w:line="279" w:lineRule="auto"/>
        <w:rPr>
          <w:sz w:val="20"/>
          <w:szCs w:val="20"/>
          <w:color w:val="auto"/>
        </w:rPr>
      </w:pPr>
      <w:r>
        <w:rPr>
          <w:rFonts w:ascii="Arial" w:cs="Arial" w:eastAsia="Arial" w:hAnsi="Arial"/>
          <w:sz w:val="13"/>
          <w:szCs w:val="13"/>
          <w:color w:val="auto"/>
        </w:rPr>
        <w:t>be affected by changes in accounting principles are: (i) accounting for stock-based compensation; (ii) accounting for income taxes; and (iii) accounting for business combinations and goodwill.</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Tax Rules and Regulations, Could Adversely Affect our Effective Tax Rates.</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addition, we are subject to the continued examination of our income tax returns by the IRS and other domestic tax authorities. We regularly assess the likelihood of outcomes resulting from these examinations, if any, to determine the adequacy of our provision for income taxes. We believe such estimates to be reasonable, but there can be no assurance that the final determination of any of these examinations will not have an adverse effect on our operating results and financial position.</w:t>
      </w:r>
    </w:p>
    <w:p>
      <w:pPr>
        <w:spacing w:after="0" w:line="149" w:lineRule="exact"/>
        <w:rPr>
          <w:sz w:val="20"/>
          <w:szCs w:val="20"/>
          <w:color w:val="auto"/>
        </w:rPr>
      </w:pPr>
    </w:p>
    <w:p>
      <w:pPr>
        <w:ind w:left="880" w:right="300"/>
        <w:spacing w:after="0" w:line="279"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Volumes Could Decline.</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The trading market for our common stock will continue to depend in part on the research and reports that securities or industry analysts publish about us or our business. If we do not continue to maintain adequate research coverage or if one of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could cause our stock price and trading volumes to decline.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Continue to Experience Significant Fluctuations.</w:t>
      </w:r>
    </w:p>
    <w:p>
      <w:pPr>
        <w:spacing w:after="0" w:line="98"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Our stock price, like that of other technology companies, continues to fluctuate greatly. Our stock price can be affected by many factors such as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war or due to a variety of company specific factors, including quarter to quarter variations in our operating results, shortfalls in revenue, gross margin or earnings from levels by securities analysts and the other factors discussed in these risk factors.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Existing Stockholders Significantly Influence Us and Could Delay or Prevent an Acquisition By a Third Party.</w:t>
      </w:r>
    </w:p>
    <w:p>
      <w:pPr>
        <w:spacing w:after="0" w:line="9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Executive officers, key employees and directors and their affiliates beneficially own, in the aggregate, approximately 36% of our outstanding common stock as of March 15, 2007. As a result, these stockholders are able to exercise significant influence over all matters requiring stockholder approval, including the election of directors and approval of significant corporate transactions, which could have the effect of delaying or preventing a third party from acquiring control over us.</w:t>
      </w:r>
    </w:p>
    <w:p>
      <w:pPr>
        <w:spacing w:after="0" w:line="146" w:lineRule="exact"/>
        <w:rPr>
          <w:sz w:val="20"/>
          <w:szCs w:val="20"/>
          <w:color w:val="auto"/>
        </w:rPr>
      </w:pPr>
    </w:p>
    <w:p>
      <w:pPr>
        <w:ind w:left="880" w:right="220"/>
        <w:spacing w:after="0" w:line="279" w:lineRule="auto"/>
        <w:rPr>
          <w:sz w:val="20"/>
          <w:szCs w:val="20"/>
          <w:color w:val="auto"/>
        </w:rPr>
      </w:pPr>
      <w:r>
        <w:rPr>
          <w:rFonts w:ascii="Arial" w:cs="Arial" w:eastAsia="Arial" w:hAnsi="Arial"/>
          <w:sz w:val="13"/>
          <w:szCs w:val="13"/>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58"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over us that stockholders may consider favorable. Our amended and restated certificate of incorporation and bylaws:</w:t>
      </w:r>
    </w:p>
    <w:p>
      <w:pPr>
        <w:spacing w:after="0" w:line="98" w:lineRule="exact"/>
        <w:rPr>
          <w:sz w:val="20"/>
          <w:szCs w:val="20"/>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could be issued by our board of directors to thwart a takeover attempt;</w:t>
      </w:r>
    </w:p>
    <w:p>
      <w:pPr>
        <w:spacing w:after="0" w:line="48"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 which would otherwise allow holders of less than a majority of the stock to elect some directors;</w:t>
      </w:r>
    </w:p>
    <w:p>
      <w:pPr>
        <w:spacing w:after="0" w:line="48" w:lineRule="exact"/>
        <w:rPr>
          <w:rFonts w:ascii="Arial" w:cs="Arial" w:eastAsia="Arial" w:hAnsi="Arial"/>
          <w:sz w:val="13"/>
          <w:szCs w:val="13"/>
          <w:color w:val="auto"/>
        </w:rPr>
      </w:pPr>
    </w:p>
    <w:p>
      <w:pPr>
        <w:ind w:left="1300" w:right="380" w:hanging="207"/>
        <w:spacing w:after="0" w:line="279"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8"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require that directors only be removed from office for cause;</w:t>
      </w:r>
    </w:p>
    <w:p>
      <w:pPr>
        <w:spacing w:after="0" w:line="48"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provide that vacancies on the board of directors, including newly-created directorships, may be filled only by a majority vote of directors then in office;</w:t>
      </w:r>
    </w:p>
    <w:p>
      <w:pPr>
        <w:spacing w:after="0" w:line="48"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 who may call special meetings of stockholders;</w:t>
      </w:r>
    </w:p>
    <w:p>
      <w:pPr>
        <w:spacing w:after="0" w:line="48"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prohibit stockholder action by written consent, requiring all actions to be taken at a meeting of the stockholders; and</w:t>
      </w:r>
    </w:p>
    <w:p>
      <w:pPr>
        <w:spacing w:after="0" w:line="48" w:lineRule="exact"/>
        <w:rPr>
          <w:rFonts w:ascii="Arial" w:cs="Arial" w:eastAsia="Arial" w:hAnsi="Arial"/>
          <w:sz w:val="13"/>
          <w:szCs w:val="13"/>
          <w:color w:val="auto"/>
        </w:rPr>
      </w:pPr>
    </w:p>
    <w:p>
      <w:pPr>
        <w:ind w:left="1300" w:right="500" w:hanging="207"/>
        <w:spacing w:after="0" w:line="279"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nominating candidates for election to the board of directors or for proposing matters that can be acted upon by stockholders at stockholder meetings.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2"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We lease approximately 26,150 square feet of office space in Bridgewater, New Jersey. In addition to our principal office space in Bridgewater, New Jersey, we lease facilities and offices in Bethlehem, Pennsylvania, Edison, New Jersey and Redmond, Washington. Lease terms for these locations expire between 2007 and 2009. We believe that the facilities we now lease are sufficient to meet our needs through at least the next 12 months. However, we may require additional office space after that time, and we are currently evaluating expansion possibilities.</w:t>
      </w:r>
    </w:p>
    <w:p>
      <w:pPr>
        <w:spacing w:after="0" w:line="14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are not currently subject to any legal proceedings; however, we may from time to time become a party to various legal proceedings arising in the ordinary course of our business.</w:t>
      </w:r>
    </w:p>
    <w:p>
      <w:pPr>
        <w:spacing w:after="0" w:line="19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quarter ended December 31, 2006.</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12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Information</w:t>
      </w:r>
    </w:p>
    <w:p>
      <w:pPr>
        <w:spacing w:after="0" w:line="72" w:lineRule="exact"/>
        <w:rPr>
          <w:sz w:val="20"/>
          <w:szCs w:val="20"/>
          <w:color w:val="auto"/>
        </w:rPr>
      </w:pPr>
    </w:p>
    <w:p>
      <w:pPr>
        <w:ind w:left="680" w:right="980" w:firstLine="399"/>
        <w:spacing w:after="0" w:line="266" w:lineRule="auto"/>
        <w:rPr>
          <w:sz w:val="20"/>
          <w:szCs w:val="20"/>
          <w:color w:val="auto"/>
        </w:rPr>
      </w:pPr>
      <w:r>
        <w:rPr>
          <w:rFonts w:ascii="Arial" w:cs="Arial" w:eastAsia="Arial" w:hAnsi="Arial"/>
          <w:sz w:val="13"/>
          <w:szCs w:val="13"/>
          <w:color w:val="auto"/>
        </w:rPr>
        <w:t>Our common stock is traded over-the-counter and is listed on the Nasdaq Stock Market L.L.C. (“NASDAQ”). Our NASDAQ symbol is “SNCR.” We began trading on the NASDAQ national market on June 19, 2006. As such our common stock was not traded during the first quarter of the year ended March 31, 2006. The following table sets forth, for each period during the past year, the high and low sale prices as reported by NASDAQ.</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720" w:type="dxa"/>
            <w:vAlign w:val="bottom"/>
            <w:gridSpan w:val="3"/>
          </w:tcPr>
          <w:p>
            <w:pPr>
              <w:spacing w:after="0"/>
              <w:rPr>
                <w:sz w:val="20"/>
                <w:szCs w:val="20"/>
                <w:color w:val="auto"/>
              </w:rPr>
            </w:pPr>
            <w:r>
              <w:rPr>
                <w:rFonts w:ascii="Arial" w:cs="Arial" w:eastAsia="Arial" w:hAnsi="Arial"/>
                <w:sz w:val="11"/>
                <w:szCs w:val="11"/>
                <w:b w:val="1"/>
                <w:bCs w:val="1"/>
                <w:color w:val="auto"/>
              </w:rPr>
              <w:t>2006</w:t>
            </w: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3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NM*</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9.17</w:t>
            </w:r>
          </w:p>
        </w:tc>
        <w:tc>
          <w:tcPr>
            <w:tcW w:w="2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3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15.85</w:t>
            </w:r>
          </w:p>
        </w:tc>
        <w:tc>
          <w:tcPr>
            <w:tcW w:w="22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52070</wp:posOffset>
            </wp:positionV>
            <wp:extent cx="82232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No Measurement.</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15, 2007, there were approximately 133 holders of record of our common stock.</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jc w:val="both"/>
        <w:ind w:left="680" w:right="920" w:firstLine="399"/>
        <w:spacing w:after="0" w:line="291" w:lineRule="auto"/>
        <w:rPr>
          <w:sz w:val="20"/>
          <w:szCs w:val="20"/>
          <w:color w:val="auto"/>
        </w:rPr>
      </w:pPr>
      <w:r>
        <w:rPr>
          <w:rFonts w:ascii="Arial" w:cs="Arial" w:eastAsia="Arial" w:hAnsi="Arial"/>
          <w:sz w:val="12"/>
          <w:szCs w:val="12"/>
          <w:color w:val="auto"/>
        </w:rPr>
        <w:t>We have never declared or paid cash dividends on our common or preferred equity.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subject to compliance with certain covenants under our credit facilities, which restrict or limit our ability to declare or pay dividends, and will depend on our financial condition, results of operations, capital requirements, general business conditions and other factors that our board of directors may deem relevant.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Public Offering of Common Stock</w:t>
      </w:r>
    </w:p>
    <w:p>
      <w:pPr>
        <w:spacing w:after="0" w:line="102" w:lineRule="exact"/>
        <w:rPr>
          <w:sz w:val="20"/>
          <w:szCs w:val="20"/>
          <w:color w:val="auto"/>
        </w:rPr>
      </w:pPr>
    </w:p>
    <w:p>
      <w:pPr>
        <w:ind w:left="680" w:right="800" w:firstLine="399"/>
        <w:spacing w:after="0" w:line="284" w:lineRule="auto"/>
        <w:rPr>
          <w:sz w:val="20"/>
          <w:szCs w:val="20"/>
          <w:color w:val="auto"/>
        </w:rPr>
      </w:pPr>
      <w:r>
        <w:rPr>
          <w:rFonts w:ascii="Arial" w:cs="Arial" w:eastAsia="Arial" w:hAnsi="Arial"/>
          <w:sz w:val="12"/>
          <w:szCs w:val="12"/>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There has been no material change in our planned use of proceeds from the IPO from that described in the final prospectus filed with the SEC pursuant to Rule 424(b).</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as of December 31, 2006 with respect to the shares of our common stock that may be issuable under our existing equity compensation</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information is as of December 31, 2006: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rPr>
                <w:sz w:val="20"/>
                <w:szCs w:val="20"/>
                <w:color w:val="auto"/>
              </w:rPr>
            </w:pPr>
            <w:r>
              <w:rPr>
                <w:rFonts w:ascii="Arial" w:cs="Arial" w:eastAsia="Arial" w:hAnsi="Arial"/>
                <w:sz w:val="11"/>
                <w:szCs w:val="11"/>
                <w:b w:val="1"/>
                <w:bCs w:val="1"/>
                <w:color w:val="auto"/>
                <w:w w:val="85"/>
              </w:rPr>
              <w:t>(b)</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(c)</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80" w:type="dxa"/>
            <w:vAlign w:val="bottom"/>
            <w:tcBorders>
              <w:top w:val="single" w:sz="8" w:color="auto"/>
            </w:tcBorders>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8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87"/>
              </w:rPr>
              <w:t>Remaining Available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Number of Securities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6"/>
              </w:rPr>
              <w:t>for Future Issuance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to be Issued Upon</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6"/>
              </w:rPr>
              <w:t>Weighted-Average</w:t>
            </w:r>
          </w:p>
        </w:tc>
        <w:tc>
          <w:tcPr>
            <w:tcW w:w="400" w:type="dxa"/>
            <w:vAlign w:val="bottom"/>
          </w:tcPr>
          <w:p>
            <w:pPr>
              <w:spacing w:after="0"/>
              <w:rPr>
                <w:sz w:val="9"/>
                <w:szCs w:val="9"/>
                <w:color w:val="auto"/>
              </w:rPr>
            </w:pPr>
          </w:p>
        </w:tc>
        <w:tc>
          <w:tcPr>
            <w:tcW w:w="198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90"/>
              </w:rPr>
              <w:t>Under Equity</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Exercise of</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5"/>
              </w:rPr>
              <w:t>Exercise Price of</w:t>
            </w:r>
          </w:p>
        </w:tc>
        <w:tc>
          <w:tcPr>
            <w:tcW w:w="400" w:type="dxa"/>
            <w:vAlign w:val="bottom"/>
          </w:tcPr>
          <w:p>
            <w:pPr>
              <w:spacing w:after="0"/>
              <w:rPr>
                <w:sz w:val="9"/>
                <w:szCs w:val="9"/>
                <w:color w:val="auto"/>
              </w:rPr>
            </w:pPr>
          </w:p>
        </w:tc>
        <w:tc>
          <w:tcPr>
            <w:tcW w:w="19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4"/>
              </w:rPr>
              <w:t>Compensation Plans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800" w:type="dxa"/>
            <w:vAlign w:val="bottom"/>
            <w:gridSpan w:val="2"/>
            <w:vMerge w:val="restart"/>
          </w:tcPr>
          <w:p>
            <w:pPr>
              <w:ind w:left="68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Outstanding Options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line="119" w:lineRule="exact"/>
              <w:rPr>
                <w:sz w:val="20"/>
                <w:szCs w:val="20"/>
                <w:color w:val="auto"/>
              </w:rPr>
            </w:pPr>
            <w:r>
              <w:rPr>
                <w:rFonts w:ascii="Arial" w:cs="Arial" w:eastAsia="Arial" w:hAnsi="Arial"/>
                <w:sz w:val="11"/>
                <w:szCs w:val="11"/>
                <w:b w:val="1"/>
                <w:bCs w:val="1"/>
                <w:color w:val="auto"/>
                <w:w w:val="86"/>
              </w:rPr>
              <w:t>Outstanding</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5"/>
              </w:rPr>
              <w:t>(Excluding Securities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gridSpan w:val="2"/>
            <w:vMerge w:val="continue"/>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7"/>
              </w:rPr>
              <w:t>and Rights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rPr>
                <w:sz w:val="20"/>
                <w:szCs w:val="20"/>
                <w:color w:val="auto"/>
              </w:rPr>
            </w:pPr>
            <w:r>
              <w:rPr>
                <w:rFonts w:ascii="Arial" w:cs="Arial" w:eastAsia="Arial" w:hAnsi="Arial"/>
                <w:sz w:val="11"/>
                <w:szCs w:val="11"/>
                <w:b w:val="1"/>
                <w:bCs w:val="1"/>
                <w:color w:val="auto"/>
                <w:w w:val="86"/>
              </w:rPr>
              <w:t>Options and Rights</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Reflected in Column (a))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2,186,626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1,795,755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spacing w:after="0"/>
              <w:rPr>
                <w:sz w:val="14"/>
                <w:szCs w:val="14"/>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2,186,626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1,795,755</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0" w:type="dxa"/>
            <w:vAlign w:val="bottom"/>
            <w:tcBorders>
              <w:top w:val="single" w:sz="8" w:color="auto"/>
            </w:tcBorders>
          </w:tcPr>
          <w:p>
            <w:pPr>
              <w:jc w:val="right"/>
              <w:ind w:right="602"/>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2" w:lineRule="exact"/>
        <w:rPr>
          <w:sz w:val="20"/>
          <w:szCs w:val="20"/>
          <w:color w:val="auto"/>
        </w:rPr>
      </w:pPr>
    </w:p>
    <w:p>
      <w:pPr>
        <w:jc w:val="both"/>
        <w:ind w:left="680" w:right="920" w:firstLine="399"/>
        <w:spacing w:after="0" w:line="262" w:lineRule="auto"/>
        <w:rPr>
          <w:sz w:val="20"/>
          <w:szCs w:val="20"/>
          <w:color w:val="auto"/>
        </w:rPr>
      </w:pPr>
      <w:r>
        <w:rPr>
          <w:rFonts w:ascii="Arial" w:cs="Arial" w:eastAsia="Arial" w:hAnsi="Arial"/>
          <w:sz w:val="13"/>
          <w:szCs w:val="13"/>
          <w:color w:val="auto"/>
        </w:rPr>
        <w:t>The graph set forth below compares the cumulative total stockholder return on our common stock between June 19, 2006 (the date our common stock began trading on NASDAQ) and December 31, 2006, with the cumulative total return of (i) the Nasdaq Computer Index and (ii) the Nasdaq Composite Index, over the same period. This graph assumes the investment of $100,000 on June 19, 2006 in our common stock, the Nasdaq Computer Index and the Nasdaq Composite Index, and assumes the reinvestment of dividends, if any. The graph assumes the initial value of our common stock on June 19, 2006 was the closing sales price of $8.50 per share.</w:t>
      </w:r>
    </w:p>
    <w:p>
      <w:pPr>
        <w:spacing w:after="0" w:line="69" w:lineRule="exact"/>
        <w:rPr>
          <w:sz w:val="20"/>
          <w:szCs w:val="20"/>
          <w:color w:val="auto"/>
        </w:rPr>
      </w:pPr>
    </w:p>
    <w:p>
      <w:pPr>
        <w:jc w:val="both"/>
        <w:ind w:left="680" w:right="820" w:firstLine="399"/>
        <w:spacing w:after="0" w:line="266" w:lineRule="auto"/>
        <w:rPr>
          <w:sz w:val="20"/>
          <w:szCs w:val="20"/>
          <w:color w:val="auto"/>
        </w:rPr>
      </w:pPr>
      <w:r>
        <w:rPr>
          <w:rFonts w:ascii="Arial" w:cs="Arial" w:eastAsia="Arial" w:hAnsi="Arial"/>
          <w:sz w:val="13"/>
          <w:szCs w:val="13"/>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97790</wp:posOffset>
            </wp:positionV>
            <wp:extent cx="3754755" cy="1588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5475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20" w:type="dxa"/>
            <w:vAlign w:val="bottom"/>
            <w:tcBorders>
              <w:right w:val="single" w:sz="8" w:color="auto"/>
            </w:tcBorders>
          </w:tcPr>
          <w:p>
            <w:pPr>
              <w:spacing w:after="0"/>
              <w:rPr>
                <w:sz w:val="10"/>
                <w:szCs w:val="10"/>
                <w:color w:val="auto"/>
              </w:rPr>
            </w:pPr>
          </w:p>
        </w:tc>
        <w:tc>
          <w:tcPr>
            <w:tcW w:w="2980" w:type="dxa"/>
            <w:vAlign w:val="bottom"/>
            <w:tcBorders>
              <w:top w:val="single" w:sz="8" w:color="auto"/>
              <w:bottom w:val="single" w:sz="8" w:color="auto"/>
              <w:right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rPr>
              <w:t>Company/Index</w:t>
            </w:r>
          </w:p>
        </w:tc>
        <w:tc>
          <w:tcPr>
            <w:tcW w:w="900" w:type="dxa"/>
            <w:vAlign w:val="bottom"/>
            <w:tcBorders>
              <w:top w:val="single" w:sz="8" w:color="auto"/>
              <w:bottom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2"/>
              </w:rPr>
              <w:t>6/19/06</w:t>
            </w:r>
          </w:p>
        </w:tc>
        <w:tc>
          <w:tcPr>
            <w:tcW w:w="1020" w:type="dxa"/>
            <w:vAlign w:val="bottom"/>
            <w:tcBorders>
              <w:top w:val="single" w:sz="8" w:color="auto"/>
              <w:bottom w:val="single" w:sz="8" w:color="auto"/>
              <w:right w:val="single" w:sz="8" w:color="auto"/>
            </w:tcBorders>
          </w:tcPr>
          <w:p>
            <w:pPr>
              <w:jc w:val="right"/>
              <w:ind w:right="297"/>
              <w:spacing w:after="0" w:line="119" w:lineRule="exact"/>
              <w:rPr>
                <w:sz w:val="20"/>
                <w:szCs w:val="20"/>
                <w:color w:val="auto"/>
              </w:rPr>
            </w:pPr>
            <w:r>
              <w:rPr>
                <w:rFonts w:ascii="Arial" w:cs="Arial" w:eastAsia="Arial" w:hAnsi="Arial"/>
                <w:sz w:val="11"/>
                <w:szCs w:val="11"/>
                <w:b w:val="1"/>
                <w:bCs w:val="1"/>
                <w:color w:val="auto"/>
              </w:rPr>
              <w:t>7/31/06</w:t>
            </w:r>
          </w:p>
        </w:tc>
        <w:tc>
          <w:tcPr>
            <w:tcW w:w="1040" w:type="dxa"/>
            <w:vAlign w:val="bottom"/>
            <w:tcBorders>
              <w:top w:val="single" w:sz="8" w:color="auto"/>
              <w:bottom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87"/>
              </w:rPr>
              <w:t>8/31/06</w:t>
            </w:r>
          </w:p>
        </w:tc>
        <w:tc>
          <w:tcPr>
            <w:tcW w:w="1020" w:type="dxa"/>
            <w:vAlign w:val="bottom"/>
            <w:tcBorders>
              <w:top w:val="single" w:sz="8" w:color="auto"/>
              <w:bottom w:val="single" w:sz="8" w:color="auto"/>
              <w:right w:val="single" w:sz="8" w:color="auto"/>
            </w:tcBorders>
          </w:tcPr>
          <w:p>
            <w:pPr>
              <w:jc w:val="right"/>
              <w:ind w:right="297"/>
              <w:spacing w:after="0" w:line="119" w:lineRule="exact"/>
              <w:rPr>
                <w:sz w:val="20"/>
                <w:szCs w:val="20"/>
                <w:color w:val="auto"/>
              </w:rPr>
            </w:pPr>
            <w:r>
              <w:rPr>
                <w:rFonts w:ascii="Arial" w:cs="Arial" w:eastAsia="Arial" w:hAnsi="Arial"/>
                <w:sz w:val="11"/>
                <w:szCs w:val="11"/>
                <w:b w:val="1"/>
                <w:bCs w:val="1"/>
                <w:color w:val="auto"/>
              </w:rPr>
              <w:t>9/29/06</w:t>
            </w:r>
          </w:p>
        </w:tc>
        <w:tc>
          <w:tcPr>
            <w:tcW w:w="1040" w:type="dxa"/>
            <w:vAlign w:val="bottom"/>
            <w:tcBorders>
              <w:top w:val="single" w:sz="8" w:color="auto"/>
              <w:bottom w:val="single" w:sz="8" w:color="auto"/>
              <w:right w:val="single" w:sz="8" w:color="auto"/>
            </w:tcBorders>
          </w:tcPr>
          <w:p>
            <w:pPr>
              <w:jc w:val="right"/>
              <w:ind w:right="297"/>
              <w:spacing w:after="0" w:line="119" w:lineRule="exact"/>
              <w:rPr>
                <w:sz w:val="20"/>
                <w:szCs w:val="20"/>
                <w:color w:val="auto"/>
              </w:rPr>
            </w:pPr>
            <w:r>
              <w:rPr>
                <w:rFonts w:ascii="Arial" w:cs="Arial" w:eastAsia="Arial" w:hAnsi="Arial"/>
                <w:sz w:val="11"/>
                <w:szCs w:val="11"/>
                <w:b w:val="1"/>
                <w:bCs w:val="1"/>
                <w:color w:val="auto"/>
              </w:rPr>
              <w:t>10/31/06</w:t>
            </w:r>
          </w:p>
        </w:tc>
        <w:tc>
          <w:tcPr>
            <w:tcW w:w="1020" w:type="dxa"/>
            <w:vAlign w:val="bottom"/>
            <w:tcBorders>
              <w:top w:val="single" w:sz="8" w:color="auto"/>
              <w:bottom w:val="single" w:sz="8" w:color="auto"/>
              <w:right w:val="single" w:sz="8" w:color="auto"/>
            </w:tcBorders>
          </w:tcPr>
          <w:p>
            <w:pPr>
              <w:jc w:val="right"/>
              <w:ind w:right="277"/>
              <w:spacing w:after="0" w:line="119" w:lineRule="exact"/>
              <w:rPr>
                <w:sz w:val="20"/>
                <w:szCs w:val="20"/>
                <w:color w:val="auto"/>
              </w:rPr>
            </w:pPr>
            <w:r>
              <w:rPr>
                <w:rFonts w:ascii="Arial" w:cs="Arial" w:eastAsia="Arial" w:hAnsi="Arial"/>
                <w:sz w:val="11"/>
                <w:szCs w:val="11"/>
                <w:b w:val="1"/>
                <w:bCs w:val="1"/>
                <w:color w:val="auto"/>
              </w:rPr>
              <w:t>11/30/06</w:t>
            </w:r>
          </w:p>
        </w:tc>
        <w:tc>
          <w:tcPr>
            <w:tcW w:w="940" w:type="dxa"/>
            <w:vAlign w:val="bottom"/>
            <w:tcBorders>
              <w:top w:val="single" w:sz="8" w:color="auto"/>
              <w:bottom w:val="single" w:sz="8" w:color="auto"/>
              <w:right w:val="single" w:sz="8" w:color="auto"/>
            </w:tcBorders>
          </w:tcPr>
          <w:p>
            <w:pPr>
              <w:jc w:val="right"/>
              <w:ind w:right="217"/>
              <w:spacing w:after="0" w:line="119" w:lineRule="exact"/>
              <w:rPr>
                <w:sz w:val="20"/>
                <w:szCs w:val="20"/>
                <w:color w:val="auto"/>
              </w:rPr>
            </w:pPr>
            <w:r>
              <w:rPr>
                <w:rFonts w:ascii="Arial" w:cs="Arial" w:eastAsia="Arial" w:hAnsi="Arial"/>
                <w:sz w:val="11"/>
                <w:szCs w:val="11"/>
                <w:b w:val="1"/>
                <w:bCs w:val="1"/>
                <w:color w:val="auto"/>
              </w:rPr>
              <w:t>12/29/06</w:t>
            </w:r>
          </w:p>
        </w:tc>
        <w:tc>
          <w:tcPr>
            <w:tcW w:w="780" w:type="dxa"/>
            <w:vAlign w:val="bottom"/>
          </w:tcPr>
          <w:p>
            <w:pPr>
              <w:spacing w:after="0"/>
              <w:rPr>
                <w:sz w:val="10"/>
                <w:szCs w:val="10"/>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Synchronoss Technologies, Inc.</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91.18</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110.71</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111.53</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118.47</w:t>
            </w:r>
          </w:p>
        </w:tc>
        <w:tc>
          <w:tcPr>
            <w:tcW w:w="102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176.00</w:t>
            </w:r>
          </w:p>
        </w:tc>
        <w:tc>
          <w:tcPr>
            <w:tcW w:w="94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161.41</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Composite Index</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99.10</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103.47</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107.01</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112.14</w:t>
            </w:r>
          </w:p>
        </w:tc>
        <w:tc>
          <w:tcPr>
            <w:tcW w:w="102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115.23</w:t>
            </w:r>
          </w:p>
        </w:tc>
        <w:tc>
          <w:tcPr>
            <w:tcW w:w="94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114.45</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Computer Index</w:t>
            </w:r>
          </w:p>
        </w:tc>
        <w:tc>
          <w:tcPr>
            <w:tcW w:w="9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100.08</w:t>
            </w:r>
          </w:p>
        </w:tc>
        <w:tc>
          <w:tcPr>
            <w:tcW w:w="10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106.06</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111.18</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116.76</w:t>
            </w:r>
          </w:p>
        </w:tc>
        <w:tc>
          <w:tcPr>
            <w:tcW w:w="102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121.21</w:t>
            </w:r>
          </w:p>
        </w:tc>
        <w:tc>
          <w:tcPr>
            <w:tcW w:w="94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118.18</w:t>
            </w:r>
          </w:p>
        </w:tc>
        <w:tc>
          <w:tcPr>
            <w:tcW w:w="780" w:type="dxa"/>
            <w:vAlign w:val="bottom"/>
          </w:tcPr>
          <w:p>
            <w:pPr>
              <w:spacing w:after="0"/>
              <w:rPr>
                <w:sz w:val="12"/>
                <w:szCs w:val="12"/>
                <w:color w:val="auto"/>
              </w:rPr>
            </w:pPr>
          </w:p>
        </w:tc>
      </w:tr>
      <w:tr>
        <w:trPr>
          <w:trHeight w:val="601"/>
        </w:trPr>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jc w:val="right"/>
              <w:ind w:right="858"/>
              <w:spacing w:after="0"/>
              <w:rPr>
                <w:sz w:val="20"/>
                <w:szCs w:val="20"/>
                <w:color w:val="auto"/>
              </w:rPr>
            </w:pPr>
            <w:r>
              <w:rPr>
                <w:rFonts w:ascii="Arial" w:cs="Arial" w:eastAsia="Arial" w:hAnsi="Arial"/>
                <w:sz w:val="12"/>
                <w:szCs w:val="12"/>
                <w:color w:val="auto"/>
                <w:w w:val="74"/>
              </w:rPr>
              <w:t>24</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5"/>
        </w:trPr>
        <w:tc>
          <w:tcPr>
            <w:tcW w:w="72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2" w:lineRule="exact"/>
        <w:rPr>
          <w:sz w:val="20"/>
          <w:szCs w:val="20"/>
          <w:color w:val="auto"/>
        </w:rPr>
      </w:pPr>
    </w:p>
    <w:p>
      <w:pPr>
        <w:ind w:left="680" w:right="960" w:firstLine="399"/>
        <w:spacing w:after="0" w:line="266" w:lineRule="auto"/>
        <w:rPr>
          <w:sz w:val="20"/>
          <w:szCs w:val="20"/>
          <w:color w:val="auto"/>
        </w:rPr>
      </w:pPr>
      <w:r>
        <w:rPr>
          <w:rFonts w:ascii="Arial" w:cs="Arial" w:eastAsia="Arial" w:hAnsi="Arial"/>
          <w:sz w:val="13"/>
          <w:szCs w:val="13"/>
          <w:color w:val="auto"/>
        </w:rPr>
        <w:t>The following selected financial data should be read in conjunction with our financial statements and related notes and the “Management’s Discussion and Analysis of Financial Condition and Results of Operations” and other financial data included elsewhere in this Form 10-K. The selected statements of operations and the selected balance sheet data are derived from our audited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1"/>
                <w:szCs w:val="11"/>
                <w:b w:val="1"/>
                <w:bCs w:val="1"/>
                <w:color w:val="auto"/>
                <w:w w:val="87"/>
              </w:rPr>
              <w:t>Year Ended December 31,</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2005</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9"/>
              </w:rPr>
              <w:t>thousands,</w:t>
            </w: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2004</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89"/>
              </w:rPr>
              <w:t>2003</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2002</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gridSpan w:val="2"/>
            <w:vMerge w:val="continue"/>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except per</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5"/>
              </w:rPr>
              <w:t>share data)</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Statements of Operations Data:</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Net revenues</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72,406</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54,218</w:t>
            </w:r>
          </w:p>
        </w:tc>
        <w:tc>
          <w:tcPr>
            <w:tcW w:w="6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27,191</w:t>
            </w:r>
          </w:p>
        </w:tc>
        <w:tc>
          <w:tcPr>
            <w:tcW w:w="32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16,550</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8,185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900" w:type="dxa"/>
            <w:vAlign w:val="bottom"/>
            <w:gridSpan w:val="2"/>
          </w:tcPr>
          <w:p>
            <w:pPr>
              <w:ind w:left="120"/>
              <w:spacing w:after="0"/>
              <w:rPr>
                <w:sz w:val="20"/>
                <w:szCs w:val="20"/>
                <w:color w:val="auto"/>
              </w:rPr>
            </w:pPr>
            <w:r>
              <w:rPr>
                <w:rFonts w:ascii="Arial" w:cs="Arial" w:eastAsia="Arial" w:hAnsi="Arial"/>
                <w:sz w:val="13"/>
                <w:szCs w:val="13"/>
                <w:color w:val="auto"/>
                <w:w w:val="90"/>
              </w:rPr>
              <w:t>Cost of services ($3,714, $8,089, $2,610, $9 and $100 were purchased from related parties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4900" w:type="dxa"/>
            <w:vAlign w:val="bottom"/>
            <w:gridSpan w:val="2"/>
          </w:tcPr>
          <w:p>
            <w:pPr>
              <w:ind w:left="260"/>
              <w:spacing w:after="0"/>
              <w:rPr>
                <w:sz w:val="20"/>
                <w:szCs w:val="20"/>
                <w:color w:val="auto"/>
              </w:rPr>
            </w:pPr>
            <w:r>
              <w:rPr>
                <w:rFonts w:ascii="Arial" w:cs="Arial" w:eastAsia="Arial" w:hAnsi="Arial"/>
                <w:sz w:val="13"/>
                <w:szCs w:val="13"/>
                <w:color w:val="auto"/>
              </w:rPr>
              <w:t>during 2006, 2005, 2004, 2003 and 2002, respectively)*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35,643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30,205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17,688</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7,655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3,715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10,474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7,544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4,340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5,169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2,305</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gridSpan w:val="3"/>
          </w:tcPr>
          <w:p>
            <w:pPr>
              <w:ind w:left="680"/>
              <w:spacing w:after="0"/>
              <w:rPr>
                <w:sz w:val="20"/>
                <w:szCs w:val="20"/>
                <w:color w:val="auto"/>
              </w:rPr>
            </w:pPr>
            <w:r>
              <w:rPr>
                <w:rFonts w:ascii="Arial" w:cs="Arial" w:eastAsia="Arial" w:hAnsi="Arial"/>
                <w:sz w:val="13"/>
                <w:szCs w:val="13"/>
                <w:color w:val="auto"/>
              </w:rPr>
              <w:t>Total costs and expenses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27,479</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14,639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(288)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(1,237)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680"/>
              <w:spacing w:after="0"/>
              <w:rPr>
                <w:sz w:val="20"/>
                <w:szCs w:val="20"/>
                <w:color w:val="auto"/>
              </w:rPr>
            </w:pPr>
            <w:r>
              <w:rPr>
                <w:rFonts w:ascii="Arial" w:cs="Arial" w:eastAsia="Arial" w:hAnsi="Arial"/>
                <w:sz w:val="13"/>
                <w:szCs w:val="13"/>
                <w:color w:val="auto"/>
              </w:rPr>
              <w:t>Income (loss) before income tax expense</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17,452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8,600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7"/>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(1,044)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(6,054)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tax (expense) benefit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(7,310)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680"/>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10,142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7"/>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(1,044)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(6,054)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Preferred stock accretion</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680"/>
              <w:spacing w:after="0"/>
              <w:rPr>
                <w:sz w:val="20"/>
                <w:szCs w:val="20"/>
                <w:color w:val="auto"/>
              </w:rPr>
            </w:pPr>
            <w:r>
              <w:rPr>
                <w:rFonts w:ascii="Arial" w:cs="Arial" w:eastAsia="Arial" w:hAnsi="Arial"/>
                <w:sz w:val="13"/>
                <w:szCs w:val="13"/>
                <w:color w:val="auto"/>
              </w:rPr>
              <w:t>Net income (loss) attributable to common stockholders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gridSpan w:val="3"/>
            <w:vMerge w:val="continue"/>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10,142</w:t>
            </w:r>
          </w:p>
        </w:tc>
        <w:tc>
          <w:tcPr>
            <w:tcW w:w="22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12,395</w:t>
            </w:r>
          </w:p>
        </w:tc>
        <w:tc>
          <w:tcPr>
            <w:tcW w:w="60" w:type="dxa"/>
            <w:vAlign w:val="bottom"/>
          </w:tcPr>
          <w:p>
            <w:pPr>
              <w:spacing w:after="0"/>
              <w:rPr>
                <w:sz w:val="14"/>
                <w:szCs w:val="14"/>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7"/>
              <w:spacing w:after="0"/>
              <w:rPr>
                <w:sz w:val="20"/>
                <w:szCs w:val="20"/>
                <w:color w:val="auto"/>
              </w:rPr>
            </w:pPr>
            <w:r>
              <w:rPr>
                <w:rFonts w:ascii="Arial" w:cs="Arial" w:eastAsia="Arial" w:hAnsi="Arial"/>
                <w:sz w:val="13"/>
                <w:szCs w:val="13"/>
                <w:color w:val="auto"/>
              </w:rPr>
              <w:t>(42)</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(1,079)</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(6,089)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 per common share: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0.37</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0.57</w:t>
            </w:r>
          </w:p>
        </w:tc>
        <w:tc>
          <w:tcPr>
            <w:tcW w:w="6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0.00</w:t>
            </w:r>
          </w:p>
        </w:tc>
        <w:tc>
          <w:tcPr>
            <w:tcW w:w="32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(0.11)</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2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00" w:type="dxa"/>
            <w:vAlign w:val="bottom"/>
            <w:gridSpan w:val="3"/>
          </w:tcPr>
          <w:p>
            <w:pPr>
              <w:ind w:left="680"/>
              <w:spacing w:after="0"/>
              <w:rPr>
                <w:sz w:val="20"/>
                <w:szCs w:val="20"/>
                <w:color w:val="auto"/>
              </w:rPr>
            </w:pPr>
            <w:r>
              <w:rPr>
                <w:rFonts w:ascii="Arial" w:cs="Arial" w:eastAsia="Arial" w:hAnsi="Arial"/>
                <w:sz w:val="13"/>
                <w:szCs w:val="13"/>
                <w:color w:val="auto"/>
              </w:rPr>
              <w:t>Weighted-average common shares outstanding: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27,248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10,244</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8,932</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900" w:type="dxa"/>
            <w:vAlign w:val="bottom"/>
            <w:gridSpan w:val="2"/>
          </w:tcPr>
          <w:p>
            <w:pPr>
              <w:ind w:left="40"/>
              <w:spacing w:after="0"/>
              <w:rPr>
                <w:sz w:val="20"/>
                <w:szCs w:val="20"/>
                <w:color w:val="auto"/>
              </w:rPr>
            </w:pPr>
            <w:r>
              <w:rPr>
                <w:rFonts w:ascii="Arial" w:cs="Arial" w:eastAsia="Arial" w:hAnsi="Arial"/>
                <w:sz w:val="13"/>
                <w:szCs w:val="13"/>
                <w:color w:val="auto"/>
                <w:w w:val="98"/>
              </w:rPr>
              <w:t>*  Cost of services excludes depreciation and amortization which is shown separately.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1"/>
                <w:szCs w:val="11"/>
                <w:b w:val="1"/>
                <w:bCs w:val="1"/>
                <w:color w:val="auto"/>
                <w:w w:val="95"/>
              </w:rPr>
              <w:t>As of 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w w:val="97"/>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2004</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89"/>
              </w:rPr>
              <w:t>2003</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2002</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Cash, cash equivalents and marketable securities</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78,952</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16,002</w:t>
            </w:r>
          </w:p>
        </w:tc>
        <w:tc>
          <w:tcPr>
            <w:tcW w:w="6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10,521</w:t>
            </w:r>
          </w:p>
        </w:tc>
        <w:tc>
          <w:tcPr>
            <w:tcW w:w="32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13,556</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16,620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21,774</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8,077</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104,925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40,208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22,784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22,402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22,255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(deficiency)</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95,273</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(4,864)</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(17,916)</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4"/>
              </w:rPr>
              <w:t>(17,783)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3"/>
                <w:szCs w:val="13"/>
                <w:color w:val="auto"/>
                <w:w w:val="82"/>
              </w:rPr>
              <w:t>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You should read the following discussion and analysis in conjunction with the information set forth under “Selected Financial Data” and our financial statements and related notes included elsewhere in this Form 10-K. All numbers are expressed in thousands unless otherwise stated. The statements in this discussion regarding our expectations of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and elsewhere in this Form 10-K. Our actual results may differ materially from those contained in or implied by any forward-looking statements. We expressly disclaim any obligation or undertaking to release publicly any updates or revisions to any forward-looking statement contained herein to reflect any change in our expectations with regard thereto or any change in events, conditions or circumstances on which any such statements are based.</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 leading provider of on-demand multi-channel transaction management solutions to communications service providers (CSPs). We have designed our solution to be flexible across communication services and channels (i.e., e-commerce, CSP stores and other retail outlets, etc.), allowing us to meet the rapidly changing and converging services offered by CSPs. By simplifying technological complexities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 We target complex and high-growth markets including wireless, high speed access (i.e., cable, DSL and wi-max), Voice over Internet Protocol (VoIP), video and also target the bundling of these services (e.g., double, triple and quadruple plays) and their intersection (i.e., video over wireless, IPTV, content activation). Our ActivationNow</w:t>
      </w:r>
      <w:r>
        <w:rPr>
          <w:rFonts w:ascii="Arial" w:cs="Arial" w:eastAsia="Arial" w:hAnsi="Arial"/>
          <w:sz w:val="10"/>
          <w:szCs w:val="10"/>
          <w:color w:val="auto"/>
        </w:rPr>
        <w:t>®</w:t>
      </w:r>
      <w:r>
        <w:rPr>
          <w:rFonts w:ascii="Arial" w:cs="Arial" w:eastAsia="Arial" w:hAnsi="Arial"/>
          <w:sz w:val="12"/>
          <w:szCs w:val="12"/>
          <w:color w:val="auto"/>
        </w:rPr>
        <w:t xml:space="preserve"> platform automates, synchronizes and simplifies electronic order management, activation and provisioning of these services. Our industry-leading customers include Cingular Wireless, Vonage Holdings, Cablevision Systems Corporation, Level 3 Communications, SunRocket, Covad, Verizon Business Solutions, Clearwire, Time Warner Cable, Comcast and AT&amp;T. Our CSP customers use our platform and technology to service both consumer and business customers, including over 300 of the Fortune 500 companies.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8"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We generate a substantial portion of our revenues on a per-transaction basis, most of which is derived from contracts that extend up to 48 months. We have increased our revenues rapidly, growing at a compound annual growth rate of 67% from 2001 to 2006. Over the last three years we have derived an increasing percentage of our revenues from transactions. For 2006, we derived approximately 85% of our revenues from transactions processed; and for 2005, we derived approximately 83% of our revenues from transactions processed. For 2004, we derived approximately 63% of our revenues from transactions processed. The remainder of our revenues were generated by professional services and subscription revenues, which have been decreasing as a percentage of our net revenues. We expect that this trend will continue and that we will derive an increasing percentage of our net revenues from transaction processing in future years.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costs and expenses consist of cost of services, research and development, selling, general and administrative and depreciation and amortization.</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jc w:val="both"/>
        <w:ind w:left="680" w:right="20" w:firstLine="399"/>
        <w:spacing w:after="0" w:line="266" w:lineRule="auto"/>
        <w:rPr>
          <w:sz w:val="20"/>
          <w:szCs w:val="20"/>
          <w:color w:val="auto"/>
        </w:rPr>
      </w:pPr>
      <w:r>
        <w:rPr>
          <w:rFonts w:ascii="Arial" w:cs="Arial" w:eastAsia="Arial" w:hAnsi="Arial"/>
          <w:sz w:val="13"/>
          <w:szCs w:val="13"/>
          <w:color w:val="auto"/>
        </w:rPr>
        <w:t>Research and development expense consists primarily of costs related to personnel, including salaries and other personnel related expense, consulting fees and the costs of facilities, computer and support services used in service and technology development. We also expense costs relating to developing modifications and minor enhancements of our existing technology and services.</w:t>
      </w:r>
    </w:p>
    <w:p>
      <w:pPr>
        <w:spacing w:after="0" w:line="67"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license fees and bad debt expense.</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relates to our property and equipment and includes our network infrastructure and facilities related to our services.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Current Trends Affecting Our Results of Operations</w:t>
      </w:r>
    </w:p>
    <w:p>
      <w:pPr>
        <w:spacing w:after="0" w:line="10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experienced increased demand for our services, which has been driven by market trends such as local number portability, the implementation of new technologies, such as Voice over Internet Protocol, or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the addition of wireless customers and services. In 2004 we began providing local number portability services, and in 2005 and 2006 we further expanded our service offerings into the VoIP markets.</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69"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In 2006, we were able to utilize net operating loss carryforwards from previous years to reduce cash income tax paid for U.S. federal and state income taxes. These carryforwards were reflected as a benefit in our 2005 financial statements. Our effective tax rate could be impacted by changes in the geographic mix of our earnings or the implementation of certain tax strategies.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10-K. Although we believe that our judgments and estimates are appropriate, correct and reasonable under the circumstances, actual results may differ from those estimates.</w:t>
      </w:r>
    </w:p>
    <w:p>
      <w:pPr>
        <w:spacing w:after="0" w:line="5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Deferred Revenue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provide services principally on a transactional basis or, at times, on a fixed fee basis and recognize the revenues as the services are performed or delivered as discussed below:</w:t>
      </w:r>
    </w:p>
    <w:p>
      <w:pPr>
        <w:spacing w:after="0" w:line="109"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Transactional Service Arrangements: </w:t>
      </w:r>
      <w:r>
        <w:rPr>
          <w:rFonts w:ascii="Arial" w:cs="Arial" w:eastAsia="Arial" w:hAnsi="Arial"/>
          <w:sz w:val="13"/>
          <w:szCs w:val="13"/>
          <w:color w:val="auto"/>
        </w:rPr>
        <w:t>Transaction revenues consist of revenues derived from the processing of transactions through our service platform and represented</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85% and 83% of our revenues for the years ended December 31, 2006 and 2005, respectively. Transaction service arrangements include services such as equipment orders, new account set-up, number port requests, credit checks and inventory management.</w:t>
      </w:r>
    </w:p>
    <w:p>
      <w:pPr>
        <w:spacing w:after="0" w:line="67" w:lineRule="exact"/>
        <w:rPr>
          <w:sz w:val="20"/>
          <w:szCs w:val="20"/>
          <w:color w:val="auto"/>
        </w:rPr>
      </w:pPr>
    </w:p>
    <w:p>
      <w:pPr>
        <w:jc w:val="both"/>
        <w:ind w:left="680" w:right="140" w:firstLine="399"/>
        <w:spacing w:after="0" w:line="266" w:lineRule="auto"/>
        <w:rPr>
          <w:sz w:val="20"/>
          <w:szCs w:val="20"/>
          <w:color w:val="auto"/>
        </w:rPr>
      </w:pPr>
      <w:r>
        <w:rPr>
          <w:rFonts w:ascii="Arial" w:cs="Arial" w:eastAsia="Arial" w:hAnsi="Arial"/>
          <w:sz w:val="13"/>
          <w:szCs w:val="13"/>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67"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Many of our contracts guarantee minimum volume transactions from the customer. In these instances, if the customer’s 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55"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 revenues represented approximately 13% and 11% of our revenues for the years ended December 31, 2006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69"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In determining whether professional services can be accounted for separately from transaction service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9" w:lineRule="exact"/>
        <w:rPr>
          <w:sz w:val="20"/>
          <w:szCs w:val="20"/>
          <w:color w:val="auto"/>
        </w:rPr>
      </w:pPr>
    </w:p>
    <w:p>
      <w:pPr>
        <w:ind w:left="680" w:right="54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we would recognize the professional service revenues ratably over the remaining term of the transaction contract. There were no such arrangements for the years ended December 31, 2006 and 2005.</w:t>
      </w:r>
    </w:p>
    <w:p>
      <w:pPr>
        <w:spacing w:after="0" w:line="5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represented approximately 2% and 6% of our revenues for the years ended December 31, 2006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and relate principally to our ActivationNow</w:t>
      </w:r>
      <w:r>
        <w:rPr>
          <w:rFonts w:ascii="Arial" w:cs="Arial" w:eastAsia="Arial" w:hAnsi="Arial"/>
          <w:sz w:val="11"/>
          <w:szCs w:val="11"/>
          <w:color w:val="auto"/>
        </w:rPr>
        <w:t>®</w:t>
      </w:r>
      <w:r>
        <w:rPr>
          <w:rFonts w:ascii="Arial" w:cs="Arial" w:eastAsia="Arial" w:hAnsi="Arial"/>
          <w:sz w:val="13"/>
          <w:szCs w:val="13"/>
          <w:color w:val="auto"/>
        </w:rPr>
        <w:t xml:space="preserve"> platform service which the customer accesses through a graphical user interface. We record revenues on a straight-line basis over the life of the contract for our subscription service contracts.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Level Standards</w:t>
      </w:r>
    </w:p>
    <w:p>
      <w:pPr>
        <w:spacing w:after="0" w:line="102"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Allowance for Doubtful Accounts</w:t>
      </w:r>
    </w:p>
    <w:p>
      <w:pPr>
        <w:spacing w:after="0" w:line="102" w:lineRule="exact"/>
        <w:rPr>
          <w:sz w:val="20"/>
          <w:szCs w:val="20"/>
          <w:color w:val="auto"/>
        </w:rPr>
      </w:pPr>
    </w:p>
    <w:p>
      <w:pPr>
        <w:ind w:left="680" w:right="320" w:firstLine="399"/>
        <w:spacing w:after="0" w:line="279" w:lineRule="auto"/>
        <w:rPr>
          <w:sz w:val="20"/>
          <w:szCs w:val="20"/>
          <w:color w:val="auto"/>
        </w:rPr>
      </w:pPr>
      <w:r>
        <w:rPr>
          <w:rFonts w:ascii="Arial" w:cs="Arial" w:eastAsia="Arial" w:hAnsi="Arial"/>
          <w:sz w:val="13"/>
          <w:szCs w:val="13"/>
          <w:color w:val="auto"/>
        </w:rPr>
        <w:t>We maintain an allowance for doubtful accounts for estimated bad debts resulting from the inability of our customers to make required payments. The amount of the allowance account is based on historical experience and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40"/>
        <w:spacing w:after="0" w:line="299" w:lineRule="auto"/>
        <w:rPr>
          <w:sz w:val="20"/>
          <w:szCs w:val="20"/>
          <w:color w:val="auto"/>
        </w:rPr>
      </w:pPr>
      <w:r>
        <w:rPr>
          <w:rFonts w:ascii="Arial" w:cs="Arial" w:eastAsia="Arial" w:hAnsi="Arial"/>
          <w:sz w:val="12"/>
          <w:szCs w:val="12"/>
          <w:color w:val="auto"/>
        </w:rPr>
        <w:t>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Valuation Allowance</w:t>
      </w:r>
    </w:p>
    <w:p>
      <w:pPr>
        <w:spacing w:after="0" w:line="102"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We record a valuation allowance on our deferred tax assets when it is more likely than not that an asset will not be realized. Determining when we will recognize our deferred tax assets is a matter of judgment based on facts and circumstances. We determined that it was appropriate to record our deferred tax assets at full value for 2006, as well as during the fourth quarter of 2005, based on our recent cumulative earnings history and our expected future earnings. However, if there were a significant change in facts, such as a loss of a significant customer, we may determine that a valuation allowance is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Adoption of SFAS No. 123(R)</w:t>
      </w:r>
    </w:p>
    <w:p>
      <w:pPr>
        <w:spacing w:after="0" w:line="102"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 xml:space="preserve">Effective January 1, 2006, we adopted Statement of Financial Accounting Standards (“SFAS”) No.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(“SFAS 123(R)”), which requires compensation costs related to share-based transactions, including employee stock options, to be recognized in the financial statements based on fair value. SFAS 123(R) revises SFAS No. 123, as amended,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(“SFAS 123”), and supersedes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(“APB 25”). We adopted SFAS 123(R) using the prospective method. Under this method, compensation cost is recognized pursuant to SFAS 123(R) for all share-based payments granted subsequent to December 31, 2005. Prior to January 1, 2006, we used the minimum value method to determine values of our pro forma stock-based compensation disclosures.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2"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As of December 31, 2006, we maintain two stock-based compensation plans, which are described more fully in Note 8 to the financial statements. Prior to January 1, 2006, we accounted for our stock-based compensation plan under the recognition and measurement provisions of APB 25 and related interpretations, as permitted by SFAS 123. Stock-based employee compensation cost was recognized in the statement of operations for 2005 to the extent options granted under the plan had an exercise price that was less than the fair market value of the underlying common stock on the date of grant. Under the prospective transition method, compensation cost recognized for all share-based payments granted subsequent to January 1, 2006 is based on the grant-date fair value estimated in accordance with the provisions of SFAS 123(R). Compensation expense also includes the amortization of the intrinsic values of the stock options granted prior to 2006 calculated in accordance with APB 25. Results for prior periods have not been restated. As a result of adopting SFAS 123(R) on January 1, 2006, approximately $0.9 million relating to stock-based employee compensation cost for stock options and restricted stock awards is reflected in net income for the year ended December 31, 2006.</w:t>
      </w:r>
    </w:p>
    <w:p>
      <w:pPr>
        <w:spacing w:after="0" w:line="74"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Prior to the adoption of SFAS 123(R), we presented our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6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Upon adoption of SFAS 123(R), we selected the Black-Scholes option pricing model as the most appropriate model for determining the estimated fair value for stock-based awards. For the years ended December 31, 2005 and 2004, we accounted for our employee stock-based compensation in accordance with the provisions of APB 25 and related interpretations, which required us to recognize compensation cost for the excess of the fair value of the stock at the grant date over the exercise price, if any, and to recognize that cost over the vesting periods of the option. The fair value of stock option awards subsequent to December 31, 2005 is amortized on a straight-line basis over the requisite service periods of the awards, which is currently the vesting period. Use of a valuation model requires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spacing w:after="0" w:line="284" w:lineRule="auto"/>
        <w:rPr>
          <w:sz w:val="20"/>
          <w:szCs w:val="20"/>
          <w:color w:val="auto"/>
        </w:rPr>
      </w:pPr>
      <w:r>
        <w:rPr>
          <w:rFonts w:ascii="Arial" w:cs="Arial" w:eastAsia="Arial" w:hAnsi="Arial"/>
          <w:sz w:val="12"/>
          <w:szCs w:val="12"/>
          <w:color w:val="auto"/>
        </w:rPr>
        <w:t xml:space="preserve">management to make certain assumptions with respect to selected model inputs. Expected volatility was calculated based on a blended weighted-average of historical information of our stock and the weighted average of historical information of similar public entities for which historical information was available. We will continue to use a blended weighted average approach using our own historical volatility and other similar public entity volatility information until our historical volatility is relevant to measure expected volatility for future option grants. The average expected life was determined according to the SEC shortcut approach as described in Staff Accounting Bulletin (“SAB”) 107, </w:t>
      </w:r>
      <w:r>
        <w:rPr>
          <w:rFonts w:ascii="Arial" w:cs="Arial" w:eastAsia="Arial" w:hAnsi="Arial"/>
          <w:sz w:val="12"/>
          <w:szCs w:val="12"/>
          <w:i w:val="1"/>
          <w:iCs w:val="1"/>
          <w:color w:val="auto"/>
        </w:rPr>
        <w:t>Disclosure about Fair Value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Instruments</w:t>
      </w:r>
      <w:r>
        <w:rPr>
          <w:rFonts w:ascii="Arial" w:cs="Arial" w:eastAsia="Arial" w:hAnsi="Arial"/>
          <w:sz w:val="12"/>
          <w:szCs w:val="12"/>
          <w:color w:val="auto"/>
        </w:rPr>
        <w:t>, which is the mid-point between the vesting date and the end of the contractual term. The risk-free interest rate is based on U.S. Treasury zero-coupon issues with a remaining</w:t>
      </w:r>
      <w:r>
        <w:rPr>
          <w:rFonts w:ascii="Arial" w:cs="Arial" w:eastAsia="Arial" w:hAnsi="Arial"/>
          <w:sz w:val="12"/>
          <w:szCs w:val="12"/>
          <w:i w:val="1"/>
          <w:iCs w:val="1"/>
          <w:color w:val="auto"/>
        </w:rPr>
        <w:t xml:space="preserve"> </w:t>
      </w:r>
      <w:r>
        <w:rPr>
          <w:rFonts w:ascii="Arial" w:cs="Arial" w:eastAsia="Arial" w:hAnsi="Arial"/>
          <w:sz w:val="12"/>
          <w:szCs w:val="12"/>
          <w:color w:val="auto"/>
        </w:rPr>
        <w:t>term equal to the expected life assumed at the date of grant. Forfeitures are estimated based on voluntary termination behavior, as well as a historical analysis of actual option forfeitures.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weighted-average assumptions used in the Black-Scholes option pricing model are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1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3"/>
                <w:szCs w:val="13"/>
                <w:color w:val="auto"/>
              </w:rPr>
              <w:t>Expected stock price volatility</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The weighted-average fair value (as of the date of grant) of the options granted during the year ended December 31, 2006 was $4.71. In 2006 we granted members of our board of directors and certain employees stock options. The total stock-based compensation cost related to non-vested stock options, non-vested restricted stock and stock option awards not yet recognized as of December 31, 2006 was approximately $4.5 million.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the Year ended December 31, 2005</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2006 and 2005.</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1"/>
                <w:szCs w:val="11"/>
                <w:b w:val="1"/>
                <w:bCs w:val="1"/>
                <w:color w:val="auto"/>
                <w:w w:val="93"/>
              </w:rPr>
              <w:t>Year Ended December 31,</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2006</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2005</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1"/>
                <w:szCs w:val="11"/>
                <w:b w:val="1"/>
                <w:bCs w:val="1"/>
                <w:color w:val="auto"/>
              </w:rPr>
              <w:t>2006 vs. 2005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82"/>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8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right"/>
              <w:ind w:right="196"/>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ind w:right="21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thousands)</w:t>
            </w: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7"/>
              <w:spacing w:after="0" w:line="99" w:lineRule="exact"/>
              <w:rPr>
                <w:sz w:val="20"/>
                <w:szCs w:val="20"/>
                <w:color w:val="auto"/>
              </w:rPr>
            </w:pPr>
            <w:r>
              <w:rPr>
                <w:rFonts w:ascii="Arial" w:cs="Arial" w:eastAsia="Arial" w:hAnsi="Arial"/>
                <w:sz w:val="11"/>
                <w:szCs w:val="11"/>
                <w:b w:val="1"/>
                <w:bCs w:val="1"/>
                <w:color w:val="auto"/>
                <w:w w:val="93"/>
              </w:rPr>
              <w:t>% Change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72,406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3"/>
                <w:szCs w:val="13"/>
                <w:color w:val="auto"/>
                <w:w w:val="93"/>
              </w:rPr>
              <w:t>Cost of services ($3,714 and $8,089 were purchased from a related party in 2006</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gridSpan w:val="2"/>
          </w:tcPr>
          <w:p>
            <w:pPr>
              <w:ind w:left="120"/>
              <w:spacing w:after="0"/>
              <w:rPr>
                <w:sz w:val="20"/>
                <w:szCs w:val="20"/>
                <w:color w:val="auto"/>
              </w:rPr>
            </w:pPr>
            <w:r>
              <w:rPr>
                <w:rFonts w:ascii="Arial" w:cs="Arial" w:eastAsia="Arial" w:hAnsi="Arial"/>
                <w:sz w:val="13"/>
                <w:szCs w:val="13"/>
                <w:color w:val="auto"/>
              </w:rPr>
              <w:t>and 2005, respectively)*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35,643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49.2%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30,205</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55.7%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5,438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10,474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7,544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2,930</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57,110</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45,743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84.4%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11,367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from operations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Cost of services excludes depreciation and amortization which is shown separately.</w:t>
      </w:r>
    </w:p>
    <w:p>
      <w:pPr>
        <w:spacing w:after="0" w:line="98"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revenues increased $18.2 million to $72.4 million for 2006, compared to 2005. This increase includes the following: $11.5 million of additional revenues from</w:t>
      </w:r>
      <w:r>
        <w:rPr>
          <w:rFonts w:ascii="Arial" w:cs="Arial" w:eastAsia="Arial" w:hAnsi="Arial"/>
          <w:sz w:val="13"/>
          <w:szCs w:val="13"/>
          <w:i w:val="1"/>
          <w:iCs w:val="1"/>
          <w:color w:val="auto"/>
        </w:rPr>
        <w:t xml:space="preserve"> </w:t>
      </w:r>
      <w:r>
        <w:rPr>
          <w:rFonts w:ascii="Arial" w:cs="Arial" w:eastAsia="Arial" w:hAnsi="Arial"/>
          <w:sz w:val="13"/>
          <w:szCs w:val="13"/>
          <w:color w:val="auto"/>
        </w:rPr>
        <w:t>existing customers and $6.7 million related to additional revenues generated by new CSP customers added since 2005. Net revenues from our wireless customer increased to $47.2 million from $43.3 million for 2005. LNP and VoIP transactions accounted for $24.4 million of our revenues during 2006, as compared to $9.0 million for 2005. These additional revenues were offset by decreases in revenues from wireline customers. Transaction revenues recognized for the year ended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340"/>
        <w:spacing w:after="0" w:line="279" w:lineRule="auto"/>
        <w:rPr>
          <w:sz w:val="20"/>
          <w:szCs w:val="20"/>
          <w:color w:val="auto"/>
        </w:rPr>
      </w:pPr>
      <w:r>
        <w:rPr>
          <w:rFonts w:ascii="Arial" w:cs="Arial" w:eastAsia="Arial" w:hAnsi="Arial"/>
          <w:sz w:val="13"/>
          <w:szCs w:val="13"/>
          <w:color w:val="auto"/>
        </w:rPr>
        <w:t>December 31, 2006 represented 85% of net revenues compared to 83% for the same period in 2005. The increase in transaction revenues of $16.8 million was partially offset by some decreases in subscription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increased $5.4 million to $35.6 million during 2006, compared to 2005, due primarily to the growth in personnel costs and third-party consulting</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costs required to support higher transaction volumes submitted to us by our customers. In particular, personnel and related costs increased $1.4 million and third-party consulting services costs increased $2.1 to manage exception handling. Telecommunication expense in our data facilities contributed approximately $0.8 million to the increase in cost of services. In addition, stock-based compensation expense increased $0.3 million due to the adoption of SFAS 123(R). Also, additional repairs and maintenance expense in our data facilities contributed approximately $0.3 million to the increase in cost of services. Cost of services as a percentage of revenues decreased to 49.2% for year ended December 31, 2006, as compared to 55.7% for the same period in 2005. The benefits and efficiencies gained by increased automation rates in both existing and new customers as compared to the prior year is the primary cause for our lower costs as a percentage of revenues.</w:t>
      </w:r>
    </w:p>
    <w:p>
      <w:pPr>
        <w:spacing w:after="0" w:line="71"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increased $2.0 million to $7.7 million for 2006, compared to 2005, due to the continued investment in and further</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of the ActivationNow</w:t>
      </w:r>
      <w:r>
        <w:rPr>
          <w:rFonts w:ascii="Arial" w:cs="Arial" w:eastAsia="Arial" w:hAnsi="Arial"/>
          <w:sz w:val="11"/>
          <w:szCs w:val="11"/>
          <w:color w:val="auto"/>
        </w:rPr>
        <w:t>®</w:t>
      </w:r>
      <w:r>
        <w:rPr>
          <w:rFonts w:ascii="Arial" w:cs="Arial" w:eastAsia="Arial" w:hAnsi="Arial"/>
          <w:sz w:val="13"/>
          <w:szCs w:val="13"/>
          <w:color w:val="auto"/>
        </w:rPr>
        <w:t xml:space="preserve"> platform to enhance our service offerings, particularly regarding VoIP services and increases in automation that have continued to allow us to gain operational efficiencies. Research and development expense as a percentage of revenues increased to 10.6% for the year ended December 31, 2006, as compared to 10.5% for the same period in 2005.</w:t>
      </w:r>
    </w:p>
    <w:p>
      <w:pPr>
        <w:spacing w:after="0" w:line="69" w:lineRule="exact"/>
        <w:rPr>
          <w:sz w:val="20"/>
          <w:szCs w:val="20"/>
          <w:color w:val="auto"/>
        </w:rPr>
      </w:pPr>
    </w:p>
    <w:p>
      <w:pPr>
        <w:jc w:val="both"/>
        <w:ind w:left="680" w:right="80" w:firstLine="399"/>
        <w:spacing w:after="0" w:line="287" w:lineRule="auto"/>
        <w:rPr>
          <w:sz w:val="20"/>
          <w:szCs w:val="20"/>
          <w:color w:val="auto"/>
        </w:rPr>
      </w:pPr>
      <w:r>
        <w:rPr>
          <w:rFonts w:ascii="Arial" w:cs="Arial" w:eastAsia="Arial" w:hAnsi="Arial"/>
          <w:sz w:val="12"/>
          <w:szCs w:val="12"/>
          <w:i w:val="1"/>
          <w:iCs w:val="1"/>
          <w:color w:val="auto"/>
        </w:rPr>
        <w:t xml:space="preserve">Selling, General and Administrative. </w:t>
      </w:r>
      <w:r>
        <w:rPr>
          <w:rFonts w:ascii="Arial" w:cs="Arial" w:eastAsia="Arial" w:hAnsi="Arial"/>
          <w:sz w:val="12"/>
          <w:szCs w:val="12"/>
          <w:color w:val="auto"/>
        </w:rPr>
        <w:t>Selling, general and administrative expense increased $2.9 million to $10.5 million for 2006, compared to 2005, due to increases in personnel</w:t>
      </w:r>
      <w:r>
        <w:rPr>
          <w:rFonts w:ascii="Arial" w:cs="Arial" w:eastAsia="Arial" w:hAnsi="Arial"/>
          <w:sz w:val="12"/>
          <w:szCs w:val="12"/>
          <w:i w:val="1"/>
          <w:iCs w:val="1"/>
          <w:color w:val="auto"/>
        </w:rPr>
        <w:t xml:space="preserve"> </w:t>
      </w:r>
      <w:r>
        <w:rPr>
          <w:rFonts w:ascii="Arial" w:cs="Arial" w:eastAsia="Arial" w:hAnsi="Arial"/>
          <w:sz w:val="12"/>
          <w:szCs w:val="12"/>
          <w:color w:val="auto"/>
        </w:rPr>
        <w:t>and related costs totaling $0.9 million as a result of the growth of our sales force, and increased expenses of $0.9 million associated with being a public company. In addition, stock-based compensation expense increased $0.4 million due to the adoption of SFAS 123(R). Selling, general and administrative expense as a percentage of revenues increased to 14.5% for the year ended December 31, 2006, as compared to 13.9% for the same period in 2005. We anticipate that our selling, general and administrative expenses will increase on an absolute basis in the future as we incur public company costs and make continued investments in sales and marketing.</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increased $1.0 million to $3.3 million due to recent fixed asset additions.</w:t>
      </w:r>
    </w:p>
    <w:p>
      <w:pPr>
        <w:spacing w:after="0" w:line="9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41.9% during the year ended December 31, 2006. The increase in the effective rate is primarily due to the reversal of our</w:t>
      </w:r>
      <w:r>
        <w:rPr>
          <w:rFonts w:ascii="Arial" w:cs="Arial" w:eastAsia="Arial" w:hAnsi="Arial"/>
          <w:sz w:val="13"/>
          <w:szCs w:val="13"/>
          <w:i w:val="1"/>
          <w:iCs w:val="1"/>
          <w:color w:val="auto"/>
        </w:rPr>
        <w:t xml:space="preserve"> </w:t>
      </w:r>
      <w:r>
        <w:rPr>
          <w:rFonts w:ascii="Arial" w:cs="Arial" w:eastAsia="Arial" w:hAnsi="Arial"/>
          <w:sz w:val="13"/>
          <w:szCs w:val="13"/>
          <w:color w:val="auto"/>
        </w:rPr>
        <w:t>deferred tax asset valuation allowance, which occurred during the fourth quarter of 2005. During year ended December 31, 2006, we recognized approximately $7.3 million in related tax expense, as compared to a related tax benefit of approximately $3.8 million for the same period in 2005.</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2005, compared to the Year ended December 31, 2004</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2005 and 2004.</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207"/>
              <w:spacing w:after="0"/>
              <w:rPr>
                <w:sz w:val="20"/>
                <w:szCs w:val="20"/>
                <w:color w:val="auto"/>
              </w:rPr>
            </w:pPr>
            <w:r>
              <w:rPr>
                <w:rFonts w:ascii="Arial" w:cs="Arial" w:eastAsia="Arial" w:hAnsi="Arial"/>
                <w:sz w:val="11"/>
                <w:szCs w:val="11"/>
                <w:b w:val="1"/>
                <w:bCs w:val="1"/>
                <w:color w:val="auto"/>
                <w:w w:val="93"/>
              </w:rPr>
              <w:t>Year Ended December 31,</w:t>
            </w: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2005</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line="99" w:lineRule="exact"/>
              <w:rPr>
                <w:sz w:val="20"/>
                <w:szCs w:val="20"/>
                <w:color w:val="auto"/>
              </w:rPr>
            </w:pPr>
            <w:r>
              <w:rPr>
                <w:rFonts w:ascii="Arial" w:cs="Arial" w:eastAsia="Arial" w:hAnsi="Arial"/>
                <w:sz w:val="11"/>
                <w:szCs w:val="11"/>
                <w:b w:val="1"/>
                <w:bCs w:val="1"/>
                <w:color w:val="auto"/>
              </w:rPr>
              <w:t>2004</w:t>
            </w: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restart"/>
          </w:tcPr>
          <w:p>
            <w:pPr>
              <w:jc w:val="right"/>
              <w:ind w:right="620"/>
              <w:spacing w:after="0"/>
              <w:rPr>
                <w:sz w:val="20"/>
                <w:szCs w:val="20"/>
                <w:color w:val="auto"/>
              </w:rPr>
            </w:pPr>
            <w:r>
              <w:rPr>
                <w:rFonts w:ascii="Arial" w:cs="Arial" w:eastAsia="Arial" w:hAnsi="Arial"/>
                <w:sz w:val="11"/>
                <w:szCs w:val="11"/>
                <w:b w:val="1"/>
                <w:bCs w:val="1"/>
                <w:color w:val="auto"/>
              </w:rPr>
              <w:t>2005 vs. 2004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4"/>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4"/>
              </w:rPr>
              <w:t>% of</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96"/>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50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w w:val="82"/>
              </w:rPr>
              <w:t>Revenue</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217"/>
              <w:spacing w:after="0" w:line="99"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w w:val="87"/>
              </w:rPr>
              <w:t>Revenue</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
              <w:spacing w:after="0" w:line="99" w:lineRule="exact"/>
              <w:rPr>
                <w:sz w:val="20"/>
                <w:szCs w:val="20"/>
                <w:color w:val="auto"/>
              </w:rPr>
            </w:pPr>
            <w:r>
              <w:rPr>
                <w:rFonts w:ascii="Arial" w:cs="Arial" w:eastAsia="Arial" w:hAnsi="Arial"/>
                <w:sz w:val="11"/>
                <w:szCs w:val="11"/>
                <w:b w:val="1"/>
                <w:bCs w:val="1"/>
                <w:color w:val="auto"/>
                <w:w w:val="93"/>
              </w:rPr>
              <w:t>% Change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thousands)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27,191</w:t>
            </w:r>
          </w:p>
        </w:tc>
        <w:tc>
          <w:tcPr>
            <w:tcW w:w="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27,027</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49"/>
        </w:trPr>
        <w:tc>
          <w:tcPr>
            <w:tcW w:w="4200" w:type="dxa"/>
            <w:vAlign w:val="bottom"/>
            <w:gridSpan w:val="3"/>
          </w:tcPr>
          <w:p>
            <w:pPr>
              <w:spacing w:after="0"/>
              <w:rPr>
                <w:sz w:val="20"/>
                <w:szCs w:val="20"/>
                <w:color w:val="auto"/>
              </w:rPr>
            </w:pPr>
            <w:r>
              <w:rPr>
                <w:rFonts w:ascii="Arial" w:cs="Arial" w:eastAsia="Arial" w:hAnsi="Arial"/>
                <w:sz w:val="13"/>
                <w:szCs w:val="13"/>
                <w:color w:val="auto"/>
                <w:w w:val="96"/>
              </w:rPr>
              <w:t>Cost of services ($8,089 and $2,610 were purchased from a related party in</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80" w:type="dxa"/>
            <w:vAlign w:val="bottom"/>
            <w:gridSpan w:val="2"/>
          </w:tcPr>
          <w:p>
            <w:pPr>
              <w:ind w:left="120"/>
              <w:spacing w:after="0"/>
              <w:rPr>
                <w:sz w:val="20"/>
                <w:szCs w:val="20"/>
                <w:color w:val="auto"/>
              </w:rPr>
            </w:pPr>
            <w:r>
              <w:rPr>
                <w:rFonts w:ascii="Arial" w:cs="Arial" w:eastAsia="Arial" w:hAnsi="Arial"/>
                <w:sz w:val="13"/>
                <w:szCs w:val="13"/>
                <w:color w:val="auto"/>
              </w:rPr>
              <w:t>2005 and 2004, respectively)*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30,205</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55.7%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17,688</w:t>
            </w:r>
          </w:p>
        </w:tc>
        <w:tc>
          <w:tcPr>
            <w:tcW w:w="4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65.1%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12,517</w:t>
            </w:r>
          </w:p>
        </w:tc>
        <w:tc>
          <w:tcPr>
            <w:tcW w:w="1120" w:type="dxa"/>
            <w:vAlign w:val="bottom"/>
            <w:gridSpan w:val="3"/>
          </w:tcPr>
          <w:p>
            <w:pPr>
              <w:jc w:val="right"/>
              <w:ind w:right="2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7,544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4,340</w:t>
            </w:r>
          </w:p>
        </w:tc>
        <w:tc>
          <w:tcPr>
            <w:tcW w:w="40" w:type="dxa"/>
            <w:vAlign w:val="bottom"/>
          </w:tcPr>
          <w:p>
            <w:pPr>
              <w:spacing w:after="0"/>
              <w:rPr>
                <w:sz w:val="13"/>
                <w:szCs w:val="13"/>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16.0%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3,204</w:t>
            </w:r>
          </w:p>
        </w:tc>
        <w:tc>
          <w:tcPr>
            <w:tcW w:w="1120" w:type="dxa"/>
            <w:vAlign w:val="bottom"/>
            <w:gridSpan w:val="3"/>
          </w:tcPr>
          <w:p>
            <w:pPr>
              <w:jc w:val="right"/>
              <w:ind w:right="20"/>
              <w:spacing w:after="0"/>
              <w:rPr>
                <w:sz w:val="20"/>
                <w:szCs w:val="20"/>
                <w:color w:val="auto"/>
              </w:rPr>
            </w:pPr>
            <w:r>
              <w:rPr>
                <w:rFonts w:ascii="Arial" w:cs="Arial" w:eastAsia="Arial" w:hAnsi="Arial"/>
                <w:sz w:val="13"/>
                <w:szCs w:val="13"/>
                <w:color w:val="auto"/>
              </w:rPr>
              <w:t>73.8%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45,743</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84.4%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27,479</w:t>
            </w:r>
          </w:p>
        </w:tc>
        <w:tc>
          <w:tcPr>
            <w:tcW w:w="40" w:type="dxa"/>
            <w:vAlign w:val="bottom"/>
          </w:tcPr>
          <w:p>
            <w:pPr>
              <w:spacing w:after="0"/>
              <w:rPr>
                <w:sz w:val="13"/>
                <w:szCs w:val="13"/>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101.1%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18,264</w:t>
            </w:r>
          </w:p>
        </w:tc>
        <w:tc>
          <w:tcPr>
            <w:tcW w:w="1120" w:type="dxa"/>
            <w:vAlign w:val="bottom"/>
            <w:gridSpan w:val="3"/>
          </w:tcPr>
          <w:p>
            <w:pPr>
              <w:jc w:val="right"/>
              <w:ind w:right="2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(loss) from operations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8,763</w:t>
            </w:r>
          </w:p>
        </w:tc>
        <w:tc>
          <w:tcPr>
            <w:tcW w:w="4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0" w:hanging="171"/>
        <w:spacing w:after="0"/>
        <w:tabs>
          <w:tab w:leader="none" w:pos="10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Cost of services excludes depreciation and amortization which is shown separately.</w:t>
      </w:r>
    </w:p>
    <w:p>
      <w:pPr>
        <w:spacing w:after="0" w:line="48" w:lineRule="exact"/>
        <w:rPr>
          <w:rFonts w:ascii="Arial" w:cs="Arial" w:eastAsia="Arial" w:hAnsi="Arial"/>
          <w:sz w:val="13"/>
          <w:szCs w:val="13"/>
          <w:color w:val="auto"/>
        </w:rPr>
      </w:pPr>
    </w:p>
    <w:p>
      <w:pPr>
        <w:ind w:left="1000" w:hanging="237"/>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98" w:lineRule="exact"/>
        <w:rPr>
          <w:sz w:val="20"/>
          <w:szCs w:val="20"/>
          <w:color w:val="auto"/>
        </w:rPr>
      </w:pPr>
    </w:p>
    <w:p>
      <w:pPr>
        <w:ind w:left="680" w:right="120" w:firstLine="399"/>
        <w:spacing w:after="0" w:line="259"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revenues increased $27.0 million to $54.2 million for 2005, compared to 2004. This increase was made up of the following: $24.0 million of additional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from our existing customer base and $3.0 million of additional revenues generated by new CSP customers. The increase in revenues for 2005 was primarily related to the additional transaction revenues recognized in the period. Transaction revenues recognized for the year represented 83% of net revenues, compared to 63% for the same period in 2004. In 2005, we expanded our transaction types to include LNP and VoIP transactions; the increases in these areas have added $5.6 million and $2.9 million in revenues, respectively. We also began processing additional wireless transactions; these transactions accounted for $20.4 million in additional revenues for 2005 partially offset by a $1.9 million decrease in wireline revenue from 2004.</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100" w:firstLine="399"/>
        <w:spacing w:after="0" w:line="284" w:lineRule="auto"/>
        <w:rPr>
          <w:sz w:val="20"/>
          <w:szCs w:val="20"/>
          <w:color w:val="auto"/>
        </w:rPr>
      </w:pPr>
      <w:r>
        <w:rPr>
          <w:rFonts w:ascii="Arial" w:cs="Arial" w:eastAsia="Arial" w:hAnsi="Arial"/>
          <w:sz w:val="12"/>
          <w:szCs w:val="12"/>
          <w:i w:val="1"/>
          <w:iCs w:val="1"/>
          <w:color w:val="auto"/>
        </w:rPr>
        <w:t xml:space="preserve">Cost of Services. </w:t>
      </w:r>
      <w:r>
        <w:rPr>
          <w:rFonts w:ascii="Arial" w:cs="Arial" w:eastAsia="Arial" w:hAnsi="Arial"/>
          <w:sz w:val="12"/>
          <w:szCs w:val="12"/>
          <w:color w:val="auto"/>
        </w:rPr>
        <w:t>Cost of service increased $12.5 million to $30.2 million for 2005, as compared to 2004, due to growth in third-party costs required to support higher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volumes submitted to us by our customers and due to increases in personnel and related costs. In particular, third-party costs increased $9.6 million to manage exception handling. Approximately $5.9 million of the increase in third-party costs was due to services provided from a related party. Also, additional personnel and employee related expense in our managed data facility, service implementation and customer deployment areas contributed $1.0 million to the increase in cost of services as well. Cost of services as a percentage of revenues decreased to 55.7% for 2005, as compared to 65.1% for 2004. This decrease in cost of services as a percentage of revenues is attributable to operating efficiencies, which has allowed us to increase the number of transactions we processed without proportional increases in personnel costs.</w:t>
      </w:r>
    </w:p>
    <w:p>
      <w:pPr>
        <w:spacing w:after="0" w:line="58" w:lineRule="exact"/>
        <w:rPr>
          <w:sz w:val="20"/>
          <w:szCs w:val="20"/>
          <w:color w:val="auto"/>
        </w:rPr>
      </w:pPr>
    </w:p>
    <w:p>
      <w:pPr>
        <w:ind w:left="680" w:right="380" w:firstLine="399"/>
        <w:spacing w:after="0" w:line="26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increased $2.4 million to $5.7 million for 2005, as compared to 2004, due to the further development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ActivationNow </w:t>
      </w:r>
      <w:r>
        <w:rPr>
          <w:rFonts w:ascii="Arial" w:cs="Arial" w:eastAsia="Arial" w:hAnsi="Arial"/>
          <w:sz w:val="11"/>
          <w:szCs w:val="11"/>
          <w:color w:val="auto"/>
        </w:rPr>
        <w:t>®</w:t>
      </w:r>
      <w:r>
        <w:rPr>
          <w:rFonts w:ascii="Arial" w:cs="Arial" w:eastAsia="Arial" w:hAnsi="Arial"/>
          <w:sz w:val="13"/>
          <w:szCs w:val="13"/>
          <w:color w:val="auto"/>
        </w:rPr>
        <w:t xml:space="preserve"> platform to enhance our service offerings and increases in automation that have allowed us to gain operational efficiencies. Research and development expense as a percentage of revenues decreased to 10.5% for 2005, as compared to 12.2% for 2004.</w:t>
      </w:r>
    </w:p>
    <w:p>
      <w:pPr>
        <w:spacing w:after="0" w:line="67"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$3.2 million to $7.5 million for 2005, as compared to 2004, due to increases in personnel</w:t>
      </w:r>
      <w:r>
        <w:rPr>
          <w:rFonts w:ascii="Arial" w:cs="Arial" w:eastAsia="Arial" w:hAnsi="Arial"/>
          <w:sz w:val="13"/>
          <w:szCs w:val="13"/>
          <w:i w:val="1"/>
          <w:iCs w:val="1"/>
          <w:color w:val="auto"/>
        </w:rPr>
        <w:t xml:space="preserve"> </w:t>
      </w:r>
      <w:r>
        <w:rPr>
          <w:rFonts w:ascii="Arial" w:cs="Arial" w:eastAsia="Arial" w:hAnsi="Arial"/>
          <w:sz w:val="13"/>
          <w:szCs w:val="13"/>
          <w:color w:val="auto"/>
        </w:rPr>
        <w:t>and related costs totaling $1.9 million. These costs were attributable to increases in the sales and marketing staff and increases in incentive compensation. Selling, general and administrative expense as a percentage of revenues decreased to 13.9% for 2005, as compared to 16% for 2004.</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increased $0.2 million to $2.3 million due to fixed asset additions in 2005.</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i w:val="1"/>
          <w:iCs w:val="1"/>
          <w:color w:val="auto"/>
        </w:rPr>
        <w:t xml:space="preserve">Income Tax. </w:t>
      </w:r>
      <w:r>
        <w:rPr>
          <w:rFonts w:ascii="Arial" w:cs="Arial" w:eastAsia="Arial" w:hAnsi="Arial"/>
          <w:sz w:val="12"/>
          <w:szCs w:val="12"/>
          <w:color w:val="auto"/>
        </w:rPr>
        <w:t>In years prior to 2005, we recorded a full valuation allowance for temporary differences, as we believed it was more likely than not that our deferred tax assets would</w:t>
      </w:r>
      <w:r>
        <w:rPr>
          <w:rFonts w:ascii="Arial" w:cs="Arial" w:eastAsia="Arial" w:hAnsi="Arial"/>
          <w:sz w:val="12"/>
          <w:szCs w:val="12"/>
          <w:i w:val="1"/>
          <w:iCs w:val="1"/>
          <w:color w:val="auto"/>
        </w:rPr>
        <w:t xml:space="preserve"> </w:t>
      </w:r>
      <w:r>
        <w:rPr>
          <w:rFonts w:ascii="Arial" w:cs="Arial" w:eastAsia="Arial" w:hAnsi="Arial"/>
          <w:sz w:val="12"/>
          <w:szCs w:val="12"/>
          <w:color w:val="auto"/>
        </w:rPr>
        <w:t>not be realized. During 2005, we generated substantial taxable income and expect to continue to generate taxable income for the foreseeable future. As such, we determined that it was more likely than not that we would realize our future tax benefits and reduced the valuation allowance to zero during the fourth quarter of 2005. The effect of this reduction was an increase in net income of $4.6 million. This income tax benefit was offset by our income tax provision of $0.8 million. We did not need to provide for income taxes in 2004.</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Quarterly Results of Operations</w:t>
      </w:r>
    </w:p>
    <w:p>
      <w:pPr>
        <w:spacing w:after="0" w:line="102"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color w:val="auto"/>
        </w:rPr>
        <w:t>The following tables set forth our statements of operations data for the eight quarters ended December 31, 2006 and also express the data as a percentage of our net revenues represented by each item. We believe this information has been prepared on the same basis as the audited financial statements appearing elsewhere in this Form 10-K and believe that all necessary adjustments, consisting only of normal recurring adjustments, have been included in the amounts stated below and present fairly the results of such periods when read in conjunction with the audited financial statement and notes thereto.</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2006</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1"/>
                <w:szCs w:val="11"/>
                <w:b w:val="1"/>
                <w:bCs w:val="1"/>
                <w:color w:val="auto"/>
              </w:rPr>
              <w:t>2005</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rPr>
              <w:t>31-Mar</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3"/>
          </w:tcPr>
          <w:p>
            <w:pPr>
              <w:jc w:val="right"/>
              <w:ind w:right="340"/>
              <w:spacing w:after="0" w:line="99" w:lineRule="exact"/>
              <w:rPr>
                <w:sz w:val="20"/>
                <w:szCs w:val="20"/>
                <w:color w:val="auto"/>
              </w:rPr>
            </w:pPr>
            <w:r>
              <w:rPr>
                <w:rFonts w:ascii="Arial" w:cs="Arial" w:eastAsia="Arial" w:hAnsi="Arial"/>
                <w:sz w:val="11"/>
                <w:szCs w:val="11"/>
                <w:b w:val="1"/>
                <w:bCs w:val="1"/>
                <w:color w:val="auto"/>
                <w:w w:val="95"/>
              </w:rPr>
              <w:t>30-Jun</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9" w:lineRule="exact"/>
              <w:rPr>
                <w:sz w:val="20"/>
                <w:szCs w:val="20"/>
                <w:color w:val="auto"/>
              </w:rPr>
            </w:pPr>
            <w:r>
              <w:rPr>
                <w:rFonts w:ascii="Arial" w:cs="Arial" w:eastAsia="Arial" w:hAnsi="Arial"/>
                <w:sz w:val="11"/>
                <w:szCs w:val="11"/>
                <w:b w:val="1"/>
                <w:bCs w:val="1"/>
                <w:color w:val="auto"/>
                <w:w w:val="94"/>
              </w:rPr>
              <w:t>30-Sep</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w w:val="88"/>
              </w:rPr>
              <w:t>31-Dec</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3"/>
          </w:tcPr>
          <w:p>
            <w:pPr>
              <w:jc w:val="right"/>
              <w:ind w:right="240"/>
              <w:spacing w:after="0" w:line="99" w:lineRule="exact"/>
              <w:rPr>
                <w:sz w:val="20"/>
                <w:szCs w:val="20"/>
                <w:color w:val="auto"/>
              </w:rPr>
            </w:pPr>
            <w:r>
              <w:rPr>
                <w:rFonts w:ascii="Arial" w:cs="Arial" w:eastAsia="Arial" w:hAnsi="Arial"/>
                <w:sz w:val="11"/>
                <w:szCs w:val="11"/>
                <w:b w:val="1"/>
                <w:bCs w:val="1"/>
                <w:color w:val="auto"/>
                <w:w w:val="90"/>
              </w:rPr>
              <w:t>31-Mar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4"/>
          </w:tcPr>
          <w:p>
            <w:pPr>
              <w:jc w:val="right"/>
              <w:ind w:right="260"/>
              <w:spacing w:after="0" w:line="99" w:lineRule="exact"/>
              <w:rPr>
                <w:sz w:val="20"/>
                <w:szCs w:val="20"/>
                <w:color w:val="auto"/>
              </w:rPr>
            </w:pPr>
            <w:r>
              <w:rPr>
                <w:rFonts w:ascii="Arial" w:cs="Arial" w:eastAsia="Arial" w:hAnsi="Arial"/>
                <w:sz w:val="11"/>
                <w:szCs w:val="11"/>
                <w:b w:val="1"/>
                <w:bCs w:val="1"/>
                <w:color w:val="auto"/>
                <w:w w:val="90"/>
              </w:rPr>
              <w:t>30-Jun</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4"/>
          </w:tcPr>
          <w:p>
            <w:pPr>
              <w:jc w:val="right"/>
              <w:ind w:right="260"/>
              <w:spacing w:after="0" w:line="99" w:lineRule="exact"/>
              <w:rPr>
                <w:sz w:val="20"/>
                <w:szCs w:val="20"/>
                <w:color w:val="auto"/>
              </w:rPr>
            </w:pPr>
            <w:r>
              <w:rPr>
                <w:rFonts w:ascii="Arial" w:cs="Arial" w:eastAsia="Arial" w:hAnsi="Arial"/>
                <w:sz w:val="11"/>
                <w:szCs w:val="11"/>
                <w:b w:val="1"/>
                <w:bCs w:val="1"/>
                <w:color w:val="auto"/>
                <w:w w:val="94"/>
              </w:rPr>
              <w:t>30-Sep</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3"/>
          </w:tcPr>
          <w:p>
            <w:pPr>
              <w:jc w:val="right"/>
              <w:ind w:right="140"/>
              <w:spacing w:after="0" w:line="99" w:lineRule="exact"/>
              <w:rPr>
                <w:sz w:val="20"/>
                <w:szCs w:val="20"/>
                <w:color w:val="auto"/>
              </w:rPr>
            </w:pPr>
            <w:r>
              <w:rPr>
                <w:rFonts w:ascii="Arial" w:cs="Arial" w:eastAsia="Arial" w:hAnsi="Arial"/>
                <w:sz w:val="11"/>
                <w:szCs w:val="11"/>
                <w:b w:val="1"/>
                <w:bCs w:val="1"/>
                <w:color w:val="auto"/>
                <w:w w:val="88"/>
              </w:rPr>
              <w:t>31-Dec</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15,724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17,442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20,331</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11,350</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13,776</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14,115</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14,977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8,763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9,643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8,685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85"/>
              </w:rPr>
              <w:t>7,947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7,976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1,685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2,150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1,924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1,967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ind w:left="180"/>
              <w:spacing w:after="0"/>
              <w:rPr>
                <w:sz w:val="20"/>
                <w:szCs w:val="20"/>
                <w:color w:val="auto"/>
              </w:rPr>
            </w:pPr>
            <w:r>
              <w:rPr>
                <w:rFonts w:ascii="Arial" w:cs="Arial" w:eastAsia="Arial" w:hAnsi="Arial"/>
                <w:sz w:val="13"/>
                <w:szCs w:val="13"/>
                <w:color w:val="auto"/>
                <w:w w:val="85"/>
              </w:rPr>
              <w:t>1,358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1,614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3,084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85"/>
              </w:rPr>
              <w:t>1,879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719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850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526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624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13,177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15,134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14,543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11,710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11,930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12,469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Arial" w:cs="Arial" w:eastAsia="Arial" w:hAnsi="Arial"/>
                <w:sz w:val="13"/>
                <w:szCs w:val="13"/>
                <w:b w:val="1"/>
                <w:bCs w:val="1"/>
                <w:color w:val="auto"/>
              </w:rPr>
              <w:t>Income (loss) from operations</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2,547</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2,308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4,366</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6,075</w:t>
            </w:r>
          </w:p>
        </w:tc>
        <w:tc>
          <w:tcPr>
            <w:tcW w:w="10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ind w:left="180"/>
              <w:spacing w:after="0"/>
              <w:rPr>
                <w:sz w:val="20"/>
                <w:szCs w:val="20"/>
                <w:color w:val="auto"/>
              </w:rPr>
            </w:pPr>
            <w:r>
              <w:rPr>
                <w:rFonts w:ascii="Arial" w:cs="Arial" w:eastAsia="Arial" w:hAnsi="Arial"/>
                <w:sz w:val="13"/>
                <w:szCs w:val="13"/>
                <w:color w:val="auto"/>
                <w:w w:val="85"/>
              </w:rPr>
              <w:t>2,066</w:t>
            </w:r>
          </w:p>
        </w:tc>
        <w:tc>
          <w:tcPr>
            <w:tcW w:w="1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2,185</w:t>
            </w:r>
          </w:p>
        </w:tc>
        <w:tc>
          <w:tcPr>
            <w:tcW w:w="1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2006</w:t>
            </w: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1"/>
                <w:szCs w:val="11"/>
                <w:b w:val="1"/>
                <w:bCs w:val="1"/>
                <w:color w:val="auto"/>
              </w:rPr>
              <w:t>2005</w:t>
            </w: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180"/>
              <w:spacing w:after="0" w:line="99" w:lineRule="exact"/>
              <w:rPr>
                <w:sz w:val="20"/>
                <w:szCs w:val="20"/>
                <w:color w:val="auto"/>
              </w:rPr>
            </w:pPr>
            <w:r>
              <w:rPr>
                <w:rFonts w:ascii="Arial" w:cs="Arial" w:eastAsia="Arial" w:hAnsi="Arial"/>
                <w:sz w:val="11"/>
                <w:szCs w:val="11"/>
                <w:b w:val="1"/>
                <w:bCs w:val="1"/>
                <w:color w:val="auto"/>
                <w:w w:val="95"/>
              </w:rPr>
              <w:t>31-Mar</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3"/>
          </w:tcPr>
          <w:p>
            <w:pPr>
              <w:jc w:val="right"/>
              <w:ind w:right="380"/>
              <w:spacing w:after="0" w:line="99" w:lineRule="exact"/>
              <w:rPr>
                <w:sz w:val="20"/>
                <w:szCs w:val="20"/>
                <w:color w:val="auto"/>
              </w:rPr>
            </w:pPr>
            <w:r>
              <w:rPr>
                <w:rFonts w:ascii="Arial" w:cs="Arial" w:eastAsia="Arial" w:hAnsi="Arial"/>
                <w:sz w:val="11"/>
                <w:szCs w:val="11"/>
                <w:b w:val="1"/>
                <w:bCs w:val="1"/>
                <w:color w:val="auto"/>
                <w:w w:val="84"/>
              </w:rPr>
              <w:t>30-Jun</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11"/>
                <w:szCs w:val="11"/>
                <w:b w:val="1"/>
                <w:bCs w:val="1"/>
                <w:color w:val="auto"/>
                <w:w w:val="88"/>
              </w:rPr>
              <w:t>30-Sep</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11"/>
                <w:szCs w:val="11"/>
                <w:b w:val="1"/>
                <w:bCs w:val="1"/>
                <w:color w:val="auto"/>
                <w:w w:val="88"/>
              </w:rPr>
              <w:t>31-Dec</w:t>
            </w:r>
          </w:p>
        </w:tc>
        <w:tc>
          <w:tcPr>
            <w:tcW w:w="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3"/>
          </w:tcPr>
          <w:p>
            <w:pPr>
              <w:jc w:val="right"/>
              <w:ind w:right="220"/>
              <w:spacing w:after="0" w:line="99" w:lineRule="exact"/>
              <w:rPr>
                <w:sz w:val="20"/>
                <w:szCs w:val="20"/>
                <w:color w:val="auto"/>
              </w:rPr>
            </w:pPr>
            <w:r>
              <w:rPr>
                <w:rFonts w:ascii="Arial" w:cs="Arial" w:eastAsia="Arial" w:hAnsi="Arial"/>
                <w:sz w:val="11"/>
                <w:szCs w:val="11"/>
                <w:b w:val="1"/>
                <w:bCs w:val="1"/>
                <w:color w:val="auto"/>
                <w:w w:val="95"/>
              </w:rPr>
              <w:t>31-Mar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tcPr>
          <w:p>
            <w:pPr>
              <w:jc w:val="right"/>
              <w:ind w:right="220"/>
              <w:spacing w:after="0" w:line="99" w:lineRule="exact"/>
              <w:rPr>
                <w:sz w:val="20"/>
                <w:szCs w:val="20"/>
                <w:color w:val="auto"/>
              </w:rPr>
            </w:pPr>
            <w:r>
              <w:rPr>
                <w:rFonts w:ascii="Arial" w:cs="Arial" w:eastAsia="Arial" w:hAnsi="Arial"/>
                <w:sz w:val="11"/>
                <w:szCs w:val="11"/>
                <w:b w:val="1"/>
                <w:bCs w:val="1"/>
                <w:color w:val="auto"/>
                <w:w w:val="90"/>
              </w:rPr>
              <w:t>30-Jun</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right"/>
              <w:ind w:right="200"/>
              <w:spacing w:after="0" w:line="99" w:lineRule="exact"/>
              <w:rPr>
                <w:sz w:val="20"/>
                <w:szCs w:val="20"/>
                <w:color w:val="auto"/>
              </w:rPr>
            </w:pPr>
            <w:r>
              <w:rPr>
                <w:rFonts w:ascii="Arial" w:cs="Arial" w:eastAsia="Arial" w:hAnsi="Arial"/>
                <w:sz w:val="11"/>
                <w:szCs w:val="11"/>
                <w:b w:val="1"/>
                <w:bCs w:val="1"/>
                <w:color w:val="auto"/>
                <w:w w:val="94"/>
              </w:rPr>
              <w:t>30-Sep</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11"/>
                <w:szCs w:val="11"/>
                <w:b w:val="1"/>
                <w:bCs w:val="1"/>
                <w:color w:val="auto"/>
                <w:w w:val="88"/>
              </w:rPr>
              <w:t>31-Dec</w:t>
            </w: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Costs and expenses: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56.5%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84.5%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Arial" w:cs="Arial" w:eastAsia="Arial" w:hAnsi="Arial"/>
                <w:sz w:val="13"/>
                <w:szCs w:val="13"/>
                <w:b w:val="1"/>
                <w:bCs w:val="1"/>
                <w:color w:val="auto"/>
              </w:rPr>
              <w:t>Income (loss) from operations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16.2%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4"/>
          </w:tcPr>
          <w:p>
            <w:pPr>
              <w:ind w:left="200"/>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 $52.8 million, which enabled us to strengthen our balance sheet. As a result, we had cash, cash equivalents and marketable securities of $79.0 million at December 31, 2006, an increase of $63.0 million as compared to the end of 2005. We anticipate that our principal uses of cash in the future will be facility expansion, capital expenditures and working capital.</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On October 6, 2004, we entered into a Loan and Security Agreement (the “Agreement”) with a bank which expires on December 1, 2007. The Agreement includes a Revolving Promissory Note for up to $2.0 million and an Equipment Term Note for up to $3.0 million. Availability under the Agreement for the Revolving Promissory Note is based on defined percentages of eligible accounts receivable. Borrowings on the revolving credit agreement bear interest at the prime rate plus 1.25% (9.5% and 8.5% at December 31, 2006 and 2005, respectively).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borrowings against the Revolving Promissory Note during the years ended December 31, 2006 and 2005. As of December 31, 2006 and 2005, we had outstanding borrowings of $0.7 million and $1.3 million, respectively, against the Equipment Term Note to fund purchases of eligible equipment. Borrowings on the equipment line bear interest at the prime rate plus 1.75% (10% and 9% at December 31, 2006 and 2005, respectively) and principal and interest are payable monthly. Borrowings under the Agreement are collateralized by all of our assets.</w:t>
      </w:r>
    </w:p>
    <w:p>
      <w:pPr>
        <w:spacing w:after="0" w:line="62"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The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financial covenant at December 31, 2006 and 2005. As of December 31, 2006, we had $2.0 million available under the revolving promissory note of our bank, subject to the terms and conditions of that facility.</w:t>
      </w:r>
    </w:p>
    <w:p>
      <w:pPr>
        <w:spacing w:after="0" w:line="69"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Upon the consummation of our IPO on June 20, 2006, all of our Series A and Series 1 convertible preferred stock were converted into shares of common stock on a one-for-one basis. As a result, no dividends are currently accruing. In connection with our IPO and the exercise of the over-allotment option by our IPO underwriters, we paid offering costs, including underwriting discounts and commissions, and other related expenses totaling $7.2 million. These offering costs were offset against the gross proceeds of our IPO and the exercise of the over-allotment option.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Cash Flows</w:t>
      </w:r>
    </w:p>
    <w:p>
      <w:pPr>
        <w:spacing w:after="0" w:line="102" w:lineRule="exact"/>
        <w:rPr>
          <w:sz w:val="20"/>
          <w:szCs w:val="20"/>
          <w:color w:val="auto"/>
        </w:rPr>
      </w:pPr>
    </w:p>
    <w:p>
      <w:pPr>
        <w:ind w:left="680" w:right="180" w:firstLine="399"/>
        <w:spacing w:after="0" w:line="287" w:lineRule="auto"/>
        <w:rPr>
          <w:sz w:val="20"/>
          <w:szCs w:val="20"/>
          <w:color w:val="auto"/>
        </w:rPr>
      </w:pPr>
      <w:r>
        <w:rPr>
          <w:rFonts w:ascii="Arial" w:cs="Arial" w:eastAsia="Arial" w:hAnsi="Arial"/>
          <w:sz w:val="12"/>
          <w:szCs w:val="12"/>
          <w:i w:val="1"/>
          <w:iCs w:val="1"/>
          <w:color w:val="auto"/>
        </w:rPr>
        <w:t xml:space="preserve">Cash flows from operations. </w:t>
      </w:r>
      <w:r>
        <w:rPr>
          <w:rFonts w:ascii="Arial" w:cs="Arial" w:eastAsia="Arial" w:hAnsi="Arial"/>
          <w:sz w:val="12"/>
          <w:szCs w:val="12"/>
          <w:color w:val="auto"/>
        </w:rPr>
        <w:t>Net cash provided by operating activities for 2006 was $14.0 million, compared to $8.0 million for 2005. The increase of $6.0 million was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due to the reversal of deferred income tax assets related to net operating losses recognized in 2005 so that we did not have to pay cash taxes in 2006, partially offset by decreases to the accounts payable and accrued expenses accounts. Net cash provided by operating activities included a non-cash expense related to deferred income taxes of $2.7 million for 2006, an increase of $7.3 million from last year. The accounts receivable and accounts payables balances grew as new customers contributed revenue and spending increased to support this additional revenue. We anticipate that as our revenues continue to grow, accounts receivable and accounts payable balances should continue to grow as well.</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Net cash provided by operating activities for 2005 was $8.0 million, compared to net cash used of $1.6 million for 2004. The increase of $9.6 million in cash provided by operating activities is primarily due to a decrease in cash used for working capital and other activities of $1.4 million along with an increase in net income of $12.4 million, which was offset by an increase in negative adjustments for non-cash items of $4.2 million. Adjustments for non-cash items consisted primarily of depreciation and amortization, deferred income taxes and interest expense. The decrease in cash used by working capital was primarily due to a $5.5 million build up of accounts payable and accrued expenses in 2005 for the payment of incentive compensation, commissions and third-party exception handling centers in 2006. This was offset by an increase in the build up of accounts receivable of $4.1 million which is primarily due to an increase in volume during 2005. The increase in volume is partially offset by a decrease in days sales outstanding from 97 days in 2004 to 87 days in 2005. These factors had a net negative impact on our cash flows.</w:t>
      </w:r>
    </w:p>
    <w:p>
      <w:pPr>
        <w:spacing w:after="0" w:line="71"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Cash flows from investing. </w:t>
      </w:r>
      <w:r>
        <w:rPr>
          <w:rFonts w:ascii="Arial" w:cs="Arial" w:eastAsia="Arial" w:hAnsi="Arial"/>
          <w:sz w:val="13"/>
          <w:szCs w:val="13"/>
          <w:color w:val="auto"/>
        </w:rPr>
        <w:t>Net cash used in investing activities for 2006 was $2.0 million, compared to $2.0 million for 2005. Cash provided from the net sales of marketable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increased from the previous year by $2.4 million. This increase was offset by an increase in the use of cash related to investing outlays for purchases of capital equipment and a decrease in cash received from employees’ repayment of notes.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140" w:firstLine="399"/>
        <w:spacing w:after="0" w:line="279" w:lineRule="auto"/>
        <w:rPr>
          <w:sz w:val="20"/>
          <w:szCs w:val="20"/>
          <w:color w:val="auto"/>
        </w:rPr>
      </w:pPr>
      <w:r>
        <w:rPr>
          <w:rFonts w:ascii="Arial" w:cs="Arial" w:eastAsia="Arial" w:hAnsi="Arial"/>
          <w:sz w:val="13"/>
          <w:szCs w:val="13"/>
          <w:color w:val="auto"/>
        </w:rPr>
        <w:t>Net cash used in investing activities for 2005 was $2.0 million, compared to net cash used of $1.8 million for 2004. Our decreased spending of fixed assets in 2005 was offset by a comparable decrease in net cash provided from sales of marketable securities.</w:t>
      </w:r>
    </w:p>
    <w:p>
      <w:pPr>
        <w:spacing w:after="0" w:line="58"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i w:val="1"/>
          <w:iCs w:val="1"/>
          <w:color w:val="auto"/>
        </w:rPr>
        <w:t xml:space="preserve">Cash flows from financing. </w:t>
      </w:r>
      <w:r>
        <w:rPr>
          <w:rFonts w:ascii="Arial" w:cs="Arial" w:eastAsia="Arial" w:hAnsi="Arial"/>
          <w:sz w:val="13"/>
          <w:szCs w:val="13"/>
          <w:color w:val="auto"/>
        </w:rPr>
        <w:t>Net cash provided by financing activities for 2006 was $53.2 million, compared to net cash used of $0.6 million 2005. The increase of $53.8 million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net proceeds of $52.8 million received from the issuance of common stock sold in our initial public offering and the exercise of the over-allotment option by our IPO underwriters.</w:t>
      </w:r>
    </w:p>
    <w:p>
      <w:pPr>
        <w:spacing w:after="0" w:line="67" w:lineRule="exact"/>
        <w:rPr>
          <w:sz w:val="20"/>
          <w:szCs w:val="20"/>
          <w:color w:val="auto"/>
        </w:rPr>
      </w:pPr>
    </w:p>
    <w:p>
      <w:pPr>
        <w:ind w:left="680" w:right="280" w:firstLine="399"/>
        <w:spacing w:after="0" w:line="279" w:lineRule="auto"/>
        <w:rPr>
          <w:sz w:val="20"/>
          <w:szCs w:val="20"/>
          <w:color w:val="auto"/>
        </w:rPr>
      </w:pPr>
      <w:r>
        <w:rPr>
          <w:rFonts w:ascii="Arial" w:cs="Arial" w:eastAsia="Arial" w:hAnsi="Arial"/>
          <w:sz w:val="13"/>
          <w:szCs w:val="13"/>
          <w:color w:val="auto"/>
        </w:rPr>
        <w:t>Net cash used in financing activities for 2005 was $0.6 million, compared to net cash provided of $2.0 million for 2004. This $2.6 million decrease in net cash used in financing activities was principally due to $2.0 million of equipment loan proceeds in 2004 and none in 2005.</w:t>
      </w:r>
    </w:p>
    <w:p>
      <w:pPr>
        <w:spacing w:after="0" w:line="58" w:lineRule="exact"/>
        <w:rPr>
          <w:sz w:val="20"/>
          <w:szCs w:val="20"/>
          <w:color w:val="auto"/>
        </w:rPr>
      </w:pPr>
    </w:p>
    <w:p>
      <w:pPr>
        <w:ind w:left="680" w:right="360" w:firstLine="399"/>
        <w:spacing w:after="0" w:line="279" w:lineRule="auto"/>
        <w:rPr>
          <w:sz w:val="20"/>
          <w:szCs w:val="20"/>
          <w:color w:val="auto"/>
        </w:rPr>
      </w:pPr>
      <w:r>
        <w:rPr>
          <w:rFonts w:ascii="Arial" w:cs="Arial" w:eastAsia="Arial" w:hAnsi="Arial"/>
          <w:sz w:val="13"/>
          <w:szCs w:val="13"/>
          <w:color w:val="auto"/>
        </w:rPr>
        <w:t>We believe that our existing cash and cash equivalents, the cash generated from our initial public offering and cash generated from our operations will be sufficient to fund our operations for the next twelve months.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Inflation</w:t>
      </w:r>
    </w:p>
    <w:p>
      <w:pPr>
        <w:spacing w:after="0" w:line="10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Although inflation generally affects us by increasing our cost of labor and equipment, we do not believe that inflation has had any material effect on our results of operations during 2006 and 2005.</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Our commitments consist of obligations under leases for office space, automobiles, computer equipment and furniture and fixtures. The following table summarizes our long-term contractual obligations as of December 31, 2006 (in thousands).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8"/>
              </w:rPr>
              <w:t>Payments Due by Period</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59"/>
              <w:spacing w:after="0" w:line="82" w:lineRule="exact"/>
              <w:rPr>
                <w:sz w:val="20"/>
                <w:szCs w:val="20"/>
                <w:color w:val="auto"/>
              </w:rPr>
            </w:pPr>
            <w:r>
              <w:rPr>
                <w:rFonts w:ascii="Arial" w:cs="Arial" w:eastAsia="Arial" w:hAnsi="Arial"/>
                <w:sz w:val="9"/>
                <w:szCs w:val="9"/>
                <w:b w:val="1"/>
                <w:bCs w:val="1"/>
                <w:color w:val="auto"/>
              </w:rPr>
              <w:t>Less Than</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40"/>
              <w:spacing w:after="0" w:line="82"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77"/>
              <w:spacing w:after="0"/>
              <w:rPr>
                <w:sz w:val="20"/>
                <w:szCs w:val="20"/>
                <w:color w:val="auto"/>
              </w:rPr>
            </w:pPr>
            <w:r>
              <w:rPr>
                <w:rFonts w:ascii="Arial" w:cs="Arial" w:eastAsia="Arial" w:hAnsi="Arial"/>
                <w:sz w:val="11"/>
                <w:szCs w:val="11"/>
                <w:b w:val="1"/>
                <w:bCs w:val="1"/>
                <w:color w:val="auto"/>
                <w:w w:val="98"/>
              </w:rPr>
              <w:t>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59"/>
              <w:spacing w:after="0"/>
              <w:rPr>
                <w:sz w:val="20"/>
                <w:szCs w:val="20"/>
                <w:color w:val="auto"/>
              </w:rPr>
            </w:pPr>
            <w:r>
              <w:rPr>
                <w:rFonts w:ascii="Arial" w:cs="Arial" w:eastAsia="Arial" w:hAnsi="Arial"/>
                <w:sz w:val="11"/>
                <w:szCs w:val="11"/>
                <w:b w:val="1"/>
                <w:bCs w:val="1"/>
                <w:color w:val="auto"/>
              </w:rPr>
              <w:t>1 Year</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Arial" w:cs="Arial" w:eastAsia="Arial" w:hAnsi="Arial"/>
                <w:sz w:val="11"/>
                <w:szCs w:val="11"/>
                <w:b w:val="1"/>
                <w:bCs w:val="1"/>
                <w:color w:val="auto"/>
              </w:rPr>
              <w:t>1 — 3 Years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57"/>
              <w:spacing w:after="0"/>
              <w:rPr>
                <w:sz w:val="20"/>
                <w:szCs w:val="20"/>
                <w:color w:val="auto"/>
              </w:rPr>
            </w:pPr>
            <w:r>
              <w:rPr>
                <w:rFonts w:ascii="Arial" w:cs="Arial" w:eastAsia="Arial" w:hAnsi="Arial"/>
                <w:sz w:val="11"/>
                <w:szCs w:val="11"/>
                <w:b w:val="1"/>
                <w:bCs w:val="1"/>
                <w:color w:val="auto"/>
                <w:w w:val="89"/>
              </w:rPr>
              <w:t>4 — 5 Years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Years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3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gridSpan w:val="2"/>
          </w:tcPr>
          <w:p>
            <w:pPr>
              <w:spacing w:after="0"/>
              <w:rPr>
                <w:sz w:val="20"/>
                <w:szCs w:val="20"/>
                <w:color w:val="auto"/>
              </w:rPr>
            </w:pPr>
            <w:r>
              <w:rPr>
                <w:rFonts w:ascii="Arial" w:cs="Arial" w:eastAsia="Arial" w:hAnsi="Arial"/>
                <w:sz w:val="13"/>
                <w:szCs w:val="13"/>
                <w:color w:val="auto"/>
              </w:rPr>
              <w:t>Equipment loan</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666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00" w:type="dxa"/>
            <w:vAlign w:val="bottom"/>
            <w:gridSpan w:val="3"/>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6,087</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2,346</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2,923</w:t>
            </w:r>
          </w:p>
        </w:tc>
        <w:tc>
          <w:tcPr>
            <w:tcW w:w="34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818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right="180" w:hanging="170"/>
        <w:spacing w:after="0" w:line="284" w:lineRule="auto"/>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 of December 31, 2006, we had an agreement with Omniglobe International, L.L.C. (for more details regarding Omniglobe see “Certain Relationships and Related Party Transactions”). One of these agreements provides for minimum levels of staffing at a specific price level resulting in an overall minimum commitment of $0.3 million over the next three months. Fees paid for services rendered related to these agreements for 2006 were $3.7 million through June 20, 2006 when Omniglobe was no longer a related party, and $8.0 million for the year ended December 31, 2005. Services provided by Omniglobe include data entry and related services, as well as development and testing services. The current agreements may be terminated by either party without cause with thirty or sixty days written notice prior to the end of the term. Unless terminated, the agreements will automatically renew in six month increments. As of December 31, 2006, we do not intend to terminate our arrangements with Omniglobe.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Standards</w:t>
      </w:r>
    </w:p>
    <w:p>
      <w:pPr>
        <w:spacing w:after="0" w:line="102"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 xml:space="preserve">In February 2006, the Financial Accounting Standards Board (“FASB”) issued SFAS No. 155, </w:t>
      </w:r>
      <w:r>
        <w:rPr>
          <w:rFonts w:ascii="Arial" w:cs="Arial" w:eastAsia="Arial" w:hAnsi="Arial"/>
          <w:sz w:val="13"/>
          <w:szCs w:val="13"/>
          <w:i w:val="1"/>
          <w:iCs w:val="1"/>
          <w:color w:val="auto"/>
        </w:rPr>
        <w:t>Accounting for Certain Hybrid Financial Instruments</w:t>
      </w:r>
      <w:r>
        <w:rPr>
          <w:rFonts w:ascii="Arial" w:cs="Arial" w:eastAsia="Arial" w:hAnsi="Arial"/>
          <w:sz w:val="13"/>
          <w:szCs w:val="13"/>
          <w:color w:val="auto"/>
        </w:rPr>
        <w:t xml:space="preserve"> (“SFAS 155”). SFAS 155 allows financial instruments that have embedded derivatives to be accounted for as a whole (eliminating the need to bifurcate the derivative from its host) if the holder elects to account for the whole instrument on a fair value basis. This statement is effective for all financial instruments acquired or issued after the beginning of an entity’s first fiscal year that begins after September 15, 2006. The Company does not expect that the adoption of SFAS 155 will impact the Company’s financial statements.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prescribes a recognition threshold and measurement attribute for the financial statement recognition and measurement of a tax position taken or expected to be taken in a tax return. In evaluating a tax position for recognition, the enterprise determines whether it is more likely than not that a tax position will be sustained upon examination which is the minimum threshold a tax position is required to meet before being recognized in the financial statements. A tax position that is recognized is then measured at the largest amount of benefit that is greater than 50 percent likely of being realized upon ultimate settlement. The adoption of FIN 48 is not expected to have a material impact on the Company’s financial statements.</w:t>
      </w:r>
    </w:p>
    <w:p>
      <w:pPr>
        <w:spacing w:after="0" w:line="55"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is currently evaluating the impact of this Statement on the Company’s financial statements.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had no off-balance sheet arrangements as of December 31, 2006 and 2005.</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w:t>
      </w:r>
    </w:p>
    <w:p>
      <w:pPr>
        <w:spacing w:after="0" w:line="102"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2"/>
          <w:szCs w:val="12"/>
          <w:color w:val="auto"/>
        </w:rPr>
        <w:t>The following discussion about market risk disclosures involves forward-looking statements. Actual results could differ materially from those projected in the forward-looking statements. We invest in a variety of financial instruments, consisting principally of investments in commercial paper, money market funds and debt securities of municipalities and the United States Government and its agencies and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53"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including commercial paper, money market funds and corporate debt securities. Our cash and cash equivalents at December 31, 2006 and 2005 included liquid money market accounts. All market-risk sensitive instruments were entered into for non-trading purposes.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13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4"/>
        </w:trPr>
        <w:tc>
          <w:tcPr>
            <w:tcW w:w="13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8000" w:type="dxa"/>
            <w:vAlign w:val="bottom"/>
            <w:gridSpan w:val="7"/>
          </w:tcPr>
          <w:p>
            <w:pPr>
              <w:ind w:left="20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080" w:type="dxa"/>
            <w:vAlign w:val="bottom"/>
          </w:tcPr>
          <w:p>
            <w:pPr>
              <w:spacing w:after="0"/>
              <w:rPr>
                <w:sz w:val="24"/>
                <w:szCs w:val="24"/>
                <w:color w:val="auto"/>
              </w:rPr>
            </w:pPr>
          </w:p>
        </w:tc>
      </w:tr>
      <w:tr>
        <w:trPr>
          <w:trHeight w:val="247"/>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0" w:type="dxa"/>
            <w:vAlign w:val="bottom"/>
            <w:gridSpan w:val="8"/>
          </w:tcPr>
          <w:p>
            <w:pPr>
              <w:ind w:left="100"/>
              <w:spacing w:after="0"/>
              <w:rPr>
                <w:sz w:val="20"/>
                <w:szCs w:val="20"/>
                <w:color w:val="auto"/>
              </w:rPr>
            </w:pPr>
            <w:r>
              <w:rPr>
                <w:rFonts w:ascii="Arial" w:cs="Arial" w:eastAsia="Arial" w:hAnsi="Arial"/>
                <w:sz w:val="13"/>
                <w:szCs w:val="13"/>
                <w:color w:val="auto"/>
              </w:rPr>
              <w:t>The financial statements and supplementary data required by this Item 8 are listed in Item 15(a)(1) and begin at page F-1 of this Report.</w:t>
            </w:r>
          </w:p>
        </w:tc>
        <w:tc>
          <w:tcPr>
            <w:tcW w:w="2080" w:type="dxa"/>
            <w:vAlign w:val="bottom"/>
          </w:tcPr>
          <w:p>
            <w:pPr>
              <w:spacing w:after="0"/>
              <w:rPr>
                <w:sz w:val="21"/>
                <w:szCs w:val="21"/>
                <w:color w:val="auto"/>
              </w:rPr>
            </w:pPr>
          </w:p>
        </w:tc>
      </w:tr>
      <w:tr>
        <w:trPr>
          <w:trHeight w:val="40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4"/>
          </w:tcPr>
          <w:p>
            <w:pPr>
              <w:jc w:val="center"/>
              <w:ind w:right="1820"/>
              <w:spacing w:after="0"/>
              <w:rPr>
                <w:sz w:val="20"/>
                <w:szCs w:val="20"/>
                <w:color w:val="auto"/>
              </w:rPr>
            </w:pPr>
            <w:r>
              <w:rPr>
                <w:rFonts w:ascii="Arial" w:cs="Arial" w:eastAsia="Arial" w:hAnsi="Arial"/>
                <w:sz w:val="13"/>
                <w:szCs w:val="13"/>
                <w:b w:val="1"/>
                <w:bCs w:val="1"/>
                <w:color w:val="auto"/>
              </w:rPr>
              <w:t>INDEX TO FINANCIAL STATEMENTS</w:t>
            </w:r>
          </w:p>
        </w:tc>
        <w:tc>
          <w:tcPr>
            <w:tcW w:w="2080" w:type="dxa"/>
            <w:vAlign w:val="bottom"/>
          </w:tcPr>
          <w:p>
            <w:pPr>
              <w:spacing w:after="0"/>
              <w:rPr>
                <w:sz w:val="24"/>
                <w:szCs w:val="24"/>
                <w:color w:val="auto"/>
              </w:rPr>
            </w:pPr>
          </w:p>
        </w:tc>
      </w:tr>
      <w:tr>
        <w:trPr>
          <w:trHeight w:val="308"/>
        </w:trPr>
        <w:tc>
          <w:tcPr>
            <w:tcW w:w="680" w:type="dxa"/>
            <w:vAlign w:val="bottom"/>
          </w:tcPr>
          <w:p>
            <w:pPr>
              <w:spacing w:after="0"/>
              <w:rPr>
                <w:sz w:val="24"/>
                <w:szCs w:val="24"/>
                <w:color w:val="auto"/>
              </w:rPr>
            </w:pPr>
          </w:p>
        </w:tc>
        <w:tc>
          <w:tcPr>
            <w:tcW w:w="310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39">
              <w:r>
                <w:rPr>
                  <w:rFonts w:ascii="Arial" w:cs="Arial" w:eastAsia="Arial" w:hAnsi="Arial"/>
                  <w:sz w:val="13"/>
                  <w:szCs w:val="13"/>
                  <w:color w:val="0000EE"/>
                  <w:w w:val="92"/>
                </w:rPr>
                <w:t>Report of Independent Registered Public Accounting Firm</w:t>
              </w:r>
            </w:hyperlink>
          </w:p>
        </w:tc>
        <w:tc>
          <w:tcPr>
            <w:tcW w:w="5600" w:type="dxa"/>
            <w:vAlign w:val="bottom"/>
            <w:gridSpan w:val="4"/>
          </w:tcPr>
          <w:p>
            <w:pPr>
              <w:spacing w:after="0"/>
              <w:rPr>
                <w:sz w:val="24"/>
                <w:szCs w:val="24"/>
                <w:color w:val="auto"/>
              </w:rPr>
            </w:pPr>
          </w:p>
        </w:tc>
        <w:tc>
          <w:tcPr>
            <w:tcW w:w="2080" w:type="dxa"/>
            <w:vAlign w:val="bottom"/>
          </w:tcPr>
          <w:p>
            <w:pPr>
              <w:jc w:val="right"/>
              <w:ind w:right="734"/>
              <w:spacing w:after="0"/>
              <w:rPr>
                <w:sz w:val="20"/>
                <w:szCs w:val="20"/>
                <w:color w:val="auto"/>
              </w:rPr>
            </w:pPr>
            <w:r>
              <w:rPr>
                <w:rFonts w:ascii="Arial" w:cs="Arial" w:eastAsia="Arial" w:hAnsi="Arial"/>
                <w:sz w:val="13"/>
                <w:szCs w:val="13"/>
                <w:color w:val="auto"/>
              </w:rPr>
              <w:t>38</w:t>
            </w:r>
          </w:p>
        </w:tc>
      </w:tr>
      <w:tr>
        <w:trPr>
          <w:trHeight w:val="138"/>
        </w:trPr>
        <w:tc>
          <w:tcPr>
            <w:tcW w:w="680" w:type="dxa"/>
            <w:vAlign w:val="bottom"/>
          </w:tcPr>
          <w:p>
            <w:pPr>
              <w:spacing w:after="0"/>
              <w:rPr>
                <w:sz w:val="12"/>
                <w:szCs w:val="12"/>
                <w:color w:val="auto"/>
              </w:rPr>
            </w:pPr>
          </w:p>
        </w:tc>
        <w:tc>
          <w:tcPr>
            <w:tcW w:w="8700" w:type="dxa"/>
            <w:vAlign w:val="bottom"/>
            <w:gridSpan w:val="9"/>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Balance Sheets as of December 31, 2006 and 2005</w:t>
              </w:r>
            </w:hyperlink>
          </w:p>
        </w:tc>
        <w:tc>
          <w:tcPr>
            <w:tcW w:w="208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39</w:t>
            </w:r>
          </w:p>
        </w:tc>
      </w:tr>
      <w:tr>
        <w:trPr>
          <w:trHeight w:val="20"/>
        </w:trPr>
        <w:tc>
          <w:tcPr>
            <w:tcW w:w="68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38"/>
        </w:trPr>
        <w:tc>
          <w:tcPr>
            <w:tcW w:w="680" w:type="dxa"/>
            <w:vAlign w:val="bottom"/>
          </w:tcPr>
          <w:p>
            <w:pPr>
              <w:spacing w:after="0"/>
              <w:rPr>
                <w:sz w:val="12"/>
                <w:szCs w:val="12"/>
                <w:color w:val="auto"/>
              </w:rPr>
            </w:pPr>
          </w:p>
        </w:tc>
        <w:tc>
          <w:tcPr>
            <w:tcW w:w="4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41">
              <w:r>
                <w:rPr>
                  <w:rFonts w:ascii="Arial" w:cs="Arial" w:eastAsia="Arial" w:hAnsi="Arial"/>
                  <w:sz w:val="13"/>
                  <w:szCs w:val="13"/>
                  <w:color w:val="0000EE"/>
                  <w:w w:val="90"/>
                </w:rPr>
                <w:t>Statements of Operations for the years ended December 31, 2006, 2005 and 2004</w:t>
              </w:r>
            </w:hyperlink>
          </w:p>
        </w:tc>
        <w:tc>
          <w:tcPr>
            <w:tcW w:w="4400" w:type="dxa"/>
            <w:vAlign w:val="bottom"/>
            <w:gridSpan w:val="3"/>
          </w:tcPr>
          <w:p>
            <w:pPr>
              <w:spacing w:after="0"/>
              <w:rPr>
                <w:sz w:val="12"/>
                <w:szCs w:val="12"/>
                <w:color w:val="auto"/>
              </w:rPr>
            </w:pPr>
          </w:p>
        </w:tc>
        <w:tc>
          <w:tcPr>
            <w:tcW w:w="208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40</w:t>
            </w:r>
          </w:p>
        </w:tc>
      </w:tr>
      <w:tr>
        <w:trPr>
          <w:trHeight w:val="138"/>
        </w:trPr>
        <w:tc>
          <w:tcPr>
            <w:tcW w:w="680" w:type="dxa"/>
            <w:vAlign w:val="bottom"/>
          </w:tcPr>
          <w:p>
            <w:pPr>
              <w:spacing w:after="0"/>
              <w:rPr>
                <w:sz w:val="12"/>
                <w:szCs w:val="12"/>
                <w:color w:val="auto"/>
              </w:rPr>
            </w:pPr>
          </w:p>
        </w:tc>
        <w:tc>
          <w:tcPr>
            <w:tcW w:w="554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42">
              <w:r>
                <w:rPr>
                  <w:rFonts w:ascii="Arial" w:cs="Arial" w:eastAsia="Arial" w:hAnsi="Arial"/>
                  <w:sz w:val="13"/>
                  <w:szCs w:val="13"/>
                  <w:color w:val="0000EE"/>
                  <w:w w:val="91"/>
                </w:rPr>
                <w:t>Statements of Stockholders’ Equity (Deficiency) for the years ended December 31, 2006, 2005 and 2004</w:t>
              </w:r>
            </w:hyperlink>
          </w:p>
        </w:tc>
        <w:tc>
          <w:tcPr>
            <w:tcW w:w="3160" w:type="dxa"/>
            <w:vAlign w:val="bottom"/>
          </w:tcPr>
          <w:p>
            <w:pPr>
              <w:spacing w:after="0"/>
              <w:rPr>
                <w:sz w:val="12"/>
                <w:szCs w:val="12"/>
                <w:color w:val="auto"/>
              </w:rPr>
            </w:pPr>
          </w:p>
        </w:tc>
        <w:tc>
          <w:tcPr>
            <w:tcW w:w="208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41</w:t>
            </w:r>
          </w:p>
        </w:tc>
      </w:tr>
      <w:tr>
        <w:trPr>
          <w:trHeight w:val="138"/>
        </w:trPr>
        <w:tc>
          <w:tcPr>
            <w:tcW w:w="680" w:type="dxa"/>
            <w:vAlign w:val="bottom"/>
          </w:tcPr>
          <w:p>
            <w:pPr>
              <w:spacing w:after="0"/>
              <w:rPr>
                <w:sz w:val="12"/>
                <w:szCs w:val="12"/>
                <w:color w:val="auto"/>
              </w:rPr>
            </w:pPr>
          </w:p>
        </w:tc>
        <w:tc>
          <w:tcPr>
            <w:tcW w:w="434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Statements of Cash Flows for the years ended December 31, 2006, 2005 and 2004</w:t>
              </w:r>
            </w:hyperlink>
          </w:p>
        </w:tc>
        <w:tc>
          <w:tcPr>
            <w:tcW w:w="4360" w:type="dxa"/>
            <w:vAlign w:val="bottom"/>
            <w:gridSpan w:val="2"/>
          </w:tcPr>
          <w:p>
            <w:pPr>
              <w:spacing w:after="0"/>
              <w:rPr>
                <w:sz w:val="12"/>
                <w:szCs w:val="12"/>
                <w:color w:val="auto"/>
              </w:rPr>
            </w:pPr>
          </w:p>
        </w:tc>
        <w:tc>
          <w:tcPr>
            <w:tcW w:w="208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42</w:t>
            </w:r>
          </w:p>
        </w:tc>
      </w:tr>
      <w:tr>
        <w:trPr>
          <w:trHeight w:val="138"/>
        </w:trPr>
        <w:tc>
          <w:tcPr>
            <w:tcW w:w="680" w:type="dxa"/>
            <w:vAlign w:val="bottom"/>
          </w:tcPr>
          <w:p>
            <w:pPr>
              <w:spacing w:after="0"/>
              <w:rPr>
                <w:sz w:val="12"/>
                <w:szCs w:val="12"/>
                <w:color w:val="auto"/>
              </w:rPr>
            </w:pPr>
          </w:p>
        </w:tc>
        <w:tc>
          <w:tcPr>
            <w:tcW w:w="8700" w:type="dxa"/>
            <w:vAlign w:val="bottom"/>
            <w:gridSpan w:val="9"/>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Notes to Financial Statements</w:t>
              </w:r>
            </w:hyperlink>
          </w:p>
        </w:tc>
        <w:tc>
          <w:tcPr>
            <w:tcW w:w="208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43</w:t>
            </w:r>
          </w:p>
        </w:tc>
      </w:tr>
      <w:tr>
        <w:trPr>
          <w:trHeight w:val="463"/>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960" w:type="dxa"/>
            <w:vAlign w:val="bottom"/>
            <w:gridSpan w:val="5"/>
          </w:tcPr>
          <w:p>
            <w:pPr>
              <w:jc w:val="right"/>
              <w:ind w:right="480"/>
              <w:spacing w:after="0"/>
              <w:rPr>
                <w:sz w:val="20"/>
                <w:szCs w:val="20"/>
                <w:color w:val="auto"/>
              </w:rPr>
            </w:pPr>
            <w:r>
              <w:rPr>
                <w:rFonts w:ascii="Arial" w:cs="Arial" w:eastAsia="Arial" w:hAnsi="Arial"/>
                <w:sz w:val="13"/>
                <w:szCs w:val="13"/>
                <w:color w:val="auto"/>
              </w:rPr>
              <w:t>37</w:t>
            </w:r>
          </w:p>
        </w:tc>
        <w:tc>
          <w:tcPr>
            <w:tcW w:w="31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Synchronoss Technologies, Inc.</w:t>
      </w:r>
    </w:p>
    <w:p>
      <w:pPr>
        <w:spacing w:after="0" w:line="90" w:lineRule="exact"/>
        <w:rPr>
          <w:sz w:val="20"/>
          <w:szCs w:val="20"/>
          <w:color w:val="auto"/>
        </w:rPr>
      </w:pPr>
    </w:p>
    <w:p>
      <w:pPr>
        <w:ind w:left="680" w:right="60" w:firstLine="399"/>
        <w:spacing w:after="0" w:line="337" w:lineRule="auto"/>
        <w:rPr>
          <w:sz w:val="20"/>
          <w:szCs w:val="20"/>
          <w:color w:val="auto"/>
        </w:rPr>
      </w:pPr>
      <w:r>
        <w:rPr>
          <w:rFonts w:ascii="Arial" w:cs="Arial" w:eastAsia="Arial" w:hAnsi="Arial"/>
          <w:sz w:val="11"/>
          <w:szCs w:val="11"/>
          <w:color w:val="auto"/>
        </w:rPr>
        <w:t>We have audited the balance sheets of Synchronoss Technologies, Inc. as of December 31, 2006 and 2005 and the related statements of operations, stockholders’ equity (deficiency) and cash flows for each of the three years in the period ended December 31, 2006. Our audits also included the financial statement schedule included in Item 15(a)(2). These financial statements and schedule are the responsibility of the Company’s management. Our responsibility is to express an opinion on these financial statements and schedule based on our audits.</w:t>
      </w:r>
    </w:p>
    <w:p>
      <w:pPr>
        <w:spacing w:after="0" w:line="31"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8"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Synchronoss Technologies, Inc. as of December 31, 2006 and 2005 and the results of its operations and its cash flows for each of the three years in the period ended December 31,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9"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As discussed in Note 2 to the financial statements, effective January 1, 2006, the Company adopted SFAS No. 123(R), “Share-Based Payments” using the prospective method of adoption.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12, 2007</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BALANCE SHEETS</w:t>
      </w:r>
    </w:p>
    <w:p>
      <w:pPr>
        <w:spacing w:after="0" w:line="16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9"/>
              </w:rPr>
              <w:t>December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1"/>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6"/>
          </w:tcPr>
          <w:p>
            <w:pPr>
              <w:jc w:val="right"/>
              <w:ind w:right="700"/>
              <w:spacing w:after="0" w:line="82" w:lineRule="exact"/>
              <w:rPr>
                <w:sz w:val="20"/>
                <w:szCs w:val="20"/>
                <w:color w:val="auto"/>
              </w:rPr>
            </w:pPr>
            <w:r>
              <w:rPr>
                <w:rFonts w:ascii="Arial" w:cs="Arial" w:eastAsia="Arial" w:hAnsi="Arial"/>
                <w:sz w:val="9"/>
                <w:szCs w:val="9"/>
                <w:b w:val="1"/>
                <w:bCs w:val="1"/>
                <w:color w:val="auto"/>
              </w:rPr>
              <w:t>(In thousands, except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4"/>
          </w:tcPr>
          <w:p>
            <w:pPr>
              <w:jc w:val="right"/>
              <w:spacing w:after="0"/>
              <w:rPr>
                <w:sz w:val="20"/>
                <w:szCs w:val="20"/>
                <w:color w:val="auto"/>
              </w:rPr>
            </w:pPr>
            <w:r>
              <w:rPr>
                <w:rFonts w:ascii="Arial" w:cs="Arial" w:eastAsia="Arial" w:hAnsi="Arial"/>
                <w:sz w:val="11"/>
                <w:szCs w:val="11"/>
                <w:b w:val="1"/>
                <w:bCs w:val="1"/>
                <w:color w:val="auto"/>
              </w:rPr>
              <w:t>per share data)</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4760"/>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Marketable 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 net of allowance for doubtful accounts of $171 and $221 at December 31, 2006 and 2005, respectively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16,917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Prepaid expenses and other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tax assets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620" w:type="dxa"/>
            <w:vAlign w:val="bottom"/>
            <w:gridSpan w:val="2"/>
          </w:tcPr>
          <w:p>
            <w:pPr>
              <w:spacing w:after="0"/>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96,567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31,243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Marketable securities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104,925</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600" w:type="dxa"/>
            <w:vAlign w:val="bottom"/>
          </w:tcPr>
          <w:p>
            <w:pPr>
              <w:ind w:left="2960"/>
              <w:spacing w:after="0"/>
              <w:rPr>
                <w:sz w:val="20"/>
                <w:szCs w:val="20"/>
                <w:color w:val="auto"/>
              </w:rPr>
            </w:pPr>
            <w:r>
              <w:rPr>
                <w:rFonts w:ascii="Arial" w:cs="Arial" w:eastAsia="Arial" w:hAnsi="Arial"/>
                <w:sz w:val="12"/>
                <w:szCs w:val="12"/>
                <w:b w:val="1"/>
                <w:bCs w:val="1"/>
                <w:color w:val="auto"/>
              </w:rPr>
              <w:t>LIABILITIES, REDEEMABLE CONVERTIBLE PREFERRED STOCK AND</w:t>
            </w: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0" w:type="dxa"/>
            <w:vAlign w:val="bottom"/>
          </w:tcPr>
          <w:p>
            <w:pPr>
              <w:ind w:left="3840"/>
              <w:spacing w:after="0"/>
              <w:rPr>
                <w:sz w:val="20"/>
                <w:szCs w:val="20"/>
                <w:color w:val="auto"/>
              </w:rPr>
            </w:pPr>
            <w:r>
              <w:rPr>
                <w:rFonts w:ascii="Arial" w:cs="Arial" w:eastAsia="Arial" w:hAnsi="Arial"/>
                <w:sz w:val="12"/>
                <w:szCs w:val="12"/>
                <w:b w:val="1"/>
                <w:bCs w:val="1"/>
                <w:color w:val="auto"/>
              </w:rPr>
              <w:t>STOCKHOLDERS’ EQUITY (DEFICIENCY)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728</w:t>
            </w:r>
          </w:p>
        </w:tc>
        <w:tc>
          <w:tcPr>
            <w:tcW w:w="2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 ($0 and $577 was due to a related party at December 31, 2006 and 2005, respectively)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Short-term portion of equipment loan payable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revenues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620" w:type="dxa"/>
            <w:vAlign w:val="bottom"/>
            <w:gridSpan w:val="2"/>
          </w:tcPr>
          <w:p>
            <w:pPr>
              <w:spacing w:after="0"/>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9,652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Equipment loan payable, less current portion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w w:val="91"/>
              </w:rPr>
              <w:t>Series A redeemable convertible preferred stock, $.0001 par value; 13,103 shares authorized, 11,549 shares issued and outstanding at December 31, 2005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(aggregate liquidation preference of $66,985 at December 31, 2005); No Series A shares outstanding as of December 31, 2006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33,493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w w:val="95"/>
              </w:rPr>
              <w:t>Series 1 convertible preferred stock, No Series 1 shares outstanding as of December 31, 2006; $.0001 par value; 2,000 shares authorized, issued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outstanding at December 31, 2005 (aggregate liquidation preference of $12,000 at December 31, 2005)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 (deficiency):</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w w:val="88"/>
              </w:rPr>
              <w:t>Common stock, $0.0001 par value; 100,000 and 30,000 shares authorized, 32,250 and 10,518 shares issued; 32,154 and 10,422 outstanding at 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0" w:type="dxa"/>
            <w:vAlign w:val="bottom"/>
          </w:tcPr>
          <w:p>
            <w:pPr>
              <w:ind w:left="220"/>
              <w:spacing w:after="0"/>
              <w:rPr>
                <w:sz w:val="20"/>
                <w:szCs w:val="20"/>
                <w:color w:val="auto"/>
              </w:rPr>
            </w:pPr>
            <w:r>
              <w:rPr>
                <w:rFonts w:ascii="Arial" w:cs="Arial" w:eastAsia="Arial" w:hAnsi="Arial"/>
                <w:sz w:val="12"/>
                <w:szCs w:val="12"/>
                <w:color w:val="auto"/>
              </w:rPr>
              <w:t>2006 and 2005, respectively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Treasury stock, at cost (96 shares at December 31, 2006 and 2005)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90,844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stock-based compensation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tcPr>
          <w:p>
            <w:pPr>
              <w:ind w:left="100"/>
              <w:spacing w:after="0"/>
              <w:rPr>
                <w:sz w:val="20"/>
                <w:szCs w:val="20"/>
                <w:color w:val="auto"/>
              </w:rPr>
            </w:pPr>
            <w:r>
              <w:rPr>
                <w:rFonts w:ascii="Arial" w:cs="Arial" w:eastAsia="Arial" w:hAnsi="Arial"/>
                <w:sz w:val="12"/>
                <w:szCs w:val="12"/>
                <w:color w:val="auto"/>
              </w:rPr>
              <w:t>Accumulated other comprehensive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Retained earnings (accumulated deficit)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(5,691)</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2"/>
                <w:szCs w:val="12"/>
                <w:color w:val="auto"/>
              </w:rPr>
              <w:t>Total stockholders’ equity (deficiency)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95,273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(4,864)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stockholders’ equity (deficiency)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104,925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STATEMENTS OF OPERATIONS</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1"/>
                <w:szCs w:val="11"/>
                <w:b w:val="1"/>
                <w:bCs w:val="1"/>
                <w:color w:val="auto"/>
                <w:w w:val="87"/>
              </w:rPr>
              <w:t>Year Ended December 31,</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2006</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2005</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380" w:type="dxa"/>
            <w:vAlign w:val="bottom"/>
            <w:gridSpan w:val="2"/>
            <w:vMerge w:val="continue"/>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except per</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85"/>
              </w:rPr>
              <w:t>share data)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72,406</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3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5"/>
              </w:rPr>
              <w:t>Cost of services ($3,714, $8,089 and $2,610 were purchased from a related party during 2006, 2005 and 2004, respectively)*</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35,643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30,205</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7,726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5,689</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3,324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10,474</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7,544</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2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57,110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45,743</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20" w:type="dxa"/>
            <w:vAlign w:val="bottom"/>
            <w:gridSpan w:val="3"/>
          </w:tcPr>
          <w:p>
            <w:pPr>
              <w:spacing w:after="0"/>
              <w:rPr>
                <w:sz w:val="20"/>
                <w:szCs w:val="20"/>
                <w:color w:val="auto"/>
              </w:rPr>
            </w:pPr>
            <w:r>
              <w:rPr>
                <w:rFonts w:ascii="Arial" w:cs="Arial" w:eastAsia="Arial" w:hAnsi="Arial"/>
                <w:sz w:val="13"/>
                <w:szCs w:val="13"/>
                <w:color w:val="auto"/>
              </w:rPr>
              <w:t>Income (loss) from operations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15,296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8,475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and other income</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47"/>
              <w:spacing w:after="0"/>
              <w:rPr>
                <w:sz w:val="20"/>
                <w:szCs w:val="20"/>
                <w:color w:val="auto"/>
              </w:rPr>
            </w:pPr>
            <w:r>
              <w:rPr>
                <w:rFonts w:ascii="Arial" w:cs="Arial" w:eastAsia="Arial" w:hAnsi="Arial"/>
                <w:sz w:val="13"/>
                <w:szCs w:val="13"/>
                <w:color w:val="auto"/>
              </w:rPr>
              <w:t>(133)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 expense</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8,600</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Income tax (expense) benefit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(7,310)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3,829</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Preferred stock accretion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47"/>
              <w:spacing w:after="0"/>
              <w:rPr>
                <w:sz w:val="20"/>
                <w:szCs w:val="20"/>
                <w:color w:val="auto"/>
              </w:rPr>
            </w:pPr>
            <w:r>
              <w:rPr>
                <w:rFonts w:ascii="Arial" w:cs="Arial" w:eastAsia="Arial" w:hAnsi="Arial"/>
                <w:sz w:val="13"/>
                <w:szCs w:val="13"/>
                <w:color w:val="auto"/>
              </w:rPr>
              <w:t>(34)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12,395</w:t>
            </w:r>
          </w:p>
        </w:tc>
        <w:tc>
          <w:tcPr>
            <w:tcW w:w="3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7"/>
        </w:trPr>
        <w:tc>
          <w:tcPr>
            <w:tcW w:w="7020" w:type="dxa"/>
            <w:vAlign w:val="bottom"/>
            <w:gridSpan w:val="3"/>
          </w:tcPr>
          <w:p>
            <w:pPr>
              <w:spacing w:after="0"/>
              <w:rPr>
                <w:sz w:val="20"/>
                <w:szCs w:val="20"/>
                <w:color w:val="auto"/>
              </w:rPr>
            </w:pPr>
            <w:r>
              <w:rPr>
                <w:rFonts w:ascii="Arial" w:cs="Arial" w:eastAsia="Arial" w:hAnsi="Arial"/>
                <w:sz w:val="13"/>
                <w:szCs w:val="13"/>
                <w:color w:val="auto"/>
              </w:rPr>
              <w:t>Net income (loss) attributable to common stockholders per Common share:</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3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0.35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0.50</w:t>
            </w:r>
          </w:p>
        </w:tc>
        <w:tc>
          <w:tcPr>
            <w:tcW w:w="3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common shares outstanding:</w:t>
            </w:r>
          </w:p>
        </w:tc>
        <w:tc>
          <w:tcPr>
            <w:tcW w:w="2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21,916</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29,196</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24,921</w:t>
            </w: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Cost of services excludes depreciation and amortization which is shown separately.</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STATEMENTS OF STOCKHOLDERS’ EQUITY (DEFICIENCY)</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8"/>
                <w:szCs w:val="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9"/>
              </w:rPr>
              <w:t>Retained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6"/>
            <w:vMerge w:val="restart"/>
          </w:tcPr>
          <w:p>
            <w:pPr>
              <w:jc w:val="right"/>
              <w:ind w:right="178"/>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0"/>
              </w:rPr>
              <w:t>Subscription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Deferred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9"/>
                <w:szCs w:val="9"/>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220"/>
              <w:spacing w:after="0" w:line="102" w:lineRule="exact"/>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88"/>
              </w:rPr>
              <w:t>Notes from</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1"/>
              </w:rPr>
              <w:t>Stock-Based</w:t>
            </w:r>
          </w:p>
        </w:tc>
        <w:tc>
          <w:tcPr>
            <w:tcW w:w="80" w:type="dxa"/>
            <w:vAlign w:val="bottom"/>
          </w:tcPr>
          <w:p>
            <w:pPr>
              <w:spacing w:after="0"/>
              <w:rPr>
                <w:sz w:val="8"/>
                <w:szCs w:val="8"/>
                <w:color w:val="auto"/>
              </w:rPr>
            </w:pPr>
          </w:p>
        </w:tc>
        <w:tc>
          <w:tcPr>
            <w:tcW w:w="800" w:type="dxa"/>
            <w:vAlign w:val="bottom"/>
            <w:gridSpan w:val="3"/>
          </w:tcPr>
          <w:p>
            <w:pPr>
              <w:jc w:val="center"/>
              <w:ind w:right="12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14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0"/>
              </w:rPr>
              <w:t>(Accumulated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140"/>
              <w:spacing w:after="0" w:line="102"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400" w:type="dxa"/>
            <w:vAlign w:val="bottom"/>
            <w:tcBorders>
              <w:top w:val="single" w:sz="8" w:color="auto"/>
            </w:tcBorders>
          </w:tcPr>
          <w:p>
            <w:pPr>
              <w:jc w:val="right"/>
              <w:ind w:right="8"/>
              <w:spacing w:after="0" w:line="89" w:lineRule="exact"/>
              <w:rPr>
                <w:sz w:val="20"/>
                <w:szCs w:val="20"/>
                <w:color w:val="auto"/>
              </w:rPr>
            </w:pPr>
            <w:r>
              <w:rPr>
                <w:rFonts w:ascii="Arial" w:cs="Arial" w:eastAsia="Arial" w:hAnsi="Arial"/>
                <w:sz w:val="9"/>
                <w:szCs w:val="9"/>
                <w:b w:val="1"/>
                <w:bCs w:val="1"/>
                <w:color w:val="auto"/>
              </w:rPr>
              <w:t>Shares</w:t>
            </w:r>
          </w:p>
        </w:tc>
        <w:tc>
          <w:tcPr>
            <w:tcW w:w="520" w:type="dxa"/>
            <w:vAlign w:val="bottom"/>
            <w:tcBorders>
              <w:top w:val="single" w:sz="8" w:color="auto"/>
            </w:tcBorders>
            <w:gridSpan w:val="3"/>
          </w:tcPr>
          <w:p>
            <w:pPr>
              <w:ind w:left="200"/>
              <w:spacing w:after="0" w:line="89"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400" w:type="dxa"/>
            <w:vAlign w:val="bottom"/>
            <w:tcBorders>
              <w:top w:val="single" w:sz="8" w:color="auto"/>
            </w:tcBorders>
            <w:gridSpan w:val="2"/>
          </w:tcPr>
          <w:p>
            <w:pPr>
              <w:jc w:val="right"/>
              <w:ind w:right="120"/>
              <w:spacing w:after="0" w:line="89" w:lineRule="exact"/>
              <w:rPr>
                <w:sz w:val="20"/>
                <w:szCs w:val="20"/>
                <w:color w:val="auto"/>
              </w:rPr>
            </w:pPr>
            <w:r>
              <w:rPr>
                <w:rFonts w:ascii="Arial" w:cs="Arial" w:eastAsia="Arial" w:hAnsi="Arial"/>
                <w:sz w:val="9"/>
                <w:szCs w:val="9"/>
                <w:b w:val="1"/>
                <w:bCs w:val="1"/>
                <w:color w:val="auto"/>
                <w:w w:val="86"/>
              </w:rPr>
              <w:t>Shares</w:t>
            </w:r>
          </w:p>
        </w:tc>
        <w:tc>
          <w:tcPr>
            <w:tcW w:w="400" w:type="dxa"/>
            <w:vAlign w:val="bottom"/>
            <w:tcBorders>
              <w:top w:val="single" w:sz="8" w:color="auto"/>
            </w:tcBorders>
            <w:gridSpan w:val="3"/>
          </w:tcPr>
          <w:p>
            <w:pPr>
              <w:ind w:left="80"/>
              <w:spacing w:after="0" w:line="89" w:lineRule="exact"/>
              <w:rPr>
                <w:sz w:val="20"/>
                <w:szCs w:val="20"/>
                <w:color w:val="auto"/>
              </w:rPr>
            </w:pPr>
            <w:r>
              <w:rPr>
                <w:rFonts w:ascii="Arial" w:cs="Arial" w:eastAsia="Arial" w:hAnsi="Arial"/>
                <w:sz w:val="9"/>
                <w:szCs w:val="9"/>
                <w:b w:val="1"/>
                <w:bCs w:val="1"/>
                <w:color w:val="auto"/>
                <w:w w:val="88"/>
              </w:rPr>
              <w:t>Amount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9"/>
                <w:szCs w:val="9"/>
                <w:b w:val="1"/>
                <w:bCs w:val="1"/>
                <w:color w:val="auto"/>
                <w:w w:val="99"/>
              </w:rPr>
              <w:t>Capital</w:t>
            </w:r>
          </w:p>
        </w:tc>
        <w:tc>
          <w:tcPr>
            <w:tcW w:w="80" w:type="dxa"/>
            <w:vAlign w:val="bottom"/>
          </w:tcPr>
          <w:p>
            <w:pPr>
              <w:spacing w:after="0"/>
              <w:rPr>
                <w:sz w:val="7"/>
                <w:szCs w:val="7"/>
                <w:color w:val="auto"/>
              </w:rPr>
            </w:pPr>
          </w:p>
        </w:tc>
        <w:tc>
          <w:tcPr>
            <w:tcW w:w="700" w:type="dxa"/>
            <w:vAlign w:val="bottom"/>
            <w:gridSpan w:val="3"/>
          </w:tcPr>
          <w:p>
            <w:pPr>
              <w:jc w:val="center"/>
              <w:ind w:right="120"/>
              <w:spacing w:after="0" w:line="89" w:lineRule="exact"/>
              <w:rPr>
                <w:sz w:val="20"/>
                <w:szCs w:val="20"/>
                <w:color w:val="auto"/>
              </w:rPr>
            </w:pPr>
            <w:r>
              <w:rPr>
                <w:rFonts w:ascii="Arial" w:cs="Arial" w:eastAsia="Arial" w:hAnsi="Arial"/>
                <w:sz w:val="9"/>
                <w:szCs w:val="9"/>
                <w:b w:val="1"/>
                <w:bCs w:val="1"/>
                <w:color w:val="auto"/>
                <w:w w:val="87"/>
              </w:rPr>
              <w:t>Stockholders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tcPr>
          <w:p>
            <w:pPr>
              <w:jc w:val="center"/>
              <w:ind w:right="180"/>
              <w:spacing w:after="0" w:line="89"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200"/>
              <w:spacing w:after="0" w:line="89" w:lineRule="exact"/>
              <w:rPr>
                <w:sz w:val="20"/>
                <w:szCs w:val="20"/>
                <w:color w:val="auto"/>
              </w:rPr>
            </w:pPr>
            <w:r>
              <w:rPr>
                <w:rFonts w:ascii="Arial" w:cs="Arial" w:eastAsia="Arial" w:hAnsi="Arial"/>
                <w:sz w:val="9"/>
                <w:szCs w:val="9"/>
                <w:b w:val="1"/>
                <w:bCs w:val="1"/>
                <w:color w:val="auto"/>
                <w:w w:val="85"/>
              </w:rPr>
              <w:t>Loss</w:t>
            </w:r>
          </w:p>
        </w:tc>
        <w:tc>
          <w:tcPr>
            <w:tcW w:w="140" w:type="dxa"/>
            <w:vAlign w:val="bottom"/>
          </w:tcPr>
          <w:p>
            <w:pPr>
              <w:spacing w:after="0"/>
              <w:rPr>
                <w:sz w:val="7"/>
                <w:szCs w:val="7"/>
                <w:color w:val="auto"/>
              </w:rPr>
            </w:pPr>
          </w:p>
        </w:tc>
        <w:tc>
          <w:tcPr>
            <w:tcW w:w="760" w:type="dxa"/>
            <w:vAlign w:val="bottom"/>
            <w:gridSpan w:val="2"/>
          </w:tcPr>
          <w:p>
            <w:pPr>
              <w:jc w:val="center"/>
              <w:ind w:right="180"/>
              <w:spacing w:after="0" w:line="89" w:lineRule="exact"/>
              <w:rPr>
                <w:sz w:val="20"/>
                <w:szCs w:val="20"/>
                <w:color w:val="auto"/>
              </w:rPr>
            </w:pPr>
            <w:r>
              <w:rPr>
                <w:rFonts w:ascii="Arial" w:cs="Arial" w:eastAsia="Arial" w:hAnsi="Arial"/>
                <w:sz w:val="9"/>
                <w:szCs w:val="9"/>
                <w:b w:val="1"/>
                <w:bCs w:val="1"/>
                <w:color w:val="auto"/>
                <w:w w:val="98"/>
              </w:rPr>
              <w:t>Deficit)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140"/>
              <w:spacing w:after="0" w:line="89" w:lineRule="exact"/>
              <w:rPr>
                <w:sz w:val="20"/>
                <w:szCs w:val="20"/>
                <w:color w:val="auto"/>
              </w:rPr>
            </w:pPr>
            <w:r>
              <w:rPr>
                <w:rFonts w:ascii="Arial" w:cs="Arial" w:eastAsia="Arial" w:hAnsi="Arial"/>
                <w:sz w:val="9"/>
                <w:szCs w:val="9"/>
                <w:b w:val="1"/>
                <w:bCs w:val="1"/>
                <w:color w:val="auto"/>
                <w:w w:val="90"/>
              </w:rPr>
              <w:t>(Deficiency)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6"/>
          </w:tcPr>
          <w:p>
            <w:pPr>
              <w:jc w:val="right"/>
              <w:ind w:right="700"/>
              <w:spacing w:after="0"/>
              <w:rPr>
                <w:sz w:val="20"/>
                <w:szCs w:val="20"/>
                <w:color w:val="auto"/>
              </w:rPr>
            </w:pPr>
            <w:r>
              <w:rPr>
                <w:rFonts w:ascii="Arial" w:cs="Arial" w:eastAsia="Arial" w:hAnsi="Arial"/>
                <w:sz w:val="9"/>
                <w:szCs w:val="9"/>
                <w:b w:val="1"/>
                <w:bCs w:val="1"/>
                <w:color w:val="auto"/>
              </w:rPr>
              <w:t>(In thousands)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3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Balance December 31, 2003</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10,501</w:t>
            </w:r>
          </w:p>
        </w:tc>
        <w:tc>
          <w:tcPr>
            <w:tcW w:w="400" w:type="dxa"/>
            <w:vAlign w:val="bottom"/>
            <w:gridSpan w:val="2"/>
            <w:shd w:val="clear" w:color="auto" w:fill="CCEEFF"/>
          </w:tcPr>
          <w:p>
            <w:pPr>
              <w:ind w:left="20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w:t>
            </w:r>
          </w:p>
        </w:tc>
        <w:tc>
          <w:tcPr>
            <w:tcW w:w="600" w:type="dxa"/>
            <w:vAlign w:val="bottom"/>
            <w:gridSpan w:val="3"/>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(96)</w:t>
            </w:r>
          </w:p>
        </w:tc>
        <w:tc>
          <w:tcPr>
            <w:tcW w:w="200" w:type="dxa"/>
            <w:vAlign w:val="bottom"/>
            <w:gridSpan w:val="2"/>
            <w:shd w:val="clear" w:color="auto" w:fill="CCEEFF"/>
          </w:tcPr>
          <w:p>
            <w:pPr>
              <w:ind w:left="80"/>
              <w:spacing w:after="0" w:line="109"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38"/>
              <w:spacing w:after="0" w:line="109" w:lineRule="exact"/>
              <w:rPr>
                <w:sz w:val="20"/>
                <w:szCs w:val="20"/>
                <w:color w:val="auto"/>
              </w:rPr>
            </w:pPr>
            <w:r>
              <w:rPr>
                <w:rFonts w:ascii="Arial" w:cs="Arial" w:eastAsia="Arial" w:hAnsi="Arial"/>
                <w:sz w:val="11"/>
                <w:szCs w:val="11"/>
                <w:color w:val="auto"/>
              </w:rPr>
              <w:t>(19)</w:t>
            </w:r>
          </w:p>
        </w:tc>
        <w:tc>
          <w:tcPr>
            <w:tcW w:w="16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904</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(556)</w:t>
            </w:r>
          </w:p>
        </w:tc>
        <w:tc>
          <w:tcPr>
            <w:tcW w:w="1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(18,113)</w:t>
            </w:r>
          </w:p>
        </w:tc>
        <w:tc>
          <w:tcPr>
            <w:tcW w:w="1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(17,783)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Interest on notes</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(30)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60"/>
              <w:spacing w:after="0" w:line="109"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w w:val="97"/>
              </w:rPr>
              <w:t>Accretion of Series A redeemable convertible preferred stock</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Employee’s repayment of notes</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1"/>
                <w:szCs w:val="11"/>
                <w:color w:val="auto"/>
              </w:rPr>
              <w:t>50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w w:val="99"/>
              </w:rPr>
              <w:t>Issuance of common stock on exercise of employee options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Comprehensive loss:</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180"/>
              <w:spacing w:after="0" w:line="109" w:lineRule="exact"/>
              <w:rPr>
                <w:sz w:val="20"/>
                <w:szCs w:val="20"/>
                <w:color w:val="auto"/>
              </w:rPr>
            </w:pPr>
            <w:r>
              <w:rPr>
                <w:rFonts w:ascii="Arial" w:cs="Arial" w:eastAsia="Arial" w:hAnsi="Arial"/>
                <w:sz w:val="11"/>
                <w:szCs w:val="11"/>
                <w:color w:val="auto"/>
              </w:rPr>
              <w:t>Net loss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180"/>
              <w:spacing w:after="0" w:line="109" w:lineRule="exact"/>
              <w:rPr>
                <w:sz w:val="20"/>
                <w:szCs w:val="20"/>
                <w:color w:val="auto"/>
              </w:rPr>
            </w:pPr>
            <w:r>
              <w:rPr>
                <w:rFonts w:ascii="Arial" w:cs="Arial" w:eastAsia="Arial" w:hAnsi="Arial"/>
                <w:sz w:val="11"/>
                <w:szCs w:val="11"/>
                <w:color w:val="auto"/>
              </w:rPr>
              <w:t>Unrealized loss on investments in marketable securities</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(111)</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60"/>
              <w:spacing w:after="0" w:line="109" w:lineRule="exact"/>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Net total comprehensive loss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09"/>
        </w:trPr>
        <w:tc>
          <w:tcPr>
            <w:tcW w:w="3020" w:type="dxa"/>
            <w:vAlign w:val="bottom"/>
            <w:gridSpan w:val="2"/>
          </w:tcPr>
          <w:p>
            <w:pPr>
              <w:spacing w:after="0" w:line="109" w:lineRule="exact"/>
              <w:rPr>
                <w:sz w:val="20"/>
                <w:szCs w:val="20"/>
                <w:color w:val="auto"/>
              </w:rPr>
            </w:pPr>
            <w:r>
              <w:rPr>
                <w:rFonts w:ascii="Arial" w:cs="Arial" w:eastAsia="Arial" w:hAnsi="Arial"/>
                <w:sz w:val="11"/>
                <w:szCs w:val="11"/>
                <w:color w:val="auto"/>
              </w:rPr>
              <w:t>Balance December 31, 2004</w:t>
            </w:r>
          </w:p>
        </w:tc>
        <w:tc>
          <w:tcPr>
            <w:tcW w:w="4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10,503</w:t>
            </w: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9"/>
                <w:szCs w:val="9"/>
                <w:color w:val="auto"/>
              </w:rPr>
            </w:pPr>
          </w:p>
        </w:tc>
        <w:tc>
          <w:tcPr>
            <w:tcW w:w="2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(96)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w w:val="91"/>
              </w:rPr>
              <w:t>(19)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869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(536)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(111)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(18,120)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(17,916)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Interest on notes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Deferred stock-based compensation</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9" w:lineRule="exact"/>
              <w:rPr>
                <w:sz w:val="20"/>
                <w:szCs w:val="20"/>
                <w:color w:val="auto"/>
              </w:rPr>
            </w:pPr>
            <w:r>
              <w:rPr>
                <w:rFonts w:ascii="Arial" w:cs="Arial" w:eastAsia="Arial" w:hAnsi="Arial"/>
                <w:sz w:val="11"/>
                <w:szCs w:val="11"/>
                <w:color w:val="auto"/>
              </w:rPr>
              <w:t>847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(847)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Amortization of deferred compensation</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120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w w:val="92"/>
              </w:rPr>
              <w:t>Reversal of deferred compensation due to employee termination</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(25)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25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w w:val="97"/>
              </w:rPr>
              <w:t>Accretion of Series A redeemable convertible preferred stock</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Employee’s repayment of notes and interest</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1"/>
                <w:szCs w:val="11"/>
                <w:color w:val="auto"/>
              </w:rPr>
              <w:t>545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545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w w:val="99"/>
              </w:rPr>
              <w:t>Issuance of common stock on exercise of employee options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15</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180"/>
              <w:spacing w:after="0" w:line="109" w:lineRule="exact"/>
              <w:rPr>
                <w:sz w:val="20"/>
                <w:szCs w:val="20"/>
                <w:color w:val="auto"/>
              </w:rPr>
            </w:pPr>
            <w:r>
              <w:rPr>
                <w:rFonts w:ascii="Arial" w:cs="Arial" w:eastAsia="Arial" w:hAnsi="Arial"/>
                <w:sz w:val="11"/>
                <w:szCs w:val="11"/>
                <w:color w:val="auto"/>
              </w:rPr>
              <w:t>Net income</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12,429</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12,429</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180"/>
              <w:spacing w:after="0" w:line="109" w:lineRule="exact"/>
              <w:rPr>
                <w:sz w:val="20"/>
                <w:szCs w:val="20"/>
                <w:color w:val="auto"/>
              </w:rPr>
            </w:pPr>
            <w:r>
              <w:rPr>
                <w:rFonts w:ascii="Arial" w:cs="Arial" w:eastAsia="Arial" w:hAnsi="Arial"/>
                <w:sz w:val="11"/>
                <w:szCs w:val="11"/>
                <w:color w:val="auto"/>
              </w:rPr>
              <w:t>Unrealized loss on investments in marketable securities</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(3)</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60"/>
              <w:spacing w:after="0" w:line="109"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Net total comprehensive income</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12,426</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020" w:type="dxa"/>
            <w:vAlign w:val="bottom"/>
            <w:gridSpan w:val="2"/>
          </w:tcPr>
          <w:p>
            <w:pPr>
              <w:spacing w:after="0" w:line="109" w:lineRule="exact"/>
              <w:rPr>
                <w:sz w:val="20"/>
                <w:szCs w:val="20"/>
                <w:color w:val="auto"/>
              </w:rPr>
            </w:pPr>
            <w:r>
              <w:rPr>
                <w:rFonts w:ascii="Arial" w:cs="Arial" w:eastAsia="Arial" w:hAnsi="Arial"/>
                <w:sz w:val="11"/>
                <w:szCs w:val="11"/>
                <w:color w:val="auto"/>
              </w:rPr>
              <w:t>Balance December 31, 2005</w:t>
            </w:r>
          </w:p>
        </w:tc>
        <w:tc>
          <w:tcPr>
            <w:tcW w:w="4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10,518</w:t>
            </w: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9"/>
                <w:szCs w:val="9"/>
                <w:color w:val="auto"/>
              </w:rPr>
            </w:pPr>
          </w:p>
        </w:tc>
        <w:tc>
          <w:tcPr>
            <w:tcW w:w="2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(96)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w w:val="91"/>
              </w:rPr>
              <w:t>(19)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1,661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(702)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(114)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(5,691)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(4,864)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Stock-based compensation</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256</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1,075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1,075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0" w:type="dxa"/>
            <w:vAlign w:val="bottom"/>
          </w:tcPr>
          <w:p>
            <w:pPr>
              <w:ind w:left="80"/>
              <w:spacing w:after="0" w:line="96" w:lineRule="exact"/>
              <w:rPr>
                <w:sz w:val="20"/>
                <w:szCs w:val="20"/>
                <w:color w:val="auto"/>
              </w:rPr>
            </w:pPr>
            <w:r>
              <w:rPr>
                <w:rFonts w:ascii="Arial" w:cs="Arial" w:eastAsia="Arial" w:hAnsi="Arial"/>
                <w:sz w:val="11"/>
                <w:szCs w:val="11"/>
                <w:color w:val="auto"/>
              </w:rPr>
              <w:t>Reversal of deferred compensation in accordance with</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180"/>
              <w:spacing w:after="0" w:line="122" w:lineRule="exact"/>
              <w:rPr>
                <w:sz w:val="20"/>
                <w:szCs w:val="20"/>
                <w:color w:val="auto"/>
              </w:rPr>
            </w:pPr>
            <w:r>
              <w:rPr>
                <w:rFonts w:ascii="Arial" w:cs="Arial" w:eastAsia="Arial" w:hAnsi="Arial"/>
                <w:sz w:val="11"/>
                <w:szCs w:val="11"/>
                <w:color w:val="auto"/>
              </w:rPr>
              <w:t>SFAS 123(R)</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78"/>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702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w w:val="94"/>
              </w:rPr>
              <w:t>Conversion of Series A redeemable convertible preferred stock</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11,549</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33,492</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33,493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Conversion of Series 1 convertible preferred stock</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2,000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9" w:lineRule="exact"/>
              <w:rPr>
                <w:sz w:val="20"/>
                <w:szCs w:val="20"/>
                <w:color w:val="auto"/>
              </w:rPr>
            </w:pPr>
            <w:r>
              <w:rPr>
                <w:rFonts w:ascii="Arial" w:cs="Arial" w:eastAsia="Arial" w:hAnsi="Arial"/>
                <w:sz w:val="11"/>
                <w:szCs w:val="11"/>
                <w:color w:val="auto"/>
              </w:rPr>
              <w:t>1,444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1,444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Issuance of common stock</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111</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0" w:type="dxa"/>
            <w:vAlign w:val="bottom"/>
          </w:tcPr>
          <w:p>
            <w:pPr>
              <w:ind w:left="80"/>
              <w:spacing w:after="0" w:line="96" w:lineRule="exact"/>
              <w:rPr>
                <w:sz w:val="20"/>
                <w:szCs w:val="20"/>
                <w:color w:val="auto"/>
              </w:rPr>
            </w:pPr>
            <w:r>
              <w:rPr>
                <w:rFonts w:ascii="Arial" w:cs="Arial" w:eastAsia="Arial" w:hAnsi="Arial"/>
                <w:sz w:val="11"/>
                <w:szCs w:val="11"/>
                <w:color w:val="auto"/>
              </w:rPr>
              <w:t>Issuance of common stock from IPO and exercise of over-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ind w:left="180"/>
              <w:spacing w:after="0" w:line="122" w:lineRule="exact"/>
              <w:rPr>
                <w:sz w:val="20"/>
                <w:szCs w:val="20"/>
                <w:color w:val="auto"/>
              </w:rPr>
            </w:pPr>
            <w:r>
              <w:rPr>
                <w:rFonts w:ascii="Arial" w:cs="Arial" w:eastAsia="Arial" w:hAnsi="Arial"/>
                <w:sz w:val="11"/>
                <w:szCs w:val="11"/>
                <w:color w:val="auto"/>
              </w:rPr>
              <w:t>allotment exercise, net of offering costs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7,492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78"/>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52,764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52,765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Issuance of common stock on exercise of options</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324</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80"/>
              <w:spacing w:after="0" w:line="109" w:lineRule="exact"/>
              <w:rPr>
                <w:sz w:val="20"/>
                <w:szCs w:val="20"/>
                <w:color w:val="auto"/>
              </w:rPr>
            </w:pPr>
            <w:r>
              <w:rPr>
                <w:rFonts w:ascii="Arial" w:cs="Arial" w:eastAsia="Arial" w:hAnsi="Arial"/>
                <w:sz w:val="11"/>
                <w:szCs w:val="11"/>
                <w:color w:val="auto"/>
              </w:rPr>
              <w:t>Comprehensive income:</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180"/>
              <w:spacing w:after="0" w:line="109" w:lineRule="exact"/>
              <w:rPr>
                <w:sz w:val="20"/>
                <w:szCs w:val="20"/>
                <w:color w:val="auto"/>
              </w:rPr>
            </w:pPr>
            <w:r>
              <w:rPr>
                <w:rFonts w:ascii="Arial" w:cs="Arial" w:eastAsia="Arial" w:hAnsi="Arial"/>
                <w:sz w:val="11"/>
                <w:szCs w:val="11"/>
                <w:color w:val="auto"/>
              </w:rPr>
              <w:t>Net income</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10,142</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10,142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tcPr>
          <w:p>
            <w:pPr>
              <w:ind w:left="180"/>
              <w:spacing w:after="0" w:line="109" w:lineRule="exact"/>
              <w:rPr>
                <w:sz w:val="20"/>
                <w:szCs w:val="20"/>
                <w:color w:val="auto"/>
              </w:rPr>
            </w:pPr>
            <w:r>
              <w:rPr>
                <w:rFonts w:ascii="Arial" w:cs="Arial" w:eastAsia="Arial" w:hAnsi="Arial"/>
                <w:sz w:val="11"/>
                <w:szCs w:val="11"/>
                <w:color w:val="auto"/>
              </w:rPr>
              <w:t>Unrealized gain on investments in marketable securities</w:t>
            </w: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9"/>
                <w:szCs w:val="9"/>
                <w:color w:val="auto"/>
              </w:rPr>
            </w:pPr>
          </w:p>
        </w:tc>
        <w:tc>
          <w:tcPr>
            <w:tcW w:w="4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1"/>
                <w:szCs w:val="11"/>
                <w:color w:val="auto"/>
              </w:rPr>
              <w:t>108</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108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shd w:val="clear" w:color="auto" w:fill="CCEEFF"/>
          </w:tcPr>
          <w:p>
            <w:pPr>
              <w:ind w:left="80"/>
              <w:spacing w:after="0" w:line="109" w:lineRule="exact"/>
              <w:rPr>
                <w:sz w:val="20"/>
                <w:szCs w:val="20"/>
                <w:color w:val="auto"/>
              </w:rPr>
            </w:pPr>
            <w:r>
              <w:rPr>
                <w:rFonts w:ascii="Arial" w:cs="Arial" w:eastAsia="Arial" w:hAnsi="Arial"/>
                <w:sz w:val="11"/>
                <w:szCs w:val="11"/>
                <w:color w:val="auto"/>
              </w:rPr>
              <w:t>Net total comprehensive income</w:t>
            </w:r>
          </w:p>
        </w:tc>
        <w:tc>
          <w:tcPr>
            <w:tcW w:w="4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7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10,250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1"/>
                <w:szCs w:val="11"/>
                <w:color w:val="auto"/>
              </w:rPr>
              <w:t>Balance December 31, 2006 (unaudited)</w:t>
            </w: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20" w:type="dxa"/>
            <w:vAlign w:val="bottom"/>
            <w:gridSpan w:val="2"/>
            <w:vMerge w:val="continue"/>
          </w:tcPr>
          <w:p>
            <w:pPr>
              <w:spacing w:after="0"/>
              <w:rPr>
                <w:sz w:val="9"/>
                <w:szCs w:val="9"/>
                <w:color w:val="auto"/>
              </w:rPr>
            </w:pPr>
          </w:p>
        </w:tc>
        <w:tc>
          <w:tcPr>
            <w:tcW w:w="400" w:type="dxa"/>
            <w:vAlign w:val="bottom"/>
          </w:tcPr>
          <w:p>
            <w:pPr>
              <w:jc w:val="right"/>
              <w:spacing w:after="0" w:line="109" w:lineRule="exact"/>
              <w:rPr>
                <w:sz w:val="20"/>
                <w:szCs w:val="20"/>
                <w:color w:val="auto"/>
              </w:rPr>
            </w:pPr>
            <w:r>
              <w:rPr>
                <w:rFonts w:ascii="Arial" w:cs="Arial" w:eastAsia="Arial" w:hAnsi="Arial"/>
                <w:sz w:val="11"/>
                <w:szCs w:val="11"/>
                <w:color w:val="auto"/>
              </w:rPr>
              <w:t>32,250</w:t>
            </w:r>
          </w:p>
        </w:tc>
        <w:tc>
          <w:tcPr>
            <w:tcW w:w="200" w:type="dxa"/>
            <w:vAlign w:val="bottom"/>
            <w:vMerge w:val="continue"/>
          </w:tcPr>
          <w:p>
            <w:pPr>
              <w:spacing w:after="0"/>
              <w:rPr>
                <w:sz w:val="9"/>
                <w:szCs w:val="9"/>
                <w:color w:val="auto"/>
              </w:rPr>
            </w:pPr>
          </w:p>
        </w:tc>
        <w:tc>
          <w:tcPr>
            <w:tcW w:w="200" w:type="dxa"/>
            <w:vAlign w:val="bottom"/>
          </w:tcPr>
          <w:p>
            <w:pPr>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jc w:val="right"/>
              <w:spacing w:after="0" w:line="109" w:lineRule="exact"/>
              <w:rPr>
                <w:sz w:val="20"/>
                <w:szCs w:val="20"/>
                <w:color w:val="auto"/>
              </w:rPr>
            </w:pPr>
            <w:r>
              <w:rPr>
                <w:rFonts w:ascii="Arial" w:cs="Arial" w:eastAsia="Arial" w:hAnsi="Arial"/>
                <w:sz w:val="11"/>
                <w:szCs w:val="11"/>
                <w:color w:val="auto"/>
              </w:rPr>
              <w:t>3</w:t>
            </w:r>
          </w:p>
        </w:tc>
        <w:tc>
          <w:tcPr>
            <w:tcW w:w="200" w:type="dxa"/>
            <w:vAlign w:val="bottom"/>
            <w:vMerge w:val="continue"/>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1"/>
                <w:szCs w:val="11"/>
                <w:color w:val="auto"/>
              </w:rPr>
              <w:t>(96)</w:t>
            </w:r>
          </w:p>
        </w:tc>
        <w:tc>
          <w:tcPr>
            <w:tcW w:w="1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09" w:lineRule="exact"/>
              <w:rPr>
                <w:sz w:val="20"/>
                <w:szCs w:val="20"/>
                <w:color w:val="auto"/>
              </w:rPr>
            </w:pPr>
            <w:r>
              <w:rPr>
                <w:rFonts w:ascii="Arial" w:cs="Arial" w:eastAsia="Arial" w:hAnsi="Arial"/>
                <w:sz w:val="11"/>
                <w:szCs w:val="11"/>
                <w:color w:val="auto"/>
              </w:rPr>
              <w:t>(19</w:t>
            </w:r>
          </w:p>
        </w:tc>
        <w:tc>
          <w:tcPr>
            <w:tcW w:w="1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09" w:lineRule="exact"/>
              <w:rPr>
                <w:sz w:val="20"/>
                <w:szCs w:val="20"/>
                <w:color w:val="auto"/>
              </w:rPr>
            </w:pPr>
            <w:r>
              <w:rPr>
                <w:rFonts w:ascii="Arial" w:cs="Arial" w:eastAsia="Arial" w:hAnsi="Arial"/>
                <w:sz w:val="11"/>
                <w:szCs w:val="11"/>
                <w:color w:val="auto"/>
              </w:rPr>
              <w:t>90,844</w:t>
            </w:r>
          </w:p>
        </w:tc>
        <w:tc>
          <w:tcPr>
            <w:tcW w:w="1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(6)</w:t>
            </w:r>
          </w:p>
        </w:tc>
        <w:tc>
          <w:tcPr>
            <w:tcW w:w="14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4,451</w:t>
            </w:r>
          </w:p>
        </w:tc>
        <w:tc>
          <w:tcPr>
            <w:tcW w:w="1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95,273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w w:val="84"/>
              </w:rPr>
              <w:t>Year Ended December 31,</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4"/>
              <w:spacing w:after="0" w:line="99" w:lineRule="exact"/>
              <w:rPr>
                <w:sz w:val="20"/>
                <w:szCs w:val="20"/>
                <w:color w:val="auto"/>
              </w:rPr>
            </w:pPr>
            <w:r>
              <w:rPr>
                <w:rFonts w:ascii="Arial" w:cs="Arial" w:eastAsia="Arial" w:hAnsi="Arial"/>
                <w:sz w:val="11"/>
                <w:szCs w:val="11"/>
                <w:b w:val="1"/>
                <w:bCs w:val="1"/>
                <w:color w:val="auto"/>
              </w:rPr>
              <w:t>2006</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99" w:lineRule="exact"/>
              <w:rPr>
                <w:sz w:val="20"/>
                <w:szCs w:val="20"/>
                <w:color w:val="auto"/>
              </w:rPr>
            </w:pPr>
            <w:r>
              <w:rPr>
                <w:rFonts w:ascii="Arial" w:cs="Arial" w:eastAsia="Arial" w:hAnsi="Arial"/>
                <w:sz w:val="11"/>
                <w:szCs w:val="11"/>
                <w:b w:val="1"/>
                <w:bCs w:val="1"/>
                <w:color w:val="auto"/>
                <w:w w:val="97"/>
              </w:rPr>
              <w:t>2005</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4"/>
              <w:spacing w:after="0" w:line="99" w:lineRule="exact"/>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Net income (loss)</w:t>
            </w:r>
          </w:p>
        </w:tc>
        <w:tc>
          <w:tcPr>
            <w:tcW w:w="3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10,142</w:t>
            </w:r>
          </w:p>
        </w:tc>
        <w:tc>
          <w:tcPr>
            <w:tcW w:w="40" w:type="dxa"/>
            <w:vAlign w:val="bottom"/>
          </w:tcPr>
          <w:p>
            <w:pPr>
              <w:spacing w:after="0"/>
              <w:rPr>
                <w:sz w:val="13"/>
                <w:szCs w:val="13"/>
                <w:color w:val="auto"/>
              </w:rPr>
            </w:pPr>
          </w:p>
        </w:tc>
        <w:tc>
          <w:tcPr>
            <w:tcW w:w="48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3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w w:val="92"/>
              </w:rPr>
              <w:t>Adjustments to reconcile net income to net cash provided by operating activities: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Depreciation and amortization expense</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3,267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2,305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2,127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(4,644)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1,075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interest income</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 net of allowance for doubtful accounts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(3,825)</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(5,847)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(464)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assets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(1,094)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Due to a related party</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(577)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680"/>
              <w:spacing w:after="0"/>
              <w:rPr>
                <w:sz w:val="20"/>
                <w:szCs w:val="20"/>
                <w:color w:val="auto"/>
              </w:rPr>
            </w:pPr>
            <w:r>
              <w:rPr>
                <w:rFonts w:ascii="Arial" w:cs="Arial" w:eastAsia="Arial" w:hAnsi="Arial"/>
                <w:sz w:val="13"/>
                <w:szCs w:val="13"/>
                <w:color w:val="auto"/>
              </w:rPr>
              <w:t>Net cash provided by (used in) operating activities</w:t>
            </w:r>
          </w:p>
        </w:tc>
        <w:tc>
          <w:tcPr>
            <w:tcW w:w="3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13,956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8,025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(1,648)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Purchases of fixed assets</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(4,322)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(2,414)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Employees’ repayment of notes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Purchases of marketable securities available for sale</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(1,537)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(2,959)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Sale of marketable securities available for sale</w:t>
            </w:r>
          </w:p>
        </w:tc>
        <w:tc>
          <w:tcPr>
            <w:tcW w:w="3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ind w:left="680"/>
              <w:spacing w:after="0"/>
              <w:rPr>
                <w:sz w:val="20"/>
                <w:szCs w:val="20"/>
                <w:color w:val="auto"/>
              </w:rPr>
            </w:pPr>
            <w:r>
              <w:rPr>
                <w:rFonts w:ascii="Arial" w:cs="Arial" w:eastAsia="Arial" w:hAnsi="Arial"/>
                <w:sz w:val="13"/>
                <w:szCs w:val="13"/>
                <w:color w:val="auto"/>
              </w:rPr>
              <w:t>Net cash used in investing activities</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(2,045)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(1,980)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Proceeds from issuance of common stock — related party</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exercise of stock options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Proceeds from initial public offering, net of offering costs</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45,663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exercise of over-allotment option, net of offering costs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Proceeds from equipment loan</w:t>
            </w: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Repayments of equipment loan</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(667)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680"/>
              <w:spacing w:after="0"/>
              <w:rPr>
                <w:sz w:val="20"/>
                <w:szCs w:val="20"/>
                <w:color w:val="auto"/>
              </w:rPr>
            </w:pPr>
            <w:r>
              <w:rPr>
                <w:rFonts w:ascii="Arial" w:cs="Arial" w:eastAsia="Arial" w:hAnsi="Arial"/>
                <w:sz w:val="13"/>
                <w:szCs w:val="13"/>
                <w:color w:val="auto"/>
              </w:rPr>
              <w:t>Net cash provided by (used in) financing activities</w:t>
            </w:r>
          </w:p>
        </w:tc>
        <w:tc>
          <w:tcPr>
            <w:tcW w:w="3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80" w:type="dxa"/>
            <w:vAlign w:val="bottom"/>
            <w:gridSpan w:val="2"/>
            <w:vMerge w:val="continue"/>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53,208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(663)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65,119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3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73,905</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8,786</w:t>
            </w:r>
          </w:p>
        </w:tc>
        <w:tc>
          <w:tcPr>
            <w:tcW w:w="3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3,404</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gridSpan w:val="2"/>
          </w:tcPr>
          <w:p>
            <w:pPr>
              <w:ind w:left="68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3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3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980" w:type="dxa"/>
            <w:vAlign w:val="bottom"/>
            <w:gridSpan w:val="2"/>
            <w:vMerge w:val="restart"/>
          </w:tcPr>
          <w:p>
            <w:pPr>
              <w:ind w:left="680"/>
              <w:spacing w:after="0"/>
              <w:rPr>
                <w:sz w:val="20"/>
                <w:szCs w:val="20"/>
                <w:color w:val="auto"/>
              </w:rPr>
            </w:pPr>
            <w:r>
              <w:rPr>
                <w:rFonts w:ascii="Arial" w:cs="Arial" w:eastAsia="Arial" w:hAnsi="Arial"/>
                <w:sz w:val="13"/>
                <w:szCs w:val="13"/>
                <w:color w:val="auto"/>
              </w:rPr>
              <w:t>Cash paid for income taxes</w:t>
            </w: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3,902</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convertible preferred stock</w:t>
            </w:r>
          </w:p>
        </w:tc>
        <w:tc>
          <w:tcPr>
            <w:tcW w:w="310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80" w:type="dxa"/>
            <w:vAlign w:val="bottom"/>
            <w:gridSpan w:val="2"/>
          </w:tcPr>
          <w:p>
            <w:pPr>
              <w:ind w:left="680"/>
              <w:spacing w:after="0"/>
              <w:rPr>
                <w:sz w:val="20"/>
                <w:szCs w:val="20"/>
                <w:color w:val="auto"/>
              </w:rPr>
            </w:pPr>
            <w:r>
              <w:rPr>
                <w:rFonts w:ascii="Arial" w:cs="Arial" w:eastAsia="Arial" w:hAnsi="Arial"/>
                <w:sz w:val="13"/>
                <w:szCs w:val="13"/>
                <w:color w:val="auto"/>
              </w:rPr>
              <w:t>Conversion of redeemable convertible preferred stock</w:t>
            </w:r>
          </w:p>
        </w:tc>
        <w:tc>
          <w:tcPr>
            <w:tcW w:w="3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34,937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100" w:type="dxa"/>
            <w:vAlign w:val="bottom"/>
          </w:tcPr>
          <w:p>
            <w:pPr>
              <w:jc w:val="center"/>
              <w:ind w:right="1654"/>
              <w:spacing w:after="0"/>
              <w:rPr>
                <w:sz w:val="20"/>
                <w:szCs w:val="20"/>
                <w:color w:val="auto"/>
              </w:rPr>
            </w:pPr>
            <w:r>
              <w:rPr>
                <w:rFonts w:ascii="Arial" w:cs="Arial" w:eastAsia="Arial" w:hAnsi="Arial"/>
                <w:sz w:val="13"/>
                <w:szCs w:val="13"/>
                <w:color w:val="auto"/>
                <w:w w:val="89"/>
              </w:rPr>
              <w:t>See accompanying notes.</w:t>
            </w: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00" w:type="dxa"/>
            <w:vAlign w:val="bottom"/>
          </w:tcPr>
          <w:p>
            <w:pPr>
              <w:jc w:val="right"/>
              <w:ind w:right="2274"/>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6"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2"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Synchronoss Technologies, Inc. (the “Company” or “Synchronoss”) is a leading provider of on-demand multi-channel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platform enables communications service providers (“CSPs”) to take, manage and provision orders and other customer-oriented transactions and perform related critical service tasks. The Company targets complex and high-growth markets including wireless, high speed access (i.e., cable, DSL, and Wi-Max), Voice over Internet Protocol (VoIP), video and also target CSP’s bundling of these services (e.g., double, triple, and quadruple plays) and their intersection (i.e., video over wireless, IPTV, content activation). By simplifying technological complexities through the automation and integration of disparate systems, the Company’s platform automates, synchronizes and simplifies electronic order management, activation, and provisioning of these services.</w:t>
      </w:r>
    </w:p>
    <w:p>
      <w:pPr>
        <w:spacing w:after="0" w:line="57"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 before underwriting discounts and commissions.</w:t>
      </w:r>
    </w:p>
    <w:p>
      <w:pPr>
        <w:spacing w:after="0" w:line="144"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 and Summary of Significant Accounting Policies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Deferred Revenue</w:t>
      </w:r>
    </w:p>
    <w:p>
      <w:pPr>
        <w:spacing w:after="0" w:line="98" w:lineRule="exact"/>
        <w:rPr>
          <w:sz w:val="20"/>
          <w:szCs w:val="20"/>
          <w:color w:val="auto"/>
        </w:rPr>
      </w:pPr>
    </w:p>
    <w:p>
      <w:pPr>
        <w:ind w:left="680" w:right="320" w:firstLine="399"/>
        <w:spacing w:after="0" w:line="279" w:lineRule="auto"/>
        <w:rPr>
          <w:sz w:val="20"/>
          <w:szCs w:val="20"/>
          <w:color w:val="auto"/>
        </w:rPr>
      </w:pPr>
      <w:r>
        <w:rPr>
          <w:rFonts w:ascii="Arial" w:cs="Arial" w:eastAsia="Arial" w:hAnsi="Arial"/>
          <w:sz w:val="13"/>
          <w:szCs w:val="13"/>
          <w:color w:val="auto"/>
        </w:rPr>
        <w:t>The Company provides services principally on a transaction fee basis or, at times, on a fixed fee basis and recognizes the revenues as the services are performed or delivered as described below:</w:t>
      </w:r>
    </w:p>
    <w:p>
      <w:pPr>
        <w:spacing w:after="0" w:line="58" w:lineRule="exact"/>
        <w:rPr>
          <w:sz w:val="20"/>
          <w:szCs w:val="20"/>
          <w:color w:val="auto"/>
        </w:rPr>
      </w:pPr>
    </w:p>
    <w:p>
      <w:pPr>
        <w:jc w:val="both"/>
        <w:ind w:left="680" w:right="260" w:firstLine="399"/>
        <w:spacing w:after="0" w:line="266" w:lineRule="auto"/>
        <w:rPr>
          <w:sz w:val="20"/>
          <w:szCs w:val="20"/>
          <w:color w:val="auto"/>
        </w:rPr>
      </w:pPr>
      <w:r>
        <w:rPr>
          <w:rFonts w:ascii="Arial" w:cs="Arial" w:eastAsia="Arial" w:hAnsi="Arial"/>
          <w:sz w:val="13"/>
          <w:szCs w:val="13"/>
          <w:i w:val="1"/>
          <w:iCs w:val="1"/>
          <w:color w:val="auto"/>
        </w:rPr>
        <w:t xml:space="preserve">Transaction Service Arrangements: </w:t>
      </w:r>
      <w:r>
        <w:rPr>
          <w:rFonts w:ascii="Arial" w:cs="Arial" w:eastAsia="Arial" w:hAnsi="Arial"/>
          <w:sz w:val="13"/>
          <w:szCs w:val="13"/>
          <w:color w:val="auto"/>
        </w:rPr>
        <w:t>Transaction revenues consist of revenues derived from the processing of transactions through the Company’s service platform and represent</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85%, 83% and 63% of net revenues during the years ended December 31, 2006, 2005 and 2004, respectively. Transaction service arrangements include services such as equipment orders, new account set-up, number port requests, credit checks and inventory management.</w:t>
      </w:r>
    </w:p>
    <w:p>
      <w:pPr>
        <w:spacing w:after="0" w:line="67" w:lineRule="exact"/>
        <w:rPr>
          <w:sz w:val="20"/>
          <w:szCs w:val="20"/>
          <w:color w:val="auto"/>
        </w:rPr>
      </w:pPr>
    </w:p>
    <w:p>
      <w:pPr>
        <w:ind w:left="680" w:right="40" w:firstLine="399"/>
        <w:spacing w:after="0" w:line="284" w:lineRule="auto"/>
        <w:rPr>
          <w:sz w:val="20"/>
          <w:szCs w:val="20"/>
          <w:color w:val="auto"/>
        </w:rPr>
      </w:pPr>
      <w:r>
        <w:rPr>
          <w:rFonts w:ascii="Arial" w:cs="Arial" w:eastAsia="Arial" w:hAnsi="Arial"/>
          <w:sz w:val="12"/>
          <w:szCs w:val="12"/>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Many of our contracts guarantee minimum volume transactions from the customer. In these instances, if the customer’s 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in revenues during the years ended December 31, 2006, 2005 and 2004</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680" w:right="120"/>
        <w:spacing w:after="0" w:line="266" w:lineRule="auto"/>
        <w:rPr>
          <w:sz w:val="20"/>
          <w:szCs w:val="20"/>
          <w:color w:val="auto"/>
        </w:rPr>
      </w:pPr>
      <w:r>
        <w:rPr>
          <w:rFonts w:ascii="Arial" w:cs="Arial" w:eastAsia="Arial" w:hAnsi="Arial"/>
          <w:sz w:val="13"/>
          <w:szCs w:val="13"/>
          <w:color w:val="auto"/>
        </w:rPr>
        <w:t>was $358, $363 and $650, respectively.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services represented approximately 13%, 11% and 20% of net revenues for the years ended December 31, 2006, 2005 and 2004,</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on a monthly basis, as services are performed and all other elements of revenue recognition have been satisfied.</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9"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the Company would recognize the professional service revenues ratably over the remaining term of the transaction contract. For the years ended December 31, 2006, 2005 and 2004, all professional services have been accounted for separately.</w:t>
      </w:r>
    </w:p>
    <w:p>
      <w:pPr>
        <w:spacing w:after="0" w:line="58"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which are generally based upon fixed fees represent approximately 2%, 6% and 17% of net revenues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years ended December 31, 2006, 2005 and 2004, respectively, and relate principally to the Company’s enterprise portal management services. The Company records revenues on a straight-line basis over the life of the contract for its subscription service contracts.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8"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cash equivalents and marketable securities. Concentration of credit risk with respect to accounts receivable is limited because of the creditworthiness of the Company’s major customers.</w:t>
      </w:r>
    </w:p>
    <w:p>
      <w:pPr>
        <w:spacing w:after="0" w:line="7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Two customers accounted for 76%, 88% and 94% of net revenues 2006, 2005 and 2004, respectively. Two customers accounted for 68%, 87% and 98% of accounts receivable at December 31, 2006, 2005 and 2004, respectively. We are the primary provider of e-commerce transaction management solutions to Cingular Wireless, our largest customer, under an agreement which runs through January of 2008, but will be automatically renewed for an additional twelve months unless either party terminates prior to November 1, 2007. Under the terms of this agreement, Cingular Wireless may terminate its relationship with us for convenience, although we believe Cingular would encounter substantial costs in replacing our transaction management solution.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 xml:space="preserve">Statement of Financial Accounting Standards (“SFAS”) No. 107, </w:t>
      </w:r>
      <w:r>
        <w:rPr>
          <w:rFonts w:ascii="Arial" w:cs="Arial" w:eastAsia="Arial" w:hAnsi="Arial"/>
          <w:sz w:val="13"/>
          <w:szCs w:val="13"/>
          <w:i w:val="1"/>
          <w:iCs w:val="1"/>
          <w:color w:val="auto"/>
        </w:rPr>
        <w:t>Disclosures about Fair Value of Financial Instruments</w:t>
      </w:r>
      <w:r>
        <w:rPr>
          <w:rFonts w:ascii="Arial" w:cs="Arial" w:eastAsia="Arial" w:hAnsi="Arial"/>
          <w:sz w:val="13"/>
          <w:szCs w:val="13"/>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680" w:right="120"/>
        <w:spacing w:after="0" w:line="262" w:lineRule="auto"/>
        <w:rPr>
          <w:sz w:val="20"/>
          <w:szCs w:val="20"/>
          <w:color w:val="auto"/>
        </w:rPr>
      </w:pPr>
      <w:r>
        <w:rPr>
          <w:rFonts w:ascii="Arial" w:cs="Arial" w:eastAsia="Arial" w:hAnsi="Arial"/>
          <w:sz w:val="13"/>
          <w:szCs w:val="13"/>
          <w:color w:val="auto"/>
        </w:rPr>
        <w:t>receivable and accounts payable. The Company believes the carrying amount of its equipment loan approximates its fair value as of December 31, 2006 and 2005, since the interest rate of the equipment loan approximates a market rate. The fair value of the Company’s convertible preferred stock was not practicable to determine, as no quoted market price existed for the convertible preferred stock as of December 31, 2005. On June 20, 2006, the Company’s convertible preferred stock converted into common stock of the Company upon consummation of the IPO.</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investments purchased with a maturity of three months or less at the date of acquisition to be cash equivalents.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and Allowance for Doubtful Accounts</w:t>
      </w:r>
    </w:p>
    <w:p>
      <w:pPr>
        <w:spacing w:after="0" w:line="9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8" w:lineRule="exact"/>
        <w:rPr>
          <w:sz w:val="20"/>
          <w:szCs w:val="20"/>
          <w:color w:val="auto"/>
        </w:rPr>
      </w:pPr>
    </w:p>
    <w:p>
      <w:pPr>
        <w:ind w:left="680" w:right="20" w:firstLine="399"/>
        <w:spacing w:after="0" w:line="374" w:lineRule="auto"/>
        <w:rPr>
          <w:sz w:val="20"/>
          <w:szCs w:val="20"/>
          <w:color w:val="auto"/>
        </w:rPr>
      </w:pPr>
      <w:r>
        <w:rPr>
          <w:rFonts w:ascii="Arial" w:cs="Arial" w:eastAsia="Arial" w:hAnsi="Arial"/>
          <w:sz w:val="11"/>
          <w:szCs w:val="11"/>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Expenditures for routine maintenance and repairs are charged against operations. Major replacements, improvements and additions are capitalized.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Offering Costs</w:t>
      </w:r>
    </w:p>
    <w:p>
      <w:pPr>
        <w:spacing w:after="0" w:line="9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Costs directly attributable to the Company’s offering of its equity securities have been deferred and capitalized as part of Other assets as of December 31, 2005. The total amount related to the offering deferred as of December 31, 2005 was approximately $850. Upon the completion of the IPO and the exercise of the over-allotment option by the Company’s underwriters, approximately $7.2 million of offering costs, including the amounts deferred at December 31, 2005, were offset against the proceeds received from the IPO and the exercise of the over-allotment option.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8" w:lineRule="exact"/>
        <w:rPr>
          <w:sz w:val="20"/>
          <w:szCs w:val="20"/>
          <w:color w:val="auto"/>
        </w:rPr>
      </w:pPr>
    </w:p>
    <w:p>
      <w:pPr>
        <w:ind w:left="680" w:right="20" w:firstLine="399"/>
        <w:spacing w:after="0" w:line="318" w:lineRule="auto"/>
        <w:rPr>
          <w:sz w:val="20"/>
          <w:szCs w:val="20"/>
          <w:color w:val="auto"/>
        </w:rPr>
      </w:pPr>
      <w:r>
        <w:rPr>
          <w:rFonts w:ascii="Arial" w:cs="Arial" w:eastAsia="Arial" w:hAnsi="Arial"/>
          <w:sz w:val="11"/>
          <w:szCs w:val="11"/>
          <w:color w:val="auto"/>
        </w:rPr>
        <w:t xml:space="preserve">In accordance with SFAS No. 144, </w:t>
      </w:r>
      <w:r>
        <w:rPr>
          <w:rFonts w:ascii="Arial" w:cs="Arial" w:eastAsia="Arial" w:hAnsi="Arial"/>
          <w:sz w:val="11"/>
          <w:szCs w:val="11"/>
          <w:i w:val="1"/>
          <w:iCs w:val="1"/>
          <w:color w:val="auto"/>
        </w:rPr>
        <w:t>Accounting for the Impairment or Disposal of Long-Lived Assets</w:t>
      </w:r>
      <w:r>
        <w:rPr>
          <w:rFonts w:ascii="Arial" w:cs="Arial" w:eastAsia="Arial" w:hAnsi="Arial"/>
          <w:sz w:val="11"/>
          <w:szCs w:val="11"/>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years ended December 31, 2006, 2005 and 2004.</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Services</w:t>
      </w:r>
    </w:p>
    <w:p>
      <w:pPr>
        <w:spacing w:after="0" w:line="98"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Cost of services includes all direct materials, direct labor and those indirect costs related to revenues such as indirect labor, materials and supplies and facilities cost, exclusive of depreciation expense.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Research and development costs are expensed as incurred.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expenses advertising as incurred. Advertising expenses were $16, $40 and $1 for the years ended December 31, 2006, 2005 and 2004, respectively.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 xml:space="preserve">The Company accounts for income taxes in accordance with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determines the related deferred tax asset using enacted tax rates in effect in the years in which the differences are expected to reverse. A valuation allowance is recorded if it is “more likely than not” that a portion or all of a deferred tax asset will not be realized. During the fourth quarter of 2005, the Company determined that it was more likely than not that it will realize its future tax benefits and reduced its valuation allowance to zero.</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9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 xml:space="preserve">SFAS No. 130, </w:t>
      </w:r>
      <w:r>
        <w:rPr>
          <w:rFonts w:ascii="Arial" w:cs="Arial" w:eastAsia="Arial" w:hAnsi="Arial"/>
          <w:sz w:val="13"/>
          <w:szCs w:val="13"/>
          <w:i w:val="1"/>
          <w:iCs w:val="1"/>
          <w:color w:val="auto"/>
        </w:rPr>
        <w:t>Reporting Comprehensive Income</w:t>
      </w:r>
      <w:r>
        <w:rPr>
          <w:rFonts w:ascii="Arial" w:cs="Arial" w:eastAsia="Arial" w:hAnsi="Arial"/>
          <w:sz w:val="13"/>
          <w:szCs w:val="13"/>
          <w:color w:val="auto"/>
        </w:rPr>
        <w:t>, requires components of other comprehensive income, including unrealized gains and losses on available-for-sale securities, to be included as part of total comprehensive income. Comprehensive income is comprised of net income and other comprehensive income. The components of comprehensive income are included in the statements of stockholders’ equity (deficiency).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Basic and Diluted Net Income Attributable to Common Stockholders per Common Share</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 xml:space="preserve">The Company calculates net income per share in accordance with 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The Company determined that its Series A redeemable convertible preferred stock represented a participating security prior to the IPO. Because the Series A redeemable preferred convertible stock participates equally with common stock in dividends and unallocated income, the Company calculated basic earnings per share when the Company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jc w:val="both"/>
        <w:ind w:left="680" w:right="180"/>
        <w:spacing w:after="0" w:line="279" w:lineRule="auto"/>
        <w:rPr>
          <w:sz w:val="20"/>
          <w:szCs w:val="20"/>
          <w:color w:val="auto"/>
        </w:rPr>
      </w:pPr>
      <w:r>
        <w:rPr>
          <w:rFonts w:ascii="Arial" w:cs="Arial" w:eastAsia="Arial" w:hAnsi="Arial"/>
          <w:sz w:val="13"/>
          <w:szCs w:val="13"/>
          <w:color w:val="auto"/>
        </w:rPr>
        <w:t xml:space="preserve">reports net income using the if-converted method, which in the Company’s circumstances, is equivalent to the two class approach required by EITF 03-6, </w:t>
      </w:r>
      <w:r>
        <w:rPr>
          <w:rFonts w:ascii="Arial" w:cs="Arial" w:eastAsia="Arial" w:hAnsi="Arial"/>
          <w:sz w:val="13"/>
          <w:szCs w:val="13"/>
          <w:i w:val="1"/>
          <w:iCs w:val="1"/>
          <w:color w:val="auto"/>
        </w:rPr>
        <w:t>Participating Securities and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Two — Class Method under FASB Statement No. 128. </w:t>
      </w:r>
      <w:r>
        <w:rPr>
          <w:rFonts w:ascii="Arial" w:cs="Arial" w:eastAsia="Arial" w:hAnsi="Arial"/>
          <w:sz w:val="13"/>
          <w:szCs w:val="13"/>
          <w:color w:val="auto"/>
        </w:rPr>
        <w:t>Net losses are not allocated to the Series A redeemable convertible preferred stockholders.</w:t>
      </w:r>
    </w:p>
    <w:p>
      <w:pPr>
        <w:spacing w:after="0" w:line="58" w:lineRule="exact"/>
        <w:rPr>
          <w:sz w:val="20"/>
          <w:szCs w:val="20"/>
          <w:color w:val="auto"/>
        </w:rPr>
      </w:pPr>
    </w:p>
    <w:p>
      <w:pPr>
        <w:jc w:val="both"/>
        <w:ind w:left="680" w:right="160" w:firstLine="399"/>
        <w:spacing w:after="0" w:line="262" w:lineRule="auto"/>
        <w:rPr>
          <w:sz w:val="20"/>
          <w:szCs w:val="20"/>
          <w:color w:val="auto"/>
        </w:rPr>
      </w:pPr>
      <w:r>
        <w:rPr>
          <w:rFonts w:ascii="Arial" w:cs="Arial" w:eastAsia="Arial" w:hAnsi="Arial"/>
          <w:sz w:val="13"/>
          <w:szCs w:val="13"/>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is included in the denominator of basic earnings per share for the period such preferred stock was outstanding. The Company’s Series 1 redeemable convertible preferred stock is included in the denominator of diluted earnings per share for the period it was outstanding.</w:t>
      </w:r>
    </w:p>
    <w:p>
      <w:pPr>
        <w:spacing w:after="0" w:line="69" w:lineRule="exact"/>
        <w:rPr>
          <w:sz w:val="20"/>
          <w:szCs w:val="20"/>
          <w:color w:val="auto"/>
        </w:rPr>
      </w:pPr>
    </w:p>
    <w:p>
      <w:pPr>
        <w:jc w:val="both"/>
        <w:ind w:left="680" w:right="160" w:firstLine="399"/>
        <w:spacing w:after="0" w:line="322" w:lineRule="auto"/>
        <w:rPr>
          <w:sz w:val="20"/>
          <w:szCs w:val="20"/>
          <w:color w:val="auto"/>
        </w:rPr>
      </w:pPr>
      <w:r>
        <w:rPr>
          <w:rFonts w:ascii="Arial" w:cs="Arial" w:eastAsia="Arial" w:hAnsi="Arial"/>
          <w:sz w:val="12"/>
          <w:szCs w:val="12"/>
          <w:color w:val="auto"/>
        </w:rPr>
        <w:t>The following table provides a reconciliation of the numerator and denominator used in computing basic and diluted net income attributable to common stockholders per common share. Stock options that are anti-dilutive and excluded from the following table totaled 280, 120, and 0 for the year ended December 31, 2006, 2005 and 2004 respectively.</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1"/>
              </w:rPr>
              <w:t>Year Ended December 31,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2005</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10,142</w:t>
            </w:r>
          </w:p>
        </w:tc>
        <w:tc>
          <w:tcPr>
            <w:tcW w:w="52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Accretion of convertible preferred stock</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0"/>
              <w:spacing w:after="0"/>
              <w:rPr>
                <w:sz w:val="20"/>
                <w:szCs w:val="20"/>
                <w:color w:val="auto"/>
              </w:rPr>
            </w:pPr>
            <w:r>
              <w:rPr>
                <w:rFonts w:ascii="Arial" w:cs="Arial" w:eastAsia="Arial" w:hAnsi="Arial"/>
                <w:sz w:val="13"/>
                <w:szCs w:val="13"/>
                <w:color w:val="auto"/>
              </w:rPr>
              <w:t>Net income attributable to common stockholders</w:t>
            </w: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10,142</w:t>
            </w: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12,395</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7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w:t>
            </w: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21,869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10.367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Conversion of Series A redeemable convertible preferred stock</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 — basic</w:t>
            </w:r>
          </w:p>
        </w:tc>
        <w:tc>
          <w:tcPr>
            <w:tcW w:w="1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21,916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Dilutive effect of:</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Options, restricted shares and warrants</w:t>
            </w: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1,016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Conversion of Series 1 convertible preferred stock into common stock</w:t>
            </w:r>
          </w:p>
        </w:tc>
        <w:tc>
          <w:tcPr>
            <w:tcW w:w="1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 — diluted</w:t>
            </w:r>
          </w:p>
        </w:tc>
        <w:tc>
          <w:tcPr>
            <w:tcW w:w="1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As of December 31, 2006, the Company maintains two stock-based compensation plans, which are described more fully in Note 8. Effective January 1, 2006, the Company adopted the fair value recognition provisions of SFAS No.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(“SFAS 123(R)”)</w:t>
      </w:r>
      <w:r>
        <w:rPr>
          <w:rFonts w:ascii="Arial" w:cs="Arial" w:eastAsia="Arial" w:hAnsi="Arial"/>
          <w:sz w:val="12"/>
          <w:szCs w:val="12"/>
          <w:i w:val="1"/>
          <w:iCs w:val="1"/>
          <w:color w:val="auto"/>
        </w:rPr>
        <w:t>,</w:t>
      </w:r>
      <w:r>
        <w:rPr>
          <w:rFonts w:ascii="Arial" w:cs="Arial" w:eastAsia="Arial" w:hAnsi="Arial"/>
          <w:sz w:val="12"/>
          <w:szCs w:val="12"/>
          <w:color w:val="auto"/>
        </w:rPr>
        <w:t xml:space="preserve"> using the prospective method. Under the prospective method, compensation cost is recognized for all share-based payments granted subsequent to January 1, 2006 and is based on the grant-date fair value estimated in accordance with the provisions of SFAS 123(R). The unamortized portion of the intrinsic value of stock option awards granted prior to 2006 is amortized starting January 1, 2006 on a straight-line basis over the requisite service periods of the awards, which are currently the vesting period. Compensation expense also includes the amortization of the intrinsic values of the stock options granted prior to 2006 calculated in accordance with APB 25. Results for prior periods have not been restated. Prior to January 1, 2006, the Company accounted for its stock-based compensation plan under the recognition and measurement provisions of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(“APB 25”)</w:t>
      </w:r>
      <w:r>
        <w:rPr>
          <w:rFonts w:ascii="Arial" w:cs="Arial" w:eastAsia="Arial" w:hAnsi="Arial"/>
          <w:sz w:val="12"/>
          <w:szCs w:val="12"/>
          <w:i w:val="1"/>
          <w:iCs w:val="1"/>
          <w:color w:val="auto"/>
        </w:rPr>
        <w:t>,</w:t>
      </w:r>
      <w:r>
        <w:rPr>
          <w:rFonts w:ascii="Arial" w:cs="Arial" w:eastAsia="Arial" w:hAnsi="Arial"/>
          <w:sz w:val="12"/>
          <w:szCs w:val="12"/>
          <w:color w:val="auto"/>
        </w:rPr>
        <w:t xml:space="preserve"> and related Interpretations, as permitted by SFAS No. 123, </w:t>
      </w:r>
      <w:r>
        <w:rPr>
          <w:rFonts w:ascii="Arial" w:cs="Arial" w:eastAsia="Arial" w:hAnsi="Arial"/>
          <w:sz w:val="12"/>
          <w:szCs w:val="12"/>
          <w:i w:val="1"/>
          <w:iCs w:val="1"/>
          <w:color w:val="auto"/>
        </w:rPr>
        <w:t xml:space="preserve">Accounting for Stock-Based Compensation </w:t>
      </w:r>
      <w:r>
        <w:rPr>
          <w:rFonts w:ascii="Arial" w:cs="Arial" w:eastAsia="Arial" w:hAnsi="Arial"/>
          <w:sz w:val="12"/>
          <w:szCs w:val="12"/>
          <w:color w:val="auto"/>
        </w:rPr>
        <w:t>(“SFAS 123”). As a result of adopting SFAS 123(R) on January 1, 2006, the Company’s income before income tax expense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2006 was $871 lower than if the Company had continued to account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680" w:right="480"/>
        <w:spacing w:after="0" w:line="279" w:lineRule="auto"/>
        <w:rPr>
          <w:sz w:val="20"/>
          <w:szCs w:val="20"/>
          <w:color w:val="auto"/>
        </w:rPr>
      </w:pPr>
      <w:r>
        <w:rPr>
          <w:rFonts w:ascii="Arial" w:cs="Arial" w:eastAsia="Arial" w:hAnsi="Arial"/>
          <w:sz w:val="13"/>
          <w:szCs w:val="13"/>
          <w:color w:val="auto"/>
        </w:rPr>
        <w:t>for share-based compensation under APB 25. The Company’s net income for the year ended December 31, 2006 was $508, or $0.02 per basic and diluted share, lower than if it had continued to account for share-based compensation under APB 25.</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Prior to the adoption of SFAS 123(R), the Company presented its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Recently Issued Accounting Standards</w:t>
      </w:r>
    </w:p>
    <w:p>
      <w:pPr>
        <w:spacing w:after="0" w:line="9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 xml:space="preserve">In February 2006, the Financial Accounting Standards Board (“FASB”) issued SFAS No. 155, </w:t>
      </w:r>
      <w:r>
        <w:rPr>
          <w:rFonts w:ascii="Arial" w:cs="Arial" w:eastAsia="Arial" w:hAnsi="Arial"/>
          <w:sz w:val="13"/>
          <w:szCs w:val="13"/>
          <w:i w:val="1"/>
          <w:iCs w:val="1"/>
          <w:color w:val="auto"/>
        </w:rPr>
        <w:t>Accounting for Certain Hybrid Financial Instruments</w:t>
      </w:r>
      <w:r>
        <w:rPr>
          <w:rFonts w:ascii="Arial" w:cs="Arial" w:eastAsia="Arial" w:hAnsi="Arial"/>
          <w:sz w:val="13"/>
          <w:szCs w:val="13"/>
          <w:color w:val="auto"/>
        </w:rPr>
        <w:t xml:space="preserve"> (“SFAS 155”). SFAS 155 allows financial instruments that have embedded derivatives to be accounted for as a whole (eliminating the need to bifurcate the derivative from its host) if the holder elects to account for the whole instrument on a fair value basis. This statement is effective for all financial instruments acquired or issued after the beginning of an entity’s first fiscal year that begins after September 15, 2006. The Company does not expect that the adoption of SFAS 155 will impact the Company’s financial statements.</w:t>
      </w:r>
    </w:p>
    <w:p>
      <w:pPr>
        <w:spacing w:after="0" w:line="6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prescribes a recognition threshold and measurement attribute for the financial statement recognition and measurement of a tax position taken or expected to be taken in a tax return. In evaluating a tax position for recognition, the enterprise determines whether it is more likely than not that a tax position will be sustained upon examination which is the minimum threshold a tax position is required to meet before being recognized in the financial statements. A tax position that is recognized is then measured at the largest amount of benefit that is greater than 50 percent likely of being realized upon ultimate settlement. The adoption of FIN 48 is not expected to have a material impact on the Company’s financial statements.</w:t>
      </w:r>
    </w:p>
    <w:p>
      <w:pPr>
        <w:spacing w:after="0" w:line="55" w:lineRule="exact"/>
        <w:rPr>
          <w:sz w:val="20"/>
          <w:szCs w:val="20"/>
          <w:color w:val="auto"/>
        </w:rPr>
      </w:pPr>
    </w:p>
    <w:p>
      <w:pPr>
        <w:ind w:left="680" w:right="220" w:firstLine="399"/>
        <w:spacing w:after="0" w:line="29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is currently evaluating the impact of this Statement on the Company’s financial statements.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8" w:lineRule="exact"/>
        <w:rPr>
          <w:sz w:val="20"/>
          <w:szCs w:val="20"/>
          <w:color w:val="auto"/>
        </w:rPr>
      </w:pPr>
    </w:p>
    <w:p>
      <w:pPr>
        <w:ind w:left="680" w:right="40" w:firstLine="399"/>
        <w:spacing w:after="0" w:line="324" w:lineRule="auto"/>
        <w:rPr>
          <w:sz w:val="20"/>
          <w:szCs w:val="20"/>
          <w:color w:val="auto"/>
        </w:rPr>
      </w:pPr>
      <w:r>
        <w:rPr>
          <w:rFonts w:ascii="Arial" w:cs="Arial" w:eastAsia="Arial" w:hAnsi="Arial"/>
          <w:sz w:val="11"/>
          <w:szCs w:val="11"/>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1"/>
          <w:szCs w:val="11"/>
          <w:i w:val="1"/>
          <w:iCs w:val="1"/>
          <w:color w:val="auto"/>
        </w:rPr>
        <w:t>, Disclosure About Segments of an Enterprise and Related Information.</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available-for-sale securities held by the Company at December 31, 2006 and 2005. All securities held by the company are domestic:</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1"/>
              </w:rPr>
              <w:t>Gross</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8"/>
              <w:spacing w:after="0" w:line="109" w:lineRule="exact"/>
              <w:rPr>
                <w:sz w:val="20"/>
                <w:szCs w:val="20"/>
                <w:color w:val="auto"/>
              </w:rPr>
            </w:pPr>
            <w:r>
              <w:rPr>
                <w:rFonts w:ascii="Arial" w:cs="Arial" w:eastAsia="Arial" w:hAnsi="Arial"/>
                <w:sz w:val="11"/>
                <w:szCs w:val="11"/>
                <w:b w:val="1"/>
                <w:bCs w:val="1"/>
                <w:color w:val="auto"/>
                <w:w w:val="86"/>
              </w:rPr>
              <w:t>Unrealized</w:t>
            </w:r>
          </w:p>
        </w:tc>
        <w:tc>
          <w:tcPr>
            <w:tcW w:w="380" w:type="dxa"/>
            <w:vAlign w:val="bottom"/>
          </w:tcPr>
          <w:p>
            <w:pPr>
              <w:spacing w:after="0"/>
              <w:rPr>
                <w:sz w:val="9"/>
                <w:szCs w:val="9"/>
                <w:color w:val="auto"/>
              </w:rPr>
            </w:pPr>
          </w:p>
        </w:tc>
        <w:tc>
          <w:tcPr>
            <w:tcW w:w="920" w:type="dxa"/>
            <w:vAlign w:val="bottom"/>
            <w:gridSpan w:val="4"/>
          </w:tcPr>
          <w:p>
            <w:pPr>
              <w:jc w:val="right"/>
              <w:ind w:right="320"/>
              <w:spacing w:after="0" w:line="109" w:lineRule="exact"/>
              <w:rPr>
                <w:sz w:val="20"/>
                <w:szCs w:val="20"/>
                <w:color w:val="auto"/>
              </w:rPr>
            </w:pPr>
            <w:r>
              <w:rPr>
                <w:rFonts w:ascii="Arial" w:cs="Arial" w:eastAsia="Arial" w:hAnsi="Arial"/>
                <w:sz w:val="11"/>
                <w:szCs w:val="11"/>
                <w:b w:val="1"/>
                <w:bCs w:val="1"/>
                <w:color w:val="auto"/>
              </w:rPr>
              <w:t>Unrealized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6"/>
              <w:spacing w:after="0"/>
              <w:rPr>
                <w:sz w:val="20"/>
                <w:szCs w:val="20"/>
                <w:color w:val="auto"/>
              </w:rPr>
            </w:pPr>
            <w:r>
              <w:rPr>
                <w:rFonts w:ascii="Arial" w:cs="Arial" w:eastAsia="Arial" w:hAnsi="Arial"/>
                <w:sz w:val="11"/>
                <w:szCs w:val="11"/>
                <w:b w:val="1"/>
                <w:bCs w:val="1"/>
                <w:color w:val="auto"/>
                <w:w w:val="89"/>
              </w:rPr>
              <w:t>Cost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4"/>
              </w:rPr>
              <w:t>Gains</w:t>
            </w:r>
          </w:p>
        </w:tc>
        <w:tc>
          <w:tcPr>
            <w:tcW w:w="380" w:type="dxa"/>
            <w:vAlign w:val="bottom"/>
          </w:tcPr>
          <w:p>
            <w:pPr>
              <w:spacing w:after="0"/>
              <w:rPr>
                <w:sz w:val="10"/>
                <w:szCs w:val="10"/>
                <w:color w:val="auto"/>
              </w:rPr>
            </w:pPr>
          </w:p>
        </w:tc>
        <w:tc>
          <w:tcPr>
            <w:tcW w:w="920" w:type="dxa"/>
            <w:vAlign w:val="bottom"/>
            <w:gridSpan w:val="4"/>
          </w:tcPr>
          <w:p>
            <w:pPr>
              <w:ind w:left="200"/>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Value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2006</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1,937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5,057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(13)</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5,047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2005</w:t>
            </w:r>
          </w:p>
        </w:tc>
        <w:tc>
          <w:tcPr>
            <w:tcW w:w="9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3,416</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(60)</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3,356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7,330</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(114)</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Pr>
          <w:p>
            <w:pPr>
              <w:ind w:left="380"/>
              <w:spacing w:after="0"/>
              <w:rPr>
                <w:sz w:val="20"/>
                <w:szCs w:val="20"/>
                <w:color w:val="auto"/>
              </w:rPr>
            </w:pPr>
            <w:r>
              <w:rPr>
                <w:rFonts w:ascii="Arial" w:cs="Arial" w:eastAsia="Arial" w:hAnsi="Arial"/>
                <w:sz w:val="13"/>
                <w:szCs w:val="13"/>
                <w:color w:val="auto"/>
              </w:rPr>
              <w:t>The Company’s available-for-sale securities have the following maturities:</w:t>
            </w:r>
          </w:p>
        </w:tc>
        <w:tc>
          <w:tcPr>
            <w:tcW w:w="9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9" w:lineRule="exact"/>
              <w:rPr>
                <w:sz w:val="20"/>
                <w:szCs w:val="20"/>
                <w:color w:val="auto"/>
              </w:rPr>
            </w:pPr>
            <w:r>
              <w:rPr>
                <w:rFonts w:ascii="Arial" w:cs="Arial" w:eastAsia="Arial" w:hAnsi="Arial"/>
                <w:sz w:val="11"/>
                <w:szCs w:val="11"/>
                <w:b w:val="1"/>
                <w:bCs w:val="1"/>
                <w:color w:val="auto"/>
                <w:w w:val="81"/>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Due after one year, less than five years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5,047</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Unrealized gains and losses are reported as a component of accumulated other comprehensive loss in stockholders’ equity. For the years ended December 31, 2006, 2005 and 2004, realized gains and losses were insignificant. The cost of securities sold is based on specific identification method.</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Unrealized loss positions for which other than temporary impairments have not been recognized at December 31, 2006 is summarized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6"/>
              </w:rPr>
              <w:t>Unrealized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Value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Loss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Less than 12 months</w:t>
            </w:r>
          </w:p>
        </w:tc>
        <w:tc>
          <w:tcPr>
            <w:tcW w:w="4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5"/>
              </w:rPr>
              <w:t>2,924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80" w:type="dxa"/>
            <w:vAlign w:val="bottom"/>
          </w:tcPr>
          <w:p>
            <w:pPr>
              <w:spacing w:after="0"/>
              <w:rPr>
                <w:sz w:val="20"/>
                <w:szCs w:val="20"/>
                <w:color w:val="auto"/>
              </w:rPr>
            </w:pPr>
            <w:r>
              <w:rPr>
                <w:rFonts w:ascii="Arial" w:cs="Arial" w:eastAsia="Arial" w:hAnsi="Arial"/>
                <w:sz w:val="13"/>
                <w:szCs w:val="13"/>
                <w:color w:val="auto"/>
              </w:rPr>
              <w:t>Greater than 12 months</w:t>
            </w:r>
          </w:p>
        </w:tc>
        <w:tc>
          <w:tcPr>
            <w:tcW w:w="400" w:type="dxa"/>
            <w:vAlign w:val="bottom"/>
          </w:tcPr>
          <w:p>
            <w:pPr>
              <w:ind w:left="100"/>
              <w:spacing w:after="0"/>
              <w:rPr>
                <w:sz w:val="20"/>
                <w:szCs w:val="20"/>
                <w:color w:val="auto"/>
              </w:rPr>
            </w:pPr>
            <w:r>
              <w:rPr>
                <w:rFonts w:ascii="Arial" w:cs="Arial" w:eastAsia="Arial" w:hAnsi="Arial"/>
                <w:sz w:val="13"/>
                <w:szCs w:val="13"/>
                <w:color w:val="auto"/>
                <w:w w:val="85"/>
              </w:rPr>
              <w:t>1,166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380" w:type="dxa"/>
            <w:vAlign w:val="bottom"/>
            <w:shd w:val="clear" w:color="auto" w:fill="CCEEFF"/>
          </w:tcPr>
          <w:p>
            <w:pPr>
              <w:spacing w:after="0"/>
              <w:rPr>
                <w:sz w:val="13"/>
                <w:szCs w:val="13"/>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5"/>
              </w:rPr>
              <w:t>4,090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Unrealized losses in the Company’s portfolio relate primarily to fixed income debt securities. For these securities, the net unrealized losses are due to changes in interest rates and not changes in credit risk. The Company has concluded that the net unrealized losses in its available-for-sale marketable securities are not other-than-temporary as the Company has the ability to hold the securities to maturity.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Property and Equipment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consist of the following:</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97"/>
              </w:rPr>
              <w:t>December 31,</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rPr>
              <w:t>2006</w:t>
            </w:r>
          </w:p>
        </w:tc>
        <w:tc>
          <w:tcPr>
            <w:tcW w:w="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jc w:val="right"/>
              <w:ind w:right="175"/>
              <w:spacing w:after="0" w:line="99"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hardware</w:t>
            </w:r>
          </w:p>
        </w:tc>
        <w:tc>
          <w:tcPr>
            <w:tcW w:w="28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9,459</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Computer software</w:t>
            </w: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5,853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5,882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507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1,296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17,115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15,212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4"/>
          </w:tcPr>
          <w:p>
            <w:pPr>
              <w:jc w:val="right"/>
              <w:ind w:right="107"/>
              <w:spacing w:after="0"/>
              <w:rPr>
                <w:sz w:val="20"/>
                <w:szCs w:val="20"/>
                <w:color w:val="auto"/>
              </w:rPr>
            </w:pPr>
            <w:r>
              <w:rPr>
                <w:rFonts w:ascii="Arial" w:cs="Arial" w:eastAsia="Arial" w:hAnsi="Arial"/>
                <w:sz w:val="13"/>
                <w:szCs w:val="13"/>
                <w:color w:val="auto"/>
              </w:rPr>
              <w:t>(11,853)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0"/>
              </w:rPr>
              <w:t>(11,005)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0" w:type="dxa"/>
            <w:vAlign w:val="bottom"/>
            <w:gridSpan w:val="2"/>
          </w:tcPr>
          <w:p>
            <w:pPr>
              <w:spacing w:after="0"/>
              <w:rPr>
                <w:sz w:val="20"/>
                <w:szCs w:val="20"/>
                <w:color w:val="auto"/>
              </w:rPr>
            </w:pPr>
            <w:r>
              <w:rPr>
                <w:rFonts w:ascii="Arial" w:cs="Arial" w:eastAsia="Arial" w:hAnsi="Arial"/>
                <w:sz w:val="13"/>
                <w:szCs w:val="13"/>
                <w:b w:val="1"/>
                <w:bCs w:val="1"/>
                <w:color w:val="auto"/>
              </w:rPr>
              <w:t>5.</w:t>
            </w:r>
          </w:p>
        </w:tc>
        <w:tc>
          <w:tcPr>
            <w:tcW w:w="5200" w:type="dxa"/>
            <w:vAlign w:val="bottom"/>
          </w:tcPr>
          <w:p>
            <w:pPr>
              <w:ind w:left="120"/>
              <w:spacing w:after="0"/>
              <w:rPr>
                <w:sz w:val="20"/>
                <w:szCs w:val="20"/>
                <w:color w:val="auto"/>
              </w:rPr>
            </w:pPr>
            <w:r>
              <w:rPr>
                <w:rFonts w:ascii="Arial" w:cs="Arial" w:eastAsia="Arial" w:hAnsi="Arial"/>
                <w:sz w:val="13"/>
                <w:szCs w:val="13"/>
                <w:b w:val="1"/>
                <w:bCs w:val="1"/>
                <w:color w:val="auto"/>
              </w:rPr>
              <w:t>Accrued Expenses</w:t>
            </w:r>
          </w:p>
        </w:tc>
        <w:tc>
          <w:tcPr>
            <w:tcW w:w="2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Accrued expenses consist of the following:</w:t>
            </w:r>
          </w:p>
        </w:tc>
        <w:tc>
          <w:tcPr>
            <w:tcW w:w="2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7"/>
          </w:tcPr>
          <w:p>
            <w:pPr>
              <w:jc w:val="right"/>
              <w:ind w:right="480"/>
              <w:spacing w:after="0"/>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ind w:right="87"/>
              <w:spacing w:after="0" w:line="9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99" w:lineRule="exact"/>
              <w:rPr>
                <w:sz w:val="20"/>
                <w:szCs w:val="20"/>
                <w:color w:val="auto"/>
              </w:rPr>
            </w:pPr>
            <w:r>
              <w:rPr>
                <w:rFonts w:ascii="Arial" w:cs="Arial" w:eastAsia="Arial" w:hAnsi="Arial"/>
                <w:sz w:val="11"/>
                <w:szCs w:val="11"/>
                <w:b w:val="1"/>
                <w:bCs w:val="1"/>
                <w:color w:val="auto"/>
                <w:w w:val="97"/>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2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Accrued third party processing fees</w:t>
            </w: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1,508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other</w:t>
            </w:r>
          </w:p>
        </w:tc>
        <w:tc>
          <w:tcPr>
            <w:tcW w:w="2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Income tax payable</w:t>
            </w: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1,541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7,807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2" w:lineRule="exact"/>
        <w:rPr>
          <w:sz w:val="20"/>
          <w:szCs w:val="20"/>
          <w:color w:val="auto"/>
        </w:rPr>
      </w:pPr>
    </w:p>
    <w:p>
      <w:pPr>
        <w:ind w:left="680" w:right="340" w:firstLine="399"/>
        <w:spacing w:after="0" w:line="279" w:lineRule="auto"/>
        <w:rPr>
          <w:sz w:val="20"/>
          <w:szCs w:val="20"/>
          <w:color w:val="auto"/>
        </w:rPr>
      </w:pPr>
      <w:r>
        <w:rPr>
          <w:rFonts w:ascii="Arial" w:cs="Arial" w:eastAsia="Arial" w:hAnsi="Arial"/>
          <w:sz w:val="13"/>
          <w:szCs w:val="13"/>
          <w:color w:val="auto"/>
        </w:rPr>
        <w:t>On October 6, 2004, the Company entered into a Loan and Security Agreement (the “Agreement”) with a bank which expires on December 1, 2007. The Agreement includes a Revolving Promissory Note for up to $2,000 and an Equipment Term Note for up to $3,000.</w:t>
      </w:r>
    </w:p>
    <w:p>
      <w:pPr>
        <w:spacing w:after="0" w:line="5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Availability under the Agreement for the Revolving Promissory Note is based on defined percentages of eligible accounts receivable. Borrowings on the revolving credit agreement bear interest at the prime rate plus 1.25% (9.5% and 8.5% at December 31, 2006 and 2005, respectively).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draws against the Revolving Promissory Note as of December 31, 2006 and 2005.</w:t>
      </w:r>
    </w:p>
    <w:p>
      <w:pPr>
        <w:spacing w:after="0" w:line="53"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As of December 31, 2006 and 2005, the Company had outstanding borrowings of $666 and $1,333, respectively, against the Equipment Term Note to fund purchases of eligible equipment. Borrowings on the equipment line bear interest at the prime rate plus 1.75% (10% and 9% at December 31, 2006 and 2005, respectively) and principal and interest are payable monthly.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 paid a facility fee and certain other bank fees in connection with the financing arrangement. The agreement requires the Company to meet certain financial covenants.</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 was in compliance with the financial covenants at December 31, 2006 and 2005. Borrowings are collateralized by all of the assets of the Company.</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Structure</w:t>
      </w:r>
    </w:p>
    <w:p>
      <w:pPr>
        <w:spacing w:after="0" w:line="102" w:lineRule="exact"/>
        <w:rPr>
          <w:sz w:val="20"/>
          <w:szCs w:val="20"/>
          <w:color w:val="auto"/>
        </w:rPr>
      </w:pPr>
    </w:p>
    <w:p>
      <w:pPr>
        <w:ind w:left="680" w:right="460" w:firstLine="399"/>
        <w:spacing w:after="0" w:line="279" w:lineRule="auto"/>
        <w:rPr>
          <w:sz w:val="20"/>
          <w:szCs w:val="20"/>
          <w:color w:val="auto"/>
        </w:rPr>
      </w:pPr>
      <w:r>
        <w:rPr>
          <w:rFonts w:ascii="Arial" w:cs="Arial" w:eastAsia="Arial" w:hAnsi="Arial"/>
          <w:sz w:val="13"/>
          <w:szCs w:val="13"/>
          <w:color w:val="auto"/>
        </w:rPr>
        <w:t>As of December 31, 2006, the Company’s board of directors authorized capital stock was 110,000 shares of stock with a par value of $0.0001, of which 100,000 shares were designated common stock and 10,000 shares were designated preferred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8" w:lineRule="exact"/>
        <w:rPr>
          <w:sz w:val="20"/>
          <w:szCs w:val="20"/>
          <w:color w:val="auto"/>
        </w:rPr>
      </w:pPr>
    </w:p>
    <w:p>
      <w:pPr>
        <w:ind w:left="680" w:right="100" w:firstLine="399"/>
        <w:spacing w:after="0" w:line="259" w:lineRule="auto"/>
        <w:rPr>
          <w:sz w:val="20"/>
          <w:szCs w:val="20"/>
          <w:color w:val="auto"/>
        </w:rPr>
      </w:pPr>
      <w:r>
        <w:rPr>
          <w:rFonts w:ascii="Arial" w:cs="Arial" w:eastAsia="Arial" w:hAnsi="Arial"/>
          <w:sz w:val="13"/>
          <w:szCs w:val="13"/>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At December 31, 2005, there were 13,549 shares of common stock reserved for issuance upon the conversion of the Series 1 and Series A convertible preferred stock. On June 20, 2006, all 13,549 outstanding shares of the Company’s Series 1 and Series A convertible preferred stock were converted into shares of common stock on a one-for-one basis. As of December 31, 2006, there were 32,250 shares of common stock issued, 5,097 shares of common stock reserved for issuance under the Company’s 2000 Stock Plan (the “2000 Plan”) and 2,000 shares of common stock reserved for issuance under the Company’s 2006 Equity Incentive Plan (the “2006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8"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Preferred stock may be issued from time to time. The Company designated 2,000 shares of preferred stock as Series 1 convertible preferred stock and 13,103 shares of preferred stock as Series A redeemable convertible preferred stock as of December 31, 2005. All of the Company’s Series 1 and Series A convertible preferred stock converted into common stock on a one-for-one basis as a result of the IPO. There are no shares of preferred stock outstanding as of December 31,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Prior to 2003, the Company issued warrants to a bank as part of a loan and security agreement. As of December 31, 2005, warrants to purchase 95 shares of Series A redeemable convertible preferred stock were outstanding. The warrants automatically became exercisable for shares of common stock upon the closing of the IPO which occurred on June 20, 2006, and were outstanding as of December 31, 2006. The warrants have an exercise price of $2.90 per share (adjusted for stock splits, stock dividends, etc.). The warrants may be exercised at any time, in whole or in part, during the exercise period, which expires on May 20, 2008. No warrants were issued or exercised during the years ended December 31, 2006 or 2005.</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2"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Holders of shares of common stock which were issued upon conversion of the Company’s Series A preferred stock and holders of shares of common stock issuable upon exercise of the Company’s warrants are entitled to have their shares registered under the Securities Act of 1933, as amended (the “Securities Act”).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144"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Stock Plans</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As of December 31, 2006, the Company maintains two stock incentive plans, the 2000 Plan and the 2006 Plan. 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options. In April 2006, the Company’s board of directors adopted the 2006 Plan. The 2006 Plan became effective upon the IPO.</w:t>
      </w:r>
    </w:p>
    <w:p>
      <w:pPr>
        <w:spacing w:after="0" w:line="98" w:lineRule="exact"/>
        <w:rPr>
          <w:sz w:val="20"/>
          <w:szCs w:val="20"/>
          <w:color w:val="auto"/>
        </w:rPr>
      </w:pPr>
    </w:p>
    <w:p>
      <w:pPr>
        <w:ind w:left="680" w:right="820" w:firstLine="399"/>
        <w:spacing w:after="0" w:line="291" w:lineRule="auto"/>
        <w:rPr>
          <w:sz w:val="20"/>
          <w:szCs w:val="20"/>
          <w:color w:val="auto"/>
        </w:rPr>
      </w:pPr>
      <w:r>
        <w:rPr>
          <w:rFonts w:ascii="Arial" w:cs="Arial" w:eastAsia="Arial" w:hAnsi="Arial"/>
          <w:sz w:val="12"/>
          <w:szCs w:val="12"/>
          <w:color w:val="auto"/>
        </w:rPr>
        <w:t>Under the 2006 Plan, the Company may grant to its employees, outside directors and consultants awards in the form of incentive stock options, non-qualified stock options, shares of restricted stock and stock units or stock appreciation rights. The aggregate number of shares of common stock with respect to which all awards may be granted under the 2006 Plan is 2,000 plus any shares that remain available for issuance under the 2000 Plan. As of December 31, 2006, there were 600 and 1,196 shares available for grant or award under the 2000 and 2006 Plan, respectively. During the year ended December 31, 2006, options to purchase 736 shares of common stock were granted under the 2006 Plan.</w:t>
      </w:r>
    </w:p>
    <w:p>
      <w:pPr>
        <w:spacing w:after="0" w:line="53" w:lineRule="exact"/>
        <w:rPr>
          <w:sz w:val="20"/>
          <w:szCs w:val="20"/>
          <w:color w:val="auto"/>
        </w:rPr>
      </w:pPr>
    </w:p>
    <w:p>
      <w:pPr>
        <w:ind w:left="680" w:right="820" w:firstLine="399"/>
        <w:spacing w:after="0" w:line="287" w:lineRule="auto"/>
        <w:rPr>
          <w:sz w:val="20"/>
          <w:szCs w:val="20"/>
          <w:color w:val="auto"/>
        </w:rPr>
      </w:pPr>
      <w:r>
        <w:rPr>
          <w:rFonts w:ascii="Arial" w:cs="Arial" w:eastAsia="Arial" w:hAnsi="Arial"/>
          <w:sz w:val="12"/>
          <w:szCs w:val="12"/>
          <w:color w:val="auto"/>
        </w:rPr>
        <w:t xml:space="preserve">The Company’s board of directors administers the 2000 Plan and the 2006 Plan and is responsible for determining the individuals to be granted options or shares, the number of options or shares each individual will receive, the price per share and the exercise period of each option. In establishing its estimates of fair value of the Company’s common stock prior to the completion of the IPO, the Company considered the guidance set forth in the American Institute of Certified Public Accountants Practice Aid, </w:t>
      </w:r>
      <w:r>
        <w:rPr>
          <w:rFonts w:ascii="Arial" w:cs="Arial" w:eastAsia="Arial" w:hAnsi="Arial"/>
          <w:sz w:val="12"/>
          <w:szCs w:val="12"/>
          <w:i w:val="1"/>
          <w:iCs w:val="1"/>
          <w:color w:val="auto"/>
        </w:rPr>
        <w:t>Valuation prior to being a public company</w:t>
      </w:r>
      <w:r>
        <w:rPr>
          <w:rFonts w:ascii="Arial" w:cs="Arial" w:eastAsia="Arial" w:hAnsi="Arial"/>
          <w:sz w:val="12"/>
          <w:szCs w:val="12"/>
          <w:color w:val="auto"/>
        </w:rPr>
        <w:t xml:space="preserve"> </w:t>
      </w:r>
      <w:r>
        <w:rPr>
          <w:rFonts w:ascii="Arial" w:cs="Arial" w:eastAsia="Arial" w:hAnsi="Arial"/>
          <w:sz w:val="12"/>
          <w:szCs w:val="12"/>
          <w:i w:val="1"/>
          <w:iCs w:val="1"/>
          <w:color w:val="auto"/>
        </w:rPr>
        <w:t>of Privately-Held-Company Equity Securities Issued as Compensation</w:t>
      </w:r>
      <w:r>
        <w:rPr>
          <w:rFonts w:ascii="Arial" w:cs="Arial" w:eastAsia="Arial" w:hAnsi="Arial"/>
          <w:sz w:val="12"/>
          <w:szCs w:val="12"/>
          <w:color w:val="auto"/>
        </w:rPr>
        <w:t>, and performed a retrospective determination of the fair value of its common stock for the year ended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2005, utilizing a combination of valuation methods described elsewhere in our prospectus dated June 15, 2006.</w:t>
      </w:r>
    </w:p>
    <w:p>
      <w:pPr>
        <w:spacing w:after="0" w:line="55" w:lineRule="exact"/>
        <w:rPr>
          <w:sz w:val="20"/>
          <w:szCs w:val="20"/>
          <w:color w:val="auto"/>
        </w:rPr>
      </w:pPr>
    </w:p>
    <w:p>
      <w:pPr>
        <w:ind w:left="680" w:right="840" w:firstLine="399"/>
        <w:spacing w:after="0" w:line="266" w:lineRule="auto"/>
        <w:rPr>
          <w:sz w:val="20"/>
          <w:szCs w:val="20"/>
          <w:color w:val="auto"/>
        </w:rPr>
      </w:pPr>
      <w:r>
        <w:rPr>
          <w:rFonts w:ascii="Arial" w:cs="Arial" w:eastAsia="Arial" w:hAnsi="Arial"/>
          <w:sz w:val="13"/>
          <w:szCs w:val="13"/>
          <w:color w:val="auto"/>
        </w:rPr>
        <w:t>The following table illustrates the effect on net income and earnings per share if the Company had applied the provisions of SFAS 123 to options granted under the Company’s stock option plans for all periods presented prior to the adoption of SFAS 123(R). For purposes of this pro forma disclosure, the value of the options is estimated using a minimum value option-pricing formula and amortized to expense over the options’ vesting periods.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gridSpan w:val="7"/>
          </w:tcPr>
          <w:p>
            <w:pPr>
              <w:jc w:val="right"/>
              <w:ind w:right="160"/>
              <w:spacing w:after="0"/>
              <w:rPr>
                <w:sz w:val="20"/>
                <w:szCs w:val="20"/>
                <w:color w:val="auto"/>
              </w:rPr>
            </w:pPr>
            <w:r>
              <w:rPr>
                <w:rFonts w:ascii="Arial" w:cs="Arial" w:eastAsia="Arial" w:hAnsi="Arial"/>
                <w:sz w:val="11"/>
                <w:szCs w:val="11"/>
                <w:b w:val="1"/>
                <w:bCs w:val="1"/>
                <w:color w:val="auto"/>
                <w:w w:val="88"/>
              </w:rPr>
              <w:t>Year Ended December 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rPr>
              <w:t>2005</w:t>
            </w:r>
          </w:p>
        </w:tc>
        <w:tc>
          <w:tcPr>
            <w:tcW w:w="2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3"/>
          </w:tcPr>
          <w:p>
            <w:pPr>
              <w:jc w:val="right"/>
              <w:spacing w:after="0" w:line="99" w:lineRule="exact"/>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 — as reported</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12,395</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3"/>
                <w:szCs w:val="13"/>
                <w:color w:val="auto"/>
              </w:rPr>
              <w:t>Add: Non-cash stock-based employee compensation — as reported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w w:val="97"/>
              </w:rPr>
              <w:t>Less: Total stock-based employee compensation expense determined under the minimum value method for all awards, net of related tax effects</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3"/>
                <w:szCs w:val="13"/>
                <w:color w:val="auto"/>
              </w:rPr>
              <w:t>Net income attributable to common stockholders — pro forma</w:t>
            </w: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12,376</w:t>
            </w:r>
          </w:p>
        </w:tc>
        <w:tc>
          <w:tcPr>
            <w:tcW w:w="22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w:t>
            </w:r>
          </w:p>
        </w:tc>
        <w:tc>
          <w:tcPr>
            <w:tcW w:w="5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3"/>
                <w:szCs w:val="13"/>
                <w:color w:val="auto"/>
              </w:rPr>
              <w:t>Basic — as reported</w:t>
            </w:r>
          </w:p>
        </w:tc>
        <w:tc>
          <w:tcPr>
            <w:tcW w:w="52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0.57</w:t>
            </w:r>
          </w:p>
        </w:tc>
        <w:tc>
          <w:tcPr>
            <w:tcW w:w="2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Basic — pro forma</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8080" w:type="dxa"/>
            <w:vAlign w:val="bottom"/>
            <w:gridSpan w:val="2"/>
            <w:vMerge w:val="restart"/>
          </w:tcPr>
          <w:p>
            <w:pPr>
              <w:spacing w:after="0"/>
              <w:rPr>
                <w:sz w:val="20"/>
                <w:szCs w:val="20"/>
                <w:color w:val="auto"/>
              </w:rPr>
            </w:pPr>
            <w:r>
              <w:rPr>
                <w:rFonts w:ascii="Arial" w:cs="Arial" w:eastAsia="Arial" w:hAnsi="Arial"/>
                <w:sz w:val="13"/>
                <w:szCs w:val="13"/>
                <w:color w:val="auto"/>
              </w:rPr>
              <w:t>Diluted — as reported</w:t>
            </w: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0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0.50</w:t>
            </w:r>
          </w:p>
        </w:tc>
        <w:tc>
          <w:tcPr>
            <w:tcW w:w="22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Diluted — pro forma</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60" w:firstLine="399"/>
        <w:spacing w:after="0" w:line="279" w:lineRule="auto"/>
        <w:rPr>
          <w:sz w:val="20"/>
          <w:szCs w:val="20"/>
          <w:color w:val="auto"/>
        </w:rPr>
      </w:pPr>
      <w:r>
        <w:rPr>
          <w:rFonts w:ascii="Arial" w:cs="Arial" w:eastAsia="Arial" w:hAnsi="Arial"/>
          <w:sz w:val="13"/>
          <w:szCs w:val="13"/>
          <w:color w:val="auto"/>
        </w:rPr>
        <w:t>Upon adoption of SFAS 123(R), the Company selected the Black-Scholes option pricing model as the most appropriate model for determining the estimated fair value for stock-based awards. The weighted-average assumptions used in the Black-Scholes option pricing model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December 31, 2006</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Expected stock price volatility</w:t>
            </w:r>
          </w:p>
        </w:tc>
        <w:tc>
          <w:tcPr>
            <w:tcW w:w="6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6620" w:type="dxa"/>
            <w:vAlign w:val="bottom"/>
            <w:gridSpan w:val="3"/>
          </w:tcPr>
          <w:p>
            <w:pPr>
              <w:jc w:val="right"/>
              <w:spacing w:after="0"/>
              <w:rPr>
                <w:sz w:val="20"/>
                <w:szCs w:val="20"/>
                <w:color w:val="auto"/>
              </w:rPr>
            </w:pPr>
            <w:r>
              <w:rPr>
                <w:rFonts w:ascii="Arial" w:cs="Arial" w:eastAsia="Arial" w:hAnsi="Arial"/>
                <w:sz w:val="13"/>
                <w:szCs w:val="13"/>
                <w:color w:val="auto"/>
              </w:rPr>
              <w:t>4.72%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 (in years)</w:t>
            </w:r>
          </w:p>
        </w:tc>
        <w:tc>
          <w:tcPr>
            <w:tcW w:w="6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6620" w:type="dxa"/>
            <w:vAlign w:val="bottom"/>
            <w:gridSpan w:val="3"/>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120" w:type="dxa"/>
            <w:vAlign w:val="bottom"/>
          </w:tcPr>
          <w:p>
            <w:pPr>
              <w:jc w:val="right"/>
              <w:ind w:right="3354"/>
              <w:spacing w:after="0"/>
              <w:rPr>
                <w:sz w:val="20"/>
                <w:szCs w:val="20"/>
                <w:color w:val="auto"/>
              </w:rPr>
            </w:pPr>
            <w:r>
              <w:rPr>
                <w:rFonts w:ascii="Arial" w:cs="Arial" w:eastAsia="Arial" w:hAnsi="Arial"/>
                <w:sz w:val="13"/>
                <w:szCs w:val="13"/>
                <w:color w:val="auto"/>
              </w:rPr>
              <w:t>52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680" w:right="1100" w:firstLine="399"/>
        <w:spacing w:after="0" w:line="279" w:lineRule="auto"/>
        <w:rPr>
          <w:sz w:val="20"/>
          <w:szCs w:val="20"/>
          <w:color w:val="auto"/>
        </w:rPr>
      </w:pPr>
      <w:r>
        <w:rPr>
          <w:rFonts w:ascii="Arial" w:cs="Arial" w:eastAsia="Arial" w:hAnsi="Arial"/>
          <w:sz w:val="13"/>
          <w:szCs w:val="13"/>
          <w:color w:val="auto"/>
        </w:rPr>
        <w:t>The weighted-average fair value (as of the date of grant) of the options granted during the year ended December 31, 2006 was $4.71 and minimum values were $5.11 and $0.07 during the years ended December 31, 2005 and 2004 respectively.</w:t>
      </w:r>
    </w:p>
    <w:p>
      <w:pPr>
        <w:spacing w:after="0" w:line="58" w:lineRule="exact"/>
        <w:rPr>
          <w:sz w:val="20"/>
          <w:szCs w:val="20"/>
          <w:color w:val="auto"/>
        </w:rPr>
      </w:pPr>
    </w:p>
    <w:p>
      <w:pPr>
        <w:ind w:left="680" w:right="1160" w:firstLine="399"/>
        <w:spacing w:after="0" w:line="262" w:lineRule="auto"/>
        <w:rPr>
          <w:sz w:val="20"/>
          <w:szCs w:val="20"/>
          <w:color w:val="auto"/>
        </w:rPr>
      </w:pPr>
      <w:r>
        <w:rPr>
          <w:rFonts w:ascii="Arial" w:cs="Arial" w:eastAsia="Arial" w:hAnsi="Arial"/>
          <w:sz w:val="13"/>
          <w:szCs w:val="13"/>
          <w:color w:val="auto"/>
        </w:rPr>
        <w:t>During the year ended December 31, 2006, the Company recorded total pre-tax stock-based compensation expense of $1,075 ($625 after tax or $0.02 per diluted share), which includes both intrinsic value for equity awards issued prior to 2006 and fair value for equity awards issued during 2006. The total stock-based compensation cost related to non-vested equity awards not yet recognized as an expense as of December 31, 2006 was approximately $4.5 million. That cost is expected to be recognized over a weighted-average period of approximately 3.4 years.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Options Outstanding</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260"/>
              <w:spacing w:after="0" w:line="82" w:lineRule="exact"/>
              <w:rPr>
                <w:sz w:val="20"/>
                <w:szCs w:val="20"/>
                <w:color w:val="auto"/>
              </w:rPr>
            </w:pPr>
            <w:r>
              <w:rPr>
                <w:rFonts w:ascii="Arial" w:cs="Arial" w:eastAsia="Arial" w:hAnsi="Arial"/>
                <w:sz w:val="9"/>
                <w:szCs w:val="9"/>
                <w:b w:val="1"/>
                <w:bCs w:val="1"/>
                <w:color w:val="auto"/>
              </w:rPr>
              <w:t>Option</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1"/>
              </w:rPr>
              <w:t>Shares</w:t>
            </w:r>
          </w:p>
        </w:tc>
        <w:tc>
          <w:tcPr>
            <w:tcW w:w="90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91"/>
              </w:rPr>
              <w:t>Number</w:t>
            </w:r>
          </w:p>
        </w:tc>
        <w:tc>
          <w:tcPr>
            <w:tcW w:w="142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5"/>
              </w:rPr>
              <w:t>Exercise Price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w w:val="90"/>
              </w:rPr>
              <w:t>Weighted-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6"/>
              </w:rPr>
              <w:t>Available</w:t>
            </w:r>
          </w:p>
        </w:tc>
        <w:tc>
          <w:tcPr>
            <w:tcW w:w="90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95"/>
              </w:rPr>
              <w:t>of</w:t>
            </w:r>
          </w:p>
        </w:tc>
        <w:tc>
          <w:tcPr>
            <w:tcW w:w="142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6"/>
              </w:rPr>
              <w:t>per Share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w w:val="82"/>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for Grant</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1"/>
              </w:rPr>
              <w:t>Shares</w:t>
            </w:r>
          </w:p>
        </w:tc>
        <w:tc>
          <w:tcPr>
            <w:tcW w:w="14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Range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1,669</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$ 0.29</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Options granted</w:t>
            </w:r>
          </w:p>
        </w:tc>
        <w:tc>
          <w:tcPr>
            <w:tcW w:w="2760" w:type="dxa"/>
            <w:vAlign w:val="bottom"/>
            <w:gridSpan w:val="3"/>
          </w:tcPr>
          <w:p>
            <w:pPr>
              <w:jc w:val="right"/>
              <w:ind w:right="360"/>
              <w:spacing w:after="0"/>
              <w:rPr>
                <w:sz w:val="20"/>
                <w:szCs w:val="20"/>
                <w:color w:val="auto"/>
              </w:rPr>
            </w:pPr>
            <w:r>
              <w:rPr>
                <w:rFonts w:ascii="Arial" w:cs="Arial" w:eastAsia="Arial" w:hAnsi="Arial"/>
                <w:sz w:val="13"/>
                <w:szCs w:val="13"/>
                <w:color w:val="auto"/>
              </w:rPr>
              <w:t>(562)</w:t>
            </w:r>
          </w:p>
        </w:tc>
        <w:tc>
          <w:tcPr>
            <w:tcW w:w="500" w:type="dxa"/>
            <w:vAlign w:val="bottom"/>
          </w:tcPr>
          <w:p>
            <w:pPr>
              <w:jc w:val="right"/>
              <w:spacing w:after="0"/>
              <w:rPr>
                <w:sz w:val="20"/>
                <w:szCs w:val="20"/>
                <w:color w:val="auto"/>
              </w:rPr>
            </w:pPr>
            <w:r>
              <w:rPr>
                <w:rFonts w:ascii="Arial" w:cs="Arial" w:eastAsia="Arial" w:hAnsi="Arial"/>
                <w:sz w:val="13"/>
                <w:szCs w:val="13"/>
                <w:color w:val="auto"/>
              </w:rPr>
              <w:t>562</w:t>
            </w: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$ 0.29</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exercised</w:t>
            </w:r>
          </w:p>
        </w:tc>
        <w:tc>
          <w:tcPr>
            <w:tcW w:w="17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$ 0.29</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Options forfeited</w:t>
            </w:r>
          </w:p>
        </w:tc>
        <w:tc>
          <w:tcPr>
            <w:tcW w:w="17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w:t>
            </w:r>
          </w:p>
        </w:tc>
        <w:tc>
          <w:tcPr>
            <w:tcW w:w="4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(179)</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2004</w:t>
            </w:r>
          </w:p>
        </w:tc>
        <w:tc>
          <w:tcPr>
            <w:tcW w:w="17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Options granted</w:t>
            </w:r>
          </w:p>
        </w:tc>
        <w:tc>
          <w:tcPr>
            <w:tcW w:w="2760" w:type="dxa"/>
            <w:vAlign w:val="bottom"/>
            <w:gridSpan w:val="3"/>
          </w:tcPr>
          <w:p>
            <w:pPr>
              <w:jc w:val="right"/>
              <w:ind w:right="360"/>
              <w:spacing w:after="0"/>
              <w:rPr>
                <w:sz w:val="20"/>
                <w:szCs w:val="20"/>
                <w:color w:val="auto"/>
              </w:rPr>
            </w:pPr>
            <w:r>
              <w:rPr>
                <w:rFonts w:ascii="Arial" w:cs="Arial" w:eastAsia="Arial" w:hAnsi="Arial"/>
                <w:sz w:val="13"/>
                <w:szCs w:val="13"/>
                <w:color w:val="auto"/>
              </w:rPr>
              <w:t>(425)</w:t>
            </w:r>
          </w:p>
        </w:tc>
        <w:tc>
          <w:tcPr>
            <w:tcW w:w="500" w:type="dxa"/>
            <w:vAlign w:val="bottom"/>
          </w:tcPr>
          <w:p>
            <w:pPr>
              <w:jc w:val="right"/>
              <w:spacing w:after="0"/>
              <w:rPr>
                <w:sz w:val="20"/>
                <w:szCs w:val="20"/>
                <w:color w:val="auto"/>
              </w:rPr>
            </w:pPr>
            <w:r>
              <w:rPr>
                <w:rFonts w:ascii="Arial" w:cs="Arial" w:eastAsia="Arial" w:hAnsi="Arial"/>
                <w:sz w:val="13"/>
                <w:szCs w:val="13"/>
                <w:color w:val="auto"/>
              </w:rPr>
              <w:t>425</w:t>
            </w: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$0.45 - $10.00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exercised</w:t>
            </w:r>
          </w:p>
        </w:tc>
        <w:tc>
          <w:tcPr>
            <w:tcW w:w="17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$ 0.29</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Options forfeited</w:t>
            </w:r>
          </w:p>
        </w:tc>
        <w:tc>
          <w:tcPr>
            <w:tcW w:w="17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w:t>
            </w:r>
          </w:p>
        </w:tc>
        <w:tc>
          <w:tcPr>
            <w:tcW w:w="4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(120)</w:t>
            </w:r>
          </w:p>
        </w:tc>
        <w:tc>
          <w:tcPr>
            <w:tcW w:w="1180" w:type="dxa"/>
            <w:vAlign w:val="bottom"/>
          </w:tcPr>
          <w:p>
            <w:pPr>
              <w:jc w:val="right"/>
              <w:spacing w:after="0"/>
              <w:rPr>
                <w:sz w:val="20"/>
                <w:szCs w:val="20"/>
                <w:color w:val="auto"/>
              </w:rPr>
            </w:pPr>
            <w:r>
              <w:rPr>
                <w:rFonts w:ascii="Arial" w:cs="Arial" w:eastAsia="Arial" w:hAnsi="Arial"/>
                <w:sz w:val="13"/>
                <w:szCs w:val="13"/>
                <w:color w:val="auto"/>
              </w:rPr>
              <w:t>$0.29 - $10.00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2005</w:t>
            </w:r>
          </w:p>
        </w:tc>
        <w:tc>
          <w:tcPr>
            <w:tcW w:w="17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$0.29 - $10.00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Increase in options available for grant</w:t>
            </w:r>
          </w:p>
        </w:tc>
        <w:tc>
          <w:tcPr>
            <w:tcW w:w="2360" w:type="dxa"/>
            <w:vAlign w:val="bottom"/>
            <w:gridSpan w:val="2"/>
          </w:tcPr>
          <w:p>
            <w:pPr>
              <w:jc w:val="right"/>
              <w:spacing w:after="0"/>
              <w:rPr>
                <w:sz w:val="20"/>
                <w:szCs w:val="20"/>
                <w:color w:val="auto"/>
              </w:rPr>
            </w:pPr>
            <w:r>
              <w:rPr>
                <w:rFonts w:ascii="Arial" w:cs="Arial" w:eastAsia="Arial" w:hAnsi="Arial"/>
                <w:sz w:val="13"/>
                <w:szCs w:val="13"/>
                <w:color w:val="auto"/>
              </w:rPr>
              <w:t>2,614</w:t>
            </w:r>
          </w:p>
        </w:tc>
        <w:tc>
          <w:tcPr>
            <w:tcW w:w="4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granted</w:t>
            </w:r>
          </w:p>
        </w:tc>
        <w:tc>
          <w:tcPr>
            <w:tcW w:w="27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(1,791)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w:t>
            </w: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$6.95 - 12.68</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Options exercised</w:t>
            </w:r>
          </w:p>
        </w:tc>
        <w:tc>
          <w:tcPr>
            <w:tcW w:w="174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(324)</w:t>
            </w:r>
          </w:p>
        </w:tc>
        <w:tc>
          <w:tcPr>
            <w:tcW w:w="1180" w:type="dxa"/>
            <w:vAlign w:val="bottom"/>
          </w:tcPr>
          <w:p>
            <w:pPr>
              <w:jc w:val="right"/>
              <w:spacing w:after="0"/>
              <w:rPr>
                <w:sz w:val="20"/>
                <w:szCs w:val="20"/>
                <w:color w:val="auto"/>
              </w:rPr>
            </w:pPr>
            <w:r>
              <w:rPr>
                <w:rFonts w:ascii="Arial" w:cs="Arial" w:eastAsia="Arial" w:hAnsi="Arial"/>
                <w:sz w:val="13"/>
                <w:szCs w:val="13"/>
                <w:color w:val="auto"/>
              </w:rPr>
              <w:t>$0.29 - $ 6.19</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and restricted stock forfeited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(359)</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$0.29 - $10.00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tcPr>
          <w:p>
            <w:pPr>
              <w:ind w:left="120"/>
              <w:spacing w:after="0"/>
              <w:rPr>
                <w:sz w:val="20"/>
                <w:szCs w:val="20"/>
                <w:color w:val="auto"/>
              </w:rPr>
            </w:pPr>
            <w:r>
              <w:rPr>
                <w:rFonts w:ascii="Arial" w:cs="Arial" w:eastAsia="Arial" w:hAnsi="Arial"/>
                <w:sz w:val="13"/>
                <w:szCs w:val="13"/>
                <w:color w:val="auto"/>
              </w:rPr>
              <w:t>Restricted stock purchased from the 2000 Plan</w:t>
            </w:r>
          </w:p>
        </w:tc>
        <w:tc>
          <w:tcPr>
            <w:tcW w:w="2760" w:type="dxa"/>
            <w:vAlign w:val="bottom"/>
            <w:gridSpan w:val="3"/>
          </w:tcPr>
          <w:p>
            <w:pPr>
              <w:jc w:val="right"/>
              <w:ind w:right="360"/>
              <w:spacing w:after="0"/>
              <w:rPr>
                <w:sz w:val="20"/>
                <w:szCs w:val="20"/>
                <w:color w:val="auto"/>
              </w:rPr>
            </w:pPr>
            <w:r>
              <w:rPr>
                <w:rFonts w:ascii="Arial" w:cs="Arial" w:eastAsia="Arial" w:hAnsi="Arial"/>
                <w:sz w:val="13"/>
                <w:szCs w:val="13"/>
                <w:color w:val="auto"/>
              </w:rPr>
              <w:t>(111)</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$ 8.98</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 stock granted</w:t>
            </w:r>
          </w:p>
        </w:tc>
        <w:tc>
          <w:tcPr>
            <w:tcW w:w="17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$ 8.98</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680"/>
              <w:spacing w:after="0"/>
              <w:rPr>
                <w:sz w:val="20"/>
                <w:szCs w:val="20"/>
                <w:color w:val="auto"/>
              </w:rPr>
            </w:pPr>
            <w:r>
              <w:rPr>
                <w:rFonts w:ascii="Arial" w:cs="Arial" w:eastAsia="Arial" w:hAnsi="Arial"/>
                <w:sz w:val="13"/>
                <w:szCs w:val="13"/>
                <w:color w:val="auto"/>
              </w:rPr>
              <w:t>Balance at December 31, 2006</w:t>
            </w: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1,796</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2,187</w:t>
            </w: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$0.29 - $12.68</w:t>
            </w:r>
          </w:p>
        </w:tc>
        <w:tc>
          <w:tcPr>
            <w:tcW w:w="2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Expected to vest at December 31, 2006</w:t>
            </w:r>
          </w:p>
        </w:tc>
        <w:tc>
          <w:tcPr>
            <w:tcW w:w="1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$0.29 - $10.00</w:t>
            </w:r>
          </w:p>
        </w:tc>
        <w:tc>
          <w:tcPr>
            <w:tcW w:w="2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680"/>
              <w:spacing w:after="0"/>
              <w:rPr>
                <w:sz w:val="20"/>
                <w:szCs w:val="20"/>
                <w:color w:val="auto"/>
              </w:rPr>
            </w:pPr>
            <w:r>
              <w:rPr>
                <w:rFonts w:ascii="Arial" w:cs="Arial" w:eastAsia="Arial" w:hAnsi="Arial"/>
                <w:sz w:val="13"/>
                <w:szCs w:val="13"/>
                <w:color w:val="auto"/>
              </w:rPr>
              <w:t>Vested and exercisable at December 31, 2004</w:t>
            </w: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Vested and exercisable at December 31, 2005</w:t>
            </w:r>
          </w:p>
        </w:tc>
        <w:tc>
          <w:tcPr>
            <w:tcW w:w="1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40" w:type="dxa"/>
            <w:vAlign w:val="bottom"/>
            <w:gridSpan w:val="2"/>
          </w:tcPr>
          <w:p>
            <w:pPr>
              <w:ind w:left="680"/>
              <w:spacing w:after="0"/>
              <w:rPr>
                <w:sz w:val="20"/>
                <w:szCs w:val="20"/>
                <w:color w:val="auto"/>
              </w:rPr>
            </w:pPr>
            <w:r>
              <w:rPr>
                <w:rFonts w:ascii="Arial" w:cs="Arial" w:eastAsia="Arial" w:hAnsi="Arial"/>
                <w:sz w:val="13"/>
                <w:szCs w:val="13"/>
                <w:color w:val="auto"/>
              </w:rPr>
              <w:t>Vested and exercisable at December 31, 2006</w:t>
            </w: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40" w:type="dxa"/>
            <w:vAlign w:val="bottom"/>
          </w:tcPr>
          <w:p>
            <w:pPr>
              <w:jc w:val="right"/>
              <w:ind w:right="374"/>
              <w:spacing w:after="0"/>
              <w:rPr>
                <w:sz w:val="20"/>
                <w:szCs w:val="20"/>
                <w:color w:val="auto"/>
              </w:rPr>
            </w:pPr>
            <w:r>
              <w:rPr>
                <w:rFonts w:ascii="Arial" w:cs="Arial" w:eastAsia="Arial" w:hAnsi="Arial"/>
                <w:sz w:val="13"/>
                <w:szCs w:val="13"/>
                <w:color w:val="auto"/>
              </w:rPr>
              <w:t>53</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rPr>
              <w:t>SYNCHRONOSS TECHNOLOGIES, INC.</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w w:val="99"/>
              </w:rPr>
              <w:t>NOTES TO FINANCIAL STATEMENTS — (Continued)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Pr>
          <w:p>
            <w:pPr>
              <w:ind w:left="300"/>
              <w:spacing w:after="0"/>
              <w:rPr>
                <w:sz w:val="20"/>
                <w:szCs w:val="20"/>
                <w:color w:val="auto"/>
              </w:rPr>
            </w:pPr>
            <w:r>
              <w:rPr>
                <w:rFonts w:ascii="Arial" w:cs="Arial" w:eastAsia="Arial" w:hAnsi="Arial"/>
                <w:sz w:val="13"/>
                <w:szCs w:val="13"/>
                <w:color w:val="auto"/>
                <w:w w:val="96"/>
              </w:rPr>
              <w:t>A summary of the Company’s non-vested restricted stock at December 31, 2006, and changes during the year ended December 31, 2006, is presented below:</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Non-Vested Restricted Stock</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26"/>
        </w:trPr>
        <w:tc>
          <w:tcPr>
            <w:tcW w:w="9200" w:type="dxa"/>
            <w:vAlign w:val="bottom"/>
            <w:gridSpan w:val="3"/>
            <w:vMerge w:val="continue"/>
          </w:tcPr>
          <w:p>
            <w:pPr>
              <w:spacing w:after="0"/>
              <w:rPr>
                <w:sz w:val="10"/>
                <w:szCs w:val="1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at January 1, 2006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00" w:type="dxa"/>
            <w:vAlign w:val="bottom"/>
          </w:tcPr>
          <w:p>
            <w:pPr>
              <w:ind w:left="40"/>
              <w:spacing w:after="0"/>
              <w:rPr>
                <w:sz w:val="20"/>
                <w:szCs w:val="20"/>
                <w:color w:val="auto"/>
              </w:rPr>
            </w:pPr>
            <w:r>
              <w:rPr>
                <w:rFonts w:ascii="Arial" w:cs="Arial" w:eastAsia="Arial" w:hAnsi="Arial"/>
                <w:sz w:val="13"/>
                <w:szCs w:val="13"/>
                <w:color w:val="auto"/>
              </w:rPr>
              <w:t>Granted</w:t>
            </w:r>
          </w:p>
        </w:tc>
        <w:tc>
          <w:tcPr>
            <w:tcW w:w="680" w:type="dxa"/>
            <w:vAlign w:val="bottom"/>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00" w:type="dxa"/>
            <w:vAlign w:val="bottom"/>
          </w:tcPr>
          <w:p>
            <w:pPr>
              <w:ind w:left="40"/>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at December 31, 2006</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80" w:firstLine="399"/>
        <w:spacing w:after="0" w:line="259" w:lineRule="auto"/>
        <w:rPr>
          <w:sz w:val="20"/>
          <w:szCs w:val="20"/>
          <w:color w:val="auto"/>
        </w:rPr>
      </w:pPr>
      <w:r>
        <w:rPr>
          <w:rFonts w:ascii="Arial" w:cs="Arial" w:eastAsia="Arial" w:hAnsi="Arial"/>
          <w:sz w:val="13"/>
          <w:szCs w:val="13"/>
          <w:color w:val="auto"/>
        </w:rPr>
        <w:t>As of December 31, 2006 and 2005, the average remaining contractual life of outstanding options was approximately 9.0 and 8.4 years, respectively. Shares vested as of December 31, 2006 have an aggregate intrinsic value of approximately $13.3 million. The weighted average remaining contractual life was 7.5 years for stock options outstanding and exercisable as of December 31, 2006 and the total intrinsic value for these stock options was approximately $3.6 million. The total intrinsic value (the excess of the market price over the exercise price) for stock options exercised in 2006, 2005 and 2004 was approximately $2.3 million, $850 and $0 respectively. The amount of cash received from the exercise of stock options was approximately $110 in 2006. For the year ended December 31, 2006, the total fair value of vested options was approximately $326 and the minimum values were $62, and $12 for the years ended December 31, 2005 and 2004, respectively.</w:t>
      </w:r>
    </w:p>
    <w:p>
      <w:pPr>
        <w:spacing w:after="0" w:line="70" w:lineRule="exact"/>
        <w:rPr>
          <w:sz w:val="20"/>
          <w:szCs w:val="20"/>
          <w:color w:val="auto"/>
        </w:rPr>
      </w:pPr>
    </w:p>
    <w:p>
      <w:pPr>
        <w:ind w:left="680" w:right="820" w:firstLine="399"/>
        <w:spacing w:after="0" w:line="284" w:lineRule="auto"/>
        <w:rPr>
          <w:sz w:val="20"/>
          <w:szCs w:val="20"/>
          <w:color w:val="auto"/>
        </w:rPr>
      </w:pPr>
      <w:r>
        <w:rPr>
          <w:rFonts w:ascii="Arial" w:cs="Arial" w:eastAsia="Arial" w:hAnsi="Arial"/>
          <w:sz w:val="12"/>
          <w:szCs w:val="12"/>
          <w:color w:val="auto"/>
        </w:rPr>
        <w:t>Under the 2000 Plan, options may be exercised in whole or in part for 100% of the shares subject to vesting at any time after the date of grant. Options under the 2000 Plan generally vest 25% on the first year anniversary of the date of grant plus an additional 1/48 for each month thereafter. If an option is exercised prior to vesting, the underlying shares are subject to a right of repurchase at the exercise price paid by the option holder. The right of repurchase generally lapses with respect to the first 25% of the purchased shares when the purchaser completes 12 months of continuous service and lapses with respect to an additional 1/48 of the purchased shares when the purchaser completes each month of continuous service thereafter. Under the 2006 Plan, options may be exercised once they become vested. Options under the 2006 Plan generally vest 25% on the first anniversary of the date of grant plus an additional 1/48 for each month thereafter. There were no options exercised prior to vesting during 2006 or 2005.</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vested stock options at December 31, 2006: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Vested Stock Options</w:t>
            </w:r>
          </w:p>
        </w:tc>
        <w:tc>
          <w:tcPr>
            <w:tcW w:w="6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Weighted Average Exercise Price</w:t>
            </w:r>
          </w:p>
        </w:tc>
        <w:tc>
          <w:tcPr>
            <w:tcW w:w="6000" w:type="dxa"/>
            <w:vAlign w:val="bottom"/>
          </w:tcPr>
          <w:p>
            <w:pPr>
              <w:jc w:val="right"/>
              <w:ind w:right="34"/>
              <w:spacing w:after="0"/>
              <w:rPr>
                <w:sz w:val="20"/>
                <w:szCs w:val="20"/>
                <w:color w:val="auto"/>
              </w:rPr>
            </w:pPr>
            <w:r>
              <w:rPr>
                <w:rFonts w:ascii="Arial" w:cs="Arial" w:eastAsia="Arial" w:hAnsi="Arial"/>
                <w:sz w:val="13"/>
                <w:szCs w:val="13"/>
                <w:color w:val="auto"/>
              </w:rPr>
              <w:t>$  2.59</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Remaining Contractual Life (in years)</w:t>
            </w:r>
          </w:p>
        </w:tc>
        <w:tc>
          <w:tcPr>
            <w:tcW w:w="6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3"/>
                <w:szCs w:val="13"/>
                <w:color w:val="auto"/>
              </w:rPr>
            </w:pPr>
          </w:p>
        </w:tc>
      </w:tr>
      <w:tr>
        <w:trPr>
          <w:trHeight w:val="453"/>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00" w:type="dxa"/>
            <w:vAlign w:val="bottom"/>
          </w:tcPr>
          <w:p>
            <w:pPr>
              <w:jc w:val="right"/>
              <w:ind w:right="4854"/>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6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stock options outstanding and exercisable at December 31, 2006:</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80" w:type="dxa"/>
            <w:vAlign w:val="bottom"/>
            <w:gridSpan w:val="2"/>
          </w:tcPr>
          <w:p>
            <w:pPr>
              <w:jc w:val="right"/>
              <w:ind w:right="810"/>
              <w:spacing w:after="0"/>
              <w:rPr>
                <w:sz w:val="20"/>
                <w:szCs w:val="20"/>
                <w:color w:val="auto"/>
              </w:rPr>
            </w:pPr>
            <w:r>
              <w:rPr>
                <w:rFonts w:ascii="Arial" w:cs="Arial" w:eastAsia="Arial" w:hAnsi="Arial"/>
                <w:sz w:val="11"/>
                <w:szCs w:val="11"/>
                <w:b w:val="1"/>
                <w:bCs w:val="1"/>
                <w:color w:val="auto"/>
              </w:rPr>
              <w:t>Outstanding</w:t>
            </w:r>
          </w:p>
        </w:tc>
        <w:tc>
          <w:tcPr>
            <w:tcW w:w="40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Exercisable</w:t>
            </w:r>
          </w:p>
        </w:tc>
        <w:tc>
          <w:tcPr>
            <w:tcW w:w="0" w:type="dxa"/>
            <w:vAlign w:val="bottom"/>
          </w:tcPr>
          <w:p>
            <w:pPr>
              <w:spacing w:after="0"/>
              <w:rPr>
                <w:sz w:val="1"/>
                <w:szCs w:val="1"/>
                <w:color w:val="auto"/>
              </w:rPr>
            </w:pPr>
          </w:p>
        </w:tc>
      </w:tr>
      <w:tr>
        <w:trPr>
          <w:trHeight w:val="92"/>
        </w:trPr>
        <w:tc>
          <w:tcPr>
            <w:tcW w:w="640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E</w:t>
            </w:r>
            <w:r>
              <w:rPr>
                <w:rFonts w:ascii="Arial" w:cs="Arial" w:eastAsia="Arial" w:hAnsi="Arial"/>
                <w:sz w:val="11"/>
                <w:szCs w:val="11"/>
                <w:b w:val="1"/>
                <w:bCs w:val="1"/>
                <w:color w:val="auto"/>
              </w:rPr>
              <w:t>xercise Price</w:t>
            </w:r>
          </w:p>
        </w:tc>
        <w:tc>
          <w:tcPr>
            <w:tcW w:w="720" w:type="dxa"/>
            <w:vAlign w:val="bottom"/>
            <w:tcBorders>
              <w:top w:val="single" w:sz="8" w:color="auto"/>
            </w:tcBorders>
          </w:tcPr>
          <w:p>
            <w:pPr>
              <w:jc w:val="right"/>
              <w:ind w:right="56"/>
              <w:spacing w:after="0" w:line="92" w:lineRule="exact"/>
              <w:rPr>
                <w:sz w:val="20"/>
                <w:szCs w:val="20"/>
                <w:color w:val="auto"/>
              </w:rPr>
            </w:pPr>
            <w:r>
              <w:rPr>
                <w:rFonts w:ascii="Arial" w:cs="Arial" w:eastAsia="Arial" w:hAnsi="Arial"/>
                <w:sz w:val="9"/>
                <w:szCs w:val="9"/>
                <w:b w:val="1"/>
                <w:bCs w:val="1"/>
                <w:color w:val="auto"/>
              </w:rPr>
              <w:t>Number of</w:t>
            </w:r>
          </w:p>
        </w:tc>
        <w:tc>
          <w:tcPr>
            <w:tcW w:w="40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jc w:val="right"/>
              <w:ind w:right="290"/>
              <w:spacing w:after="0" w:line="92" w:lineRule="exact"/>
              <w:rPr>
                <w:sz w:val="20"/>
                <w:szCs w:val="20"/>
                <w:color w:val="auto"/>
              </w:rPr>
            </w:pPr>
            <w:r>
              <w:rPr>
                <w:rFonts w:ascii="Arial" w:cs="Arial" w:eastAsia="Arial" w:hAnsi="Arial"/>
                <w:sz w:val="9"/>
                <w:szCs w:val="9"/>
                <w:b w:val="1"/>
                <w:bCs w:val="1"/>
                <w:color w:val="auto"/>
              </w:rPr>
              <w:t>Remaining</w:t>
            </w:r>
          </w:p>
        </w:tc>
        <w:tc>
          <w:tcPr>
            <w:tcW w:w="400" w:type="dxa"/>
            <w:vAlign w:val="bottom"/>
          </w:tcPr>
          <w:p>
            <w:pPr>
              <w:spacing w:after="0"/>
              <w:rPr>
                <w:sz w:val="7"/>
                <w:szCs w:val="7"/>
                <w:color w:val="auto"/>
              </w:rPr>
            </w:pPr>
          </w:p>
        </w:tc>
        <w:tc>
          <w:tcPr>
            <w:tcW w:w="780" w:type="dxa"/>
            <w:vAlign w:val="bottom"/>
            <w:tcBorders>
              <w:top w:val="single" w:sz="8" w:color="auto"/>
            </w:tcBorders>
          </w:tcPr>
          <w:p>
            <w:pPr>
              <w:jc w:val="center"/>
              <w:spacing w:after="0" w:line="92" w:lineRule="exact"/>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6400" w:type="dxa"/>
            <w:vAlign w:val="bottom"/>
            <w:gridSpan w:val="2"/>
            <w:vMerge w:val="continue"/>
          </w:tcPr>
          <w:p>
            <w:pPr>
              <w:spacing w:after="0"/>
              <w:rPr>
                <w:sz w:val="10"/>
                <w:szCs w:val="10"/>
                <w:color w:val="auto"/>
              </w:rPr>
            </w:pPr>
          </w:p>
        </w:tc>
        <w:tc>
          <w:tcPr>
            <w:tcW w:w="720" w:type="dxa"/>
            <w:vAlign w:val="bottom"/>
          </w:tcPr>
          <w:p>
            <w:pPr>
              <w:jc w:val="right"/>
              <w:ind w:right="116"/>
              <w:spacing w:after="0"/>
              <w:rPr>
                <w:sz w:val="20"/>
                <w:szCs w:val="20"/>
                <w:color w:val="auto"/>
              </w:rPr>
            </w:pPr>
            <w:r>
              <w:rPr>
                <w:rFonts w:ascii="Arial" w:cs="Arial" w:eastAsia="Arial" w:hAnsi="Arial"/>
                <w:sz w:val="11"/>
                <w:szCs w:val="11"/>
                <w:b w:val="1"/>
                <w:bCs w:val="1"/>
                <w:color w:val="auto"/>
              </w:rPr>
              <w:t>Options</w:t>
            </w:r>
          </w:p>
        </w:tc>
        <w:tc>
          <w:tcPr>
            <w:tcW w:w="400" w:type="dxa"/>
            <w:vAlign w:val="bottom"/>
          </w:tcPr>
          <w:p>
            <w:pPr>
              <w:spacing w:after="0"/>
              <w:rPr>
                <w:sz w:val="10"/>
                <w:szCs w:val="10"/>
                <w:color w:val="auto"/>
              </w:rPr>
            </w:pPr>
          </w:p>
        </w:tc>
        <w:tc>
          <w:tcPr>
            <w:tcW w:w="1180" w:type="dxa"/>
            <w:vAlign w:val="bottom"/>
          </w:tcPr>
          <w:p>
            <w:pPr>
              <w:jc w:val="right"/>
              <w:ind w:right="170"/>
              <w:spacing w:after="0"/>
              <w:rPr>
                <w:sz w:val="20"/>
                <w:szCs w:val="20"/>
                <w:color w:val="auto"/>
              </w:rPr>
            </w:pPr>
            <w:r>
              <w:rPr>
                <w:rFonts w:ascii="Arial" w:cs="Arial" w:eastAsia="Arial" w:hAnsi="Arial"/>
                <w:sz w:val="11"/>
                <w:szCs w:val="11"/>
                <w:b w:val="1"/>
                <w:bCs w:val="1"/>
                <w:color w:val="auto"/>
              </w:rPr>
              <w:t>Contractual Life</w:t>
            </w:r>
          </w:p>
        </w:tc>
        <w:tc>
          <w:tcPr>
            <w:tcW w:w="40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Options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$0.29</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$0.45</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8.41</w:t>
            </w:r>
          </w:p>
        </w:tc>
        <w:tc>
          <w:tcPr>
            <w:tcW w:w="4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$1.84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$6.19</w:t>
            </w:r>
          </w:p>
        </w:tc>
        <w:tc>
          <w:tcPr>
            <w:tcW w:w="720" w:type="dxa"/>
            <w:vAlign w:val="bottom"/>
          </w:tcPr>
          <w:p>
            <w:pPr>
              <w:jc w:val="right"/>
              <w:spacing w:after="0"/>
              <w:rPr>
                <w:sz w:val="20"/>
                <w:szCs w:val="20"/>
                <w:color w:val="auto"/>
              </w:rPr>
            </w:pPr>
            <w:r>
              <w:rPr>
                <w:rFonts w:ascii="Arial" w:cs="Arial" w:eastAsia="Arial" w:hAnsi="Arial"/>
                <w:sz w:val="13"/>
                <w:szCs w:val="13"/>
                <w:color w:val="auto"/>
              </w:rPr>
              <w:t>90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8.53</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$6.95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$7.35</w:t>
            </w:r>
          </w:p>
        </w:tc>
        <w:tc>
          <w:tcPr>
            <w:tcW w:w="720" w:type="dxa"/>
            <w:vAlign w:val="bottom"/>
          </w:tcPr>
          <w:p>
            <w:pPr>
              <w:jc w:val="right"/>
              <w:spacing w:after="0"/>
              <w:rPr>
                <w:sz w:val="20"/>
                <w:szCs w:val="20"/>
                <w:color w:val="auto"/>
              </w:rPr>
            </w:pPr>
            <w:r>
              <w:rPr>
                <w:rFonts w:ascii="Arial" w:cs="Arial" w:eastAsia="Arial" w:hAnsi="Arial"/>
                <w:sz w:val="13"/>
                <w:szCs w:val="13"/>
                <w:color w:val="auto"/>
              </w:rPr>
              <w:t>75</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9.56</w:t>
            </w:r>
          </w:p>
        </w:tc>
        <w:tc>
          <w:tcPr>
            <w:tcW w:w="4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$8.00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$8.92</w:t>
            </w: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9.75</w:t>
            </w:r>
          </w:p>
        </w:tc>
        <w:tc>
          <w:tcPr>
            <w:tcW w:w="4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$8.98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$9.91</w:t>
            </w:r>
          </w:p>
        </w:tc>
        <w:tc>
          <w:tcPr>
            <w:tcW w:w="720" w:type="dxa"/>
            <w:vAlign w:val="bottom"/>
          </w:tcPr>
          <w:p>
            <w:pPr>
              <w:jc w:val="right"/>
              <w:spacing w:after="0"/>
              <w:rPr>
                <w:sz w:val="20"/>
                <w:szCs w:val="20"/>
                <w:color w:val="auto"/>
              </w:rPr>
            </w:pPr>
            <w:r>
              <w:rPr>
                <w:rFonts w:ascii="Arial" w:cs="Arial" w:eastAsia="Arial" w:hAnsi="Arial"/>
                <w:sz w:val="13"/>
                <w:szCs w:val="13"/>
                <w:color w:val="auto"/>
              </w:rPr>
              <w:t>50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9.84</w:t>
            </w:r>
          </w:p>
        </w:tc>
        <w:tc>
          <w:tcPr>
            <w:tcW w:w="4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$10.00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$12.68</w:t>
            </w:r>
          </w:p>
        </w:tc>
        <w:tc>
          <w:tcPr>
            <w:tcW w:w="720" w:type="dxa"/>
            <w:vAlign w:val="bottom"/>
          </w:tcPr>
          <w:p>
            <w:pPr>
              <w:jc w:val="right"/>
              <w:spacing w:after="0"/>
              <w:rPr>
                <w:sz w:val="20"/>
                <w:szCs w:val="20"/>
                <w:color w:val="auto"/>
              </w:rPr>
            </w:pPr>
            <w:r>
              <w:rPr>
                <w:rFonts w:ascii="Arial" w:cs="Arial" w:eastAsia="Arial" w:hAnsi="Arial"/>
                <w:sz w:val="13"/>
                <w:szCs w:val="13"/>
                <w:color w:val="auto"/>
              </w:rPr>
              <w:t>280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9.93</w:t>
            </w:r>
          </w:p>
        </w:tc>
        <w:tc>
          <w:tcPr>
            <w:tcW w:w="4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2,187</w:t>
            </w: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Purchases and Grants</w:t>
      </w:r>
    </w:p>
    <w:p>
      <w:pPr>
        <w:spacing w:after="0" w:line="9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Under the 2000 Plan and 2006 Plan, certain eligible individuals may be granted or given the opportunity to purchase the Company’s common stock at a price not less than the par value of the shares. The Company’s board of directors determines the purchase price at its sole discretion. Shares awarded or sold under the 2000 Plan and 2006 Plan are subject to certain special forfeiture conditions, rights of repurchase, rights of first refusal and other transfer restrictions as the Company’s board of directors may determine. Under most circumstances, the right of repurchase shall lapse with respect to the first 25% of the purchased shares when the purchaser completes 12 months of continuous service and shall lapse as to an additional 1/48 of the purchased shares when the purchaser completes each month of continuous service thereafter. No restricted shares were purchased or granted during 2005. In March 2006, 111 shares of restricted stock were purchased by a board member. The purchase price of these shares was $8.98 per share. The shares are not subject to any vesting schedule. In April 2006, the Company’s board of directors awarded 191 shares of restricted stock at a fair value of $8.98 per share to certain employees of the Company. In October 2006, the Company’s board of directors awarded 33 shares of restricted stock at a fair value of $8.98 per share to certain management employees of the Company. In December 2006, the Company’s board of directors awarded 35 shares of restricted stock at a fair value of $12.68 per share to certain management employees of the Company.</w:t>
      </w:r>
    </w:p>
    <w:p>
      <w:pPr>
        <w:spacing w:after="0" w:line="134"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401(k) Plan</w:t>
      </w:r>
    </w:p>
    <w:p>
      <w:pPr>
        <w:spacing w:after="0" w:line="102"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The Company has a 401(k) plan (the “Plan”) covering all eligible employees. The Plan allows for a discretionary employer match. The Company incurred and expensed $90, $71 and $38 for the years ended December 31, 2006, 2005 and 2004, respectively, in Plan match contributions.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200" w:hanging="513"/>
        <w:spacing w:after="0"/>
        <w:tabs>
          <w:tab w:leader="none" w:pos="12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are as follows: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9" w:lineRule="exact"/>
              <w:rPr>
                <w:sz w:val="20"/>
                <w:szCs w:val="20"/>
                <w:color w:val="auto"/>
              </w:rPr>
            </w:pPr>
            <w:r>
              <w:rPr>
                <w:rFonts w:ascii="Arial" w:cs="Arial" w:eastAsia="Arial" w:hAnsi="Arial"/>
                <w:sz w:val="11"/>
                <w:szCs w:val="11"/>
                <w:b w:val="1"/>
                <w:bCs w:val="1"/>
                <w:color w:val="auto"/>
                <w:w w:val="81"/>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120"/>
              <w:spacing w:after="0"/>
              <w:rPr>
                <w:sz w:val="20"/>
                <w:szCs w:val="20"/>
                <w:color w:val="auto"/>
              </w:rPr>
            </w:pPr>
            <w:r>
              <w:rPr>
                <w:rFonts w:ascii="Arial" w:cs="Arial" w:eastAsia="Arial" w:hAnsi="Arial"/>
                <w:sz w:val="13"/>
                <w:szCs w:val="13"/>
                <w:color w:val="auto"/>
              </w:rPr>
              <w:t>Current deferred tax assets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vacation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260"/>
              <w:spacing w:after="0"/>
              <w:rPr>
                <w:sz w:val="20"/>
                <w:szCs w:val="20"/>
                <w:color w:val="auto"/>
              </w:rPr>
            </w:pPr>
            <w:r>
              <w:rPr>
                <w:rFonts w:ascii="Arial" w:cs="Arial" w:eastAsia="Arial" w:hAnsi="Arial"/>
                <w:sz w:val="13"/>
                <w:szCs w:val="13"/>
                <w:color w:val="auto"/>
              </w:rPr>
              <w:t>Accrued miscellaneous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professional fees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Bad debts reserve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26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120"/>
              <w:spacing w:after="0"/>
              <w:rPr>
                <w:sz w:val="20"/>
                <w:szCs w:val="20"/>
                <w:color w:val="auto"/>
              </w:rPr>
            </w:pPr>
            <w:r>
              <w:rPr>
                <w:rFonts w:ascii="Arial" w:cs="Arial" w:eastAsia="Arial" w:hAnsi="Arial"/>
                <w:sz w:val="13"/>
                <w:szCs w:val="13"/>
                <w:color w:val="auto"/>
              </w:rPr>
              <w:t>Non-current deferred tax assets: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compensation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tcPr>
          <w:p>
            <w:pPr>
              <w:ind w:left="260"/>
              <w:spacing w:after="0"/>
              <w:rPr>
                <w:sz w:val="20"/>
                <w:szCs w:val="20"/>
                <w:color w:val="auto"/>
              </w:rPr>
            </w:pPr>
            <w:r>
              <w:rPr>
                <w:rFonts w:ascii="Arial" w:cs="Arial" w:eastAsia="Arial" w:hAnsi="Arial"/>
                <w:sz w:val="13"/>
                <w:szCs w:val="13"/>
                <w:color w:val="auto"/>
              </w:rPr>
              <w:t>Charitable contributions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AMT credit carryover</w:t>
            </w: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Net deferred 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1,955</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4,644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Company records a valuation allowance for temporary differences for which it is more likely than not that the Company will not receive future tax benefits. At December 31, 2004, the Company recorded a valuation allowance of $7,175. However, during 2006 and 2005, the Company generated taxable income and expects to continue to generate taxable income for the foreseeable future. As such, during the fourth quarter of 2005, the Company determined that it was more likely than not that it would realize its future tax benefits and reduced the valuation allowance to zero.</w:t>
      </w:r>
    </w:p>
    <w:p>
      <w:pPr>
        <w:spacing w:after="0" w:line="69" w:lineRule="exact"/>
        <w:rPr>
          <w:sz w:val="20"/>
          <w:szCs w:val="20"/>
          <w:color w:val="auto"/>
        </w:rPr>
      </w:pPr>
    </w:p>
    <w:p>
      <w:pPr>
        <w:jc w:val="both"/>
        <w:ind w:left="680" w:right="380" w:firstLine="399"/>
        <w:spacing w:after="0" w:line="266" w:lineRule="auto"/>
        <w:rPr>
          <w:sz w:val="20"/>
          <w:szCs w:val="20"/>
          <w:color w:val="auto"/>
        </w:rPr>
      </w:pPr>
      <w:r>
        <w:rPr>
          <w:rFonts w:ascii="Arial" w:cs="Arial" w:eastAsia="Arial" w:hAnsi="Arial"/>
          <w:sz w:val="13"/>
          <w:szCs w:val="13"/>
          <w:color w:val="auto"/>
        </w:rPr>
        <w:t>At December 31, 2006 and 2005, the Company has approximately $0 and $8.3 million of federal and $12.5 million and $14.5 million of state net operating loss carryforwards available to offset future taxable income, respectively. The state net operating loss carryforwards will begin expiring in 2021 if not utilized. In addition, the utilization of the state net operating loss carryforwards is subject to a $3.0 million annual limitation. All taxes, expenses and benefits discussed are domestic.</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tax rates and the effective tax rates for the years ended December 31, 2006, 2005 and 2004 are as follows: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9"/>
          </w:tcPr>
          <w:p>
            <w:pPr>
              <w:jc w:val="right"/>
              <w:ind w:right="420"/>
              <w:spacing w:after="0"/>
              <w:rPr>
                <w:sz w:val="20"/>
                <w:szCs w:val="20"/>
                <w:color w:val="auto"/>
              </w:rPr>
            </w:pPr>
            <w:r>
              <w:rPr>
                <w:rFonts w:ascii="Arial" w:cs="Arial" w:eastAsia="Arial" w:hAnsi="Arial"/>
                <w:sz w:val="11"/>
                <w:szCs w:val="11"/>
                <w:b w:val="1"/>
                <w:bCs w:val="1"/>
                <w:color w:val="auto"/>
                <w:w w:val="87"/>
              </w:rPr>
              <w:t>Year Ended December 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2006</w:t>
            </w: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3"/>
          </w:tcPr>
          <w:p>
            <w:pPr>
              <w:jc w:val="right"/>
              <w:spacing w:after="0" w:line="99" w:lineRule="exact"/>
              <w:rPr>
                <w:sz w:val="20"/>
                <w:szCs w:val="20"/>
                <w:color w:val="auto"/>
              </w:rPr>
            </w:pPr>
            <w:r>
              <w:rPr>
                <w:rFonts w:ascii="Arial" w:cs="Arial" w:eastAsia="Arial" w:hAnsi="Arial"/>
                <w:sz w:val="11"/>
                <w:szCs w:val="11"/>
                <w:b w:val="1"/>
                <w:bCs w:val="1"/>
                <w:color w:val="auto"/>
              </w:rPr>
              <w:t>2005</w:t>
            </w: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rPr>
              <w:t>2004</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7"/>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2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Arial" w:cs="Arial" w:eastAsia="Arial" w:hAnsi="Arial"/>
                <w:sz w:val="13"/>
                <w:szCs w:val="13"/>
                <w:color w:val="auto"/>
              </w:rPr>
              <w:t>State taxes, net of federal benefit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87"/>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Permanent adjustments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2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Arial" w:cs="Arial" w:eastAsia="Arial" w:hAnsi="Arial"/>
                <w:sz w:val="13"/>
                <w:szCs w:val="13"/>
                <w:color w:val="auto"/>
              </w:rPr>
              <w:t>Valuation allowance</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ind w:right="87"/>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(84)%</w:t>
            </w:r>
          </w:p>
        </w:tc>
        <w:tc>
          <w:tcPr>
            <w:tcW w:w="24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Net</w:t>
            </w: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7"/>
              <w:spacing w:after="0"/>
              <w:rPr>
                <w:sz w:val="20"/>
                <w:szCs w:val="20"/>
                <w:color w:val="auto"/>
              </w:rPr>
            </w:pPr>
            <w:r>
              <w:rPr>
                <w:rFonts w:ascii="Arial" w:cs="Arial" w:eastAsia="Arial" w:hAnsi="Arial"/>
                <w:sz w:val="13"/>
                <w:szCs w:val="13"/>
                <w:color w:val="auto"/>
              </w:rPr>
              <w:t>42%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(45)%</w:t>
            </w:r>
          </w:p>
        </w:tc>
        <w:tc>
          <w:tcPr>
            <w:tcW w:w="2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tcPr>
          <w:p>
            <w:pPr>
              <w:ind w:left="380"/>
              <w:spacing w:after="0"/>
              <w:rPr>
                <w:sz w:val="20"/>
                <w:szCs w:val="20"/>
                <w:color w:val="auto"/>
              </w:rPr>
            </w:pPr>
            <w:r>
              <w:rPr>
                <w:rFonts w:ascii="Arial" w:cs="Arial" w:eastAsia="Arial" w:hAnsi="Arial"/>
                <w:sz w:val="13"/>
                <w:szCs w:val="13"/>
                <w:color w:val="auto"/>
              </w:rPr>
              <w:t>Income tax (expense) benefit consisted of the following components:</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1"/>
                <w:szCs w:val="11"/>
                <w:b w:val="1"/>
                <w:bCs w:val="1"/>
                <w:color w:val="auto"/>
                <w:w w:val="94"/>
              </w:rPr>
              <w:t>Year Ended December 31,</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141"/>
              <w:spacing w:after="0" w:line="99" w:lineRule="exact"/>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w w:val="97"/>
              </w:rPr>
              <w:t>2005</w:t>
            </w:r>
          </w:p>
        </w:tc>
        <w:tc>
          <w:tcPr>
            <w:tcW w:w="240" w:type="dxa"/>
            <w:vAlign w:val="bottom"/>
          </w:tcPr>
          <w:p>
            <w:pPr>
              <w:spacing w:after="0"/>
              <w:rPr>
                <w:sz w:val="8"/>
                <w:szCs w:val="8"/>
                <w:color w:val="auto"/>
              </w:rPr>
            </w:pPr>
          </w:p>
        </w:tc>
        <w:tc>
          <w:tcPr>
            <w:tcW w:w="34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rPr>
              <w:t>2004</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ind w:left="120"/>
              <w:spacing w:after="0"/>
              <w:rPr>
                <w:sz w:val="20"/>
                <w:szCs w:val="20"/>
                <w:color w:val="auto"/>
              </w:rPr>
            </w:pPr>
            <w:r>
              <w:rPr>
                <w:rFonts w:ascii="Arial" w:cs="Arial" w:eastAsia="Arial" w:hAnsi="Arial"/>
                <w:sz w:val="13"/>
                <w:szCs w:val="13"/>
                <w:color w:val="auto"/>
              </w:rPr>
              <w:t>Federal</w:t>
            </w:r>
          </w:p>
        </w:tc>
        <w:tc>
          <w:tcPr>
            <w:tcW w:w="19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7"/>
              <w:spacing w:after="0"/>
              <w:rPr>
                <w:sz w:val="20"/>
                <w:szCs w:val="20"/>
                <w:color w:val="auto"/>
              </w:rPr>
            </w:pPr>
            <w:r>
              <w:rPr>
                <w:rFonts w:ascii="Arial" w:cs="Arial" w:eastAsia="Arial" w:hAnsi="Arial"/>
                <w:sz w:val="13"/>
                <w:szCs w:val="13"/>
                <w:color w:val="auto"/>
              </w:rPr>
              <w:t>(2,957)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(164)</w:t>
            </w:r>
          </w:p>
        </w:tc>
        <w:tc>
          <w:tcPr>
            <w:tcW w:w="500" w:type="dxa"/>
            <w:vAlign w:val="bottom"/>
            <w:gridSpan w:val="3"/>
          </w:tcPr>
          <w:p>
            <w:pPr>
              <w:jc w:val="right"/>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7"/>
              <w:spacing w:after="0"/>
              <w:rPr>
                <w:sz w:val="20"/>
                <w:szCs w:val="20"/>
                <w:color w:val="auto"/>
              </w:rPr>
            </w:pPr>
            <w:r>
              <w:rPr>
                <w:rFonts w:ascii="Arial" w:cs="Arial" w:eastAsia="Arial" w:hAnsi="Arial"/>
                <w:sz w:val="13"/>
                <w:szCs w:val="13"/>
                <w:color w:val="auto"/>
              </w:rPr>
              <w:t>(1,664)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(651)</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Arial" w:cs="Arial" w:eastAsia="Arial" w:hAnsi="Arial"/>
                <w:sz w:val="13"/>
                <w:szCs w:val="13"/>
                <w:color w:val="auto"/>
              </w:rPr>
              <w:t>Deferred:</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7"/>
              <w:spacing w:after="0"/>
              <w:rPr>
                <w:sz w:val="20"/>
                <w:szCs w:val="20"/>
                <w:color w:val="auto"/>
              </w:rPr>
            </w:pPr>
            <w:r>
              <w:rPr>
                <w:rFonts w:ascii="Arial" w:cs="Arial" w:eastAsia="Arial" w:hAnsi="Arial"/>
                <w:sz w:val="13"/>
                <w:szCs w:val="13"/>
                <w:color w:val="auto"/>
              </w:rPr>
              <w:t>(2,624)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3,579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47"/>
              <w:spacing w:after="0"/>
              <w:rPr>
                <w:sz w:val="20"/>
                <w:szCs w:val="20"/>
                <w:color w:val="auto"/>
              </w:rPr>
            </w:pPr>
            <w:r>
              <w:rPr>
                <w:rFonts w:ascii="Arial" w:cs="Arial" w:eastAsia="Arial" w:hAnsi="Arial"/>
                <w:sz w:val="13"/>
                <w:szCs w:val="13"/>
                <w:color w:val="auto"/>
              </w:rPr>
              <w:t>(65)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1,065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147"/>
              <w:spacing w:after="0"/>
              <w:rPr>
                <w:sz w:val="20"/>
                <w:szCs w:val="20"/>
                <w:color w:val="auto"/>
              </w:rPr>
            </w:pPr>
            <w:r>
              <w:rPr>
                <w:rFonts w:ascii="Arial" w:cs="Arial" w:eastAsia="Arial" w:hAnsi="Arial"/>
                <w:sz w:val="13"/>
                <w:szCs w:val="13"/>
                <w:color w:val="auto"/>
              </w:rPr>
              <w:t>(7,310)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2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200" w:hanging="513"/>
        <w:spacing w:after="0"/>
        <w:tabs>
          <w:tab w:leader="none" w:pos="12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8"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The Company leases office space, automobiles and office equipment under non-cancellable operating lease agreements, which expire through March 2012. Aggregate annual future minimum lease payments under these non-cancellable leases are as follows at December 31, 2006:</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Period ended December 31: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1,505</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2012 and thereafter</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5,246</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the years ended December 31, 2006, 2005 and 2004 was $1,522, $1,353 and $873, respectively.</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200" w:hanging="513"/>
        <w:spacing w:after="0"/>
        <w:tabs>
          <w:tab w:leader="none" w:pos="12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Omniglobe International, L.L.C.</w:t>
      </w:r>
    </w:p>
    <w:p>
      <w:pPr>
        <w:spacing w:after="0" w:line="98" w:lineRule="exact"/>
        <w:rPr>
          <w:sz w:val="20"/>
          <w:szCs w:val="20"/>
          <w:color w:val="auto"/>
        </w:rPr>
      </w:pPr>
    </w:p>
    <w:p>
      <w:pPr>
        <w:ind w:left="680" w:right="120" w:firstLine="399"/>
        <w:spacing w:after="0" w:line="284" w:lineRule="auto"/>
        <w:rPr>
          <w:sz w:val="20"/>
          <w:szCs w:val="20"/>
          <w:color w:val="auto"/>
        </w:rPr>
      </w:pPr>
      <w:r>
        <w:rPr>
          <w:rFonts w:ascii="Arial" w:cs="Arial" w:eastAsia="Arial" w:hAnsi="Arial"/>
          <w:sz w:val="12"/>
          <w:szCs w:val="12"/>
          <w:color w:val="auto"/>
        </w:rPr>
        <w:t>Omniglobe International, L.L.C., (“Omniglobe”) a Delaware limited liability company with operations in India, provides data entry services relating to the Company’s exception handling management. The Company pays Omniglobe an hourly rate for each hour worked by each of its data entry agents. As of December 31, 2006 and 2005, the Company had agreements with Omniglobe. One of the Company’s agreements with Omniglobe provides for minimum levels of staffing at a specific price level resulting in an overall minimum commitment of $350 over a six month period. Services provided include data entry and related services as well as development and testing services. The current agreements may be terminated by either party without cause with 30 or 60 days written notice prior to the end of the term. Unless terminated, the agreement will automatically renew in six month increments. As of December 31, 2006, the Company fulfilled the overall minimum contractual commitment. The Company does not intend to terminate its arrangements with Omniglobe.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12, 2004, certain of the Company’s executive officers and their family members acquired indirect equity interests in Omniglobe by purchasing an ownership interest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Rumson Hitters, L.L.C., a Delaware limited liability company,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Proceeds Received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96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9"/>
              </w:rPr>
              <w:t>Equity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60"/>
              <w:spacing w:after="0" w:line="109" w:lineRule="exact"/>
              <w:rPr>
                <w:sz w:val="20"/>
                <w:szCs w:val="20"/>
                <w:color w:val="auto"/>
              </w:rPr>
            </w:pPr>
            <w:r>
              <w:rPr>
                <w:rFonts w:ascii="Arial" w:cs="Arial" w:eastAsia="Arial" w:hAnsi="Arial"/>
                <w:sz w:val="11"/>
                <w:szCs w:val="11"/>
                <w:b w:val="1"/>
                <w:bCs w:val="1"/>
                <w:color w:val="auto"/>
                <w:w w:val="86"/>
              </w:rPr>
              <w:t>Purchase Price of</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7"/>
              </w:rPr>
              <w:t>from Interest in</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3820" w:type="dxa"/>
            <w:vAlign w:val="bottom"/>
            <w:vMerge w:val="restart"/>
          </w:tcPr>
          <w:p>
            <w:pPr>
              <w:ind w:left="2260"/>
              <w:spacing w:after="0"/>
              <w:rPr>
                <w:sz w:val="20"/>
                <w:szCs w:val="20"/>
                <w:color w:val="auto"/>
              </w:rPr>
            </w:pPr>
            <w:r>
              <w:rPr>
                <w:rFonts w:ascii="Arial" w:cs="Arial" w:eastAsia="Arial" w:hAnsi="Arial"/>
                <w:sz w:val="11"/>
                <w:szCs w:val="11"/>
                <w:b w:val="1"/>
                <w:bCs w:val="1"/>
                <w:color w:val="auto"/>
              </w:rPr>
              <w:t>Position with Synchronoss</w:t>
            </w: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Interest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Interest in Rumson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87"/>
              </w:rPr>
              <w:t>Rumson Hitters,</w:t>
            </w:r>
          </w:p>
        </w:tc>
        <w:tc>
          <w:tcPr>
            <w:tcW w:w="0" w:type="dxa"/>
            <w:vAlign w:val="bottom"/>
          </w:tcPr>
          <w:p>
            <w:pPr>
              <w:spacing w:after="0"/>
              <w:rPr>
                <w:sz w:val="1"/>
                <w:szCs w:val="1"/>
                <w:color w:val="auto"/>
              </w:rPr>
            </w:pPr>
          </w:p>
        </w:tc>
      </w:tr>
      <w:tr>
        <w:trPr>
          <w:trHeight w:val="126"/>
        </w:trPr>
        <w:tc>
          <w:tcPr>
            <w:tcW w:w="20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Omniglobe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rPr>
                <w:sz w:val="20"/>
                <w:szCs w:val="20"/>
                <w:color w:val="auto"/>
              </w:rPr>
            </w:pPr>
            <w:r>
              <w:rPr>
                <w:rFonts w:ascii="Arial" w:cs="Arial" w:eastAsia="Arial" w:hAnsi="Arial"/>
                <w:sz w:val="11"/>
                <w:szCs w:val="11"/>
                <w:b w:val="1"/>
                <w:bCs w:val="1"/>
                <w:color w:val="auto"/>
                <w:w w:val="92"/>
              </w:rPr>
              <w:t>Hitters, L.L.C.</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L.L.C.</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Stephen G. Waldis</w:t>
            </w: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Chairman of the Board of Directors, President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and Chief Executive Officer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Lawrence R. Irving</w:t>
            </w:r>
          </w:p>
        </w:tc>
        <w:tc>
          <w:tcPr>
            <w:tcW w:w="3820" w:type="dxa"/>
            <w:vAlign w:val="bottom"/>
          </w:tcPr>
          <w:p>
            <w:pPr>
              <w:ind w:left="1040"/>
              <w:spacing w:after="0"/>
              <w:rPr>
                <w:sz w:val="20"/>
                <w:szCs w:val="20"/>
                <w:color w:val="auto"/>
              </w:rPr>
            </w:pPr>
            <w:r>
              <w:rPr>
                <w:rFonts w:ascii="Arial" w:cs="Arial" w:eastAsia="Arial" w:hAnsi="Arial"/>
                <w:sz w:val="13"/>
                <w:szCs w:val="13"/>
                <w:color w:val="auto"/>
              </w:rPr>
              <w:t>Chief Financial Officer and Treasurer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David E. Berry</w:t>
            </w: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Former Vice President and Chief Technology</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Officer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Robert Garcia</w:t>
            </w:r>
          </w:p>
        </w:tc>
        <w:tc>
          <w:tcPr>
            <w:tcW w:w="3820" w:type="dxa"/>
            <w:vAlign w:val="bottom"/>
          </w:tcPr>
          <w:p>
            <w:pPr>
              <w:ind w:left="1040"/>
              <w:spacing w:after="0"/>
              <w:rPr>
                <w:sz w:val="20"/>
                <w:szCs w:val="20"/>
                <w:color w:val="auto"/>
              </w:rPr>
            </w:pPr>
            <w:r>
              <w:rPr>
                <w:rFonts w:ascii="Arial" w:cs="Arial" w:eastAsia="Arial" w:hAnsi="Arial"/>
                <w:sz w:val="13"/>
                <w:szCs w:val="13"/>
                <w:color w:val="auto"/>
              </w:rPr>
              <w:t>Executive Vice President of Product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Management and Service Delivery</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-732790</wp:posOffset>
            </wp:positionV>
            <wp:extent cx="190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-732790</wp:posOffset>
            </wp:positionV>
            <wp:extent cx="190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69"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From March 12, 2004 through June 12, 2006, Omniglobe has paid an aggregate of $1,300 in distributions to all of its interest holders, including Rumson Hitters. In turn, during this period, Rumson Hitters has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9" w:lineRule="exact"/>
        <w:rPr>
          <w:sz w:val="20"/>
          <w:szCs w:val="20"/>
          <w:color w:val="auto"/>
        </w:rPr>
      </w:pPr>
    </w:p>
    <w:p>
      <w:pPr>
        <w:ind w:left="680" w:right="220" w:firstLine="399"/>
        <w:spacing w:after="0" w:line="266" w:lineRule="auto"/>
        <w:rPr>
          <w:sz w:val="20"/>
          <w:szCs w:val="20"/>
          <w:color w:val="auto"/>
        </w:rPr>
      </w:pPr>
      <w:r>
        <w:rPr>
          <w:rFonts w:ascii="Arial" w:cs="Arial" w:eastAsia="Arial" w:hAnsi="Arial"/>
          <w:sz w:val="13"/>
          <w:szCs w:val="13"/>
          <w:color w:val="auto"/>
        </w:rPr>
        <w:t>During the period in which the Company’s employees and their family members owned equity interests in Rumson Hitters, fees paid for services rendered related to these agreements for 2006 were $3.7 million through June 20, 2006 when Omniglobe was no longer a related party, and $8.0 million for the year ended December 31, 2005. On December 31, 2005, amounts due to Omniglobe were $577. At December 31, 2006 Omniglobe was no longer a related party.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77" w:lineRule="exact"/>
        <w:rPr>
          <w:sz w:val="20"/>
          <w:szCs w:val="20"/>
          <w:color w:val="auto"/>
        </w:rPr>
      </w:pPr>
    </w:p>
    <w:p>
      <w:pPr>
        <w:ind w:left="1200" w:hanging="513"/>
        <w:spacing w:after="0"/>
        <w:tabs>
          <w:tab w:leader="none" w:pos="12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Selected Quarterly Financial Data (unaudited)</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1"/>
                <w:szCs w:val="11"/>
                <w:b w:val="1"/>
                <w:bCs w:val="1"/>
                <w:color w:val="auto"/>
              </w:rPr>
              <w:t>Quarter Ended</w:t>
            </w: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100"/>
              <w:spacing w:after="0" w:line="99" w:lineRule="exact"/>
              <w:rPr>
                <w:sz w:val="20"/>
                <w:szCs w:val="20"/>
                <w:color w:val="auto"/>
              </w:rPr>
            </w:pPr>
            <w:r>
              <w:rPr>
                <w:rFonts w:ascii="Arial" w:cs="Arial" w:eastAsia="Arial" w:hAnsi="Arial"/>
                <w:sz w:val="11"/>
                <w:szCs w:val="11"/>
                <w:b w:val="1"/>
                <w:bCs w:val="1"/>
                <w:color w:val="auto"/>
                <w:w w:val="87"/>
              </w:rPr>
              <w:t>March 31</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20"/>
              <w:spacing w:after="0" w:line="99" w:lineRule="exact"/>
              <w:rPr>
                <w:sz w:val="20"/>
                <w:szCs w:val="20"/>
                <w:color w:val="auto"/>
              </w:rPr>
            </w:pPr>
            <w:r>
              <w:rPr>
                <w:rFonts w:ascii="Arial" w:cs="Arial" w:eastAsia="Arial" w:hAnsi="Arial"/>
                <w:sz w:val="11"/>
                <w:szCs w:val="11"/>
                <w:b w:val="1"/>
                <w:bCs w:val="1"/>
                <w:color w:val="auto"/>
                <w:w w:val="87"/>
              </w:rPr>
              <w:t>June 30</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180"/>
              <w:spacing w:after="0" w:line="99" w:lineRule="exact"/>
              <w:rPr>
                <w:sz w:val="20"/>
                <w:szCs w:val="20"/>
                <w:color w:val="auto"/>
              </w:rPr>
            </w:pPr>
            <w:r>
              <w:rPr>
                <w:rFonts w:ascii="Arial" w:cs="Arial" w:eastAsia="Arial" w:hAnsi="Arial"/>
                <w:sz w:val="11"/>
                <w:szCs w:val="11"/>
                <w:b w:val="1"/>
                <w:bCs w:val="1"/>
                <w:color w:val="auto"/>
                <w:w w:val="96"/>
              </w:rPr>
              <w:t>September 30</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w w:val="93"/>
              </w:rPr>
              <w:t>December 31</w:t>
            </w:r>
          </w:p>
        </w:tc>
        <w:tc>
          <w:tcPr>
            <w:tcW w:w="100" w:type="dxa"/>
            <w:vAlign w:val="bottom"/>
          </w:tcPr>
          <w:p>
            <w:pPr>
              <w:spacing w:after="0"/>
              <w:rPr>
                <w:sz w:val="8"/>
                <w:szCs w:val="8"/>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7"/>
          </w:tcPr>
          <w:p>
            <w:pPr>
              <w:jc w:val="right"/>
              <w:ind w:right="20"/>
              <w:spacing w:after="0"/>
              <w:rPr>
                <w:sz w:val="20"/>
                <w:szCs w:val="20"/>
                <w:color w:val="auto"/>
              </w:rPr>
            </w:pPr>
            <w:r>
              <w:rPr>
                <w:rFonts w:ascii="Arial" w:cs="Arial" w:eastAsia="Arial" w:hAnsi="Arial"/>
                <w:sz w:val="11"/>
                <w:szCs w:val="11"/>
                <w:b w:val="1"/>
                <w:bCs w:val="1"/>
                <w:color w:val="auto"/>
                <w:w w:val="94"/>
              </w:rPr>
              <w:t>(In thousands, except per share data)</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27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Net revenues</w:t>
            </w:r>
          </w:p>
        </w:tc>
        <w:tc>
          <w:tcPr>
            <w:tcW w:w="16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15,724</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17,442</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18,909</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20,331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6,961</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7,799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10,224</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11,779</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1,529</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1,428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3,136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4,049</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3,136</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4,049</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Basic net income per common share(1)</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0.07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0.10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0.13</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per common share(1)</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EFF"/>
          </w:tcPr>
          <w:p>
            <w:pPr>
              <w:spacing w:after="0"/>
              <w:rPr>
                <w:sz w:val="13"/>
                <w:szCs w:val="13"/>
                <w:color w:val="auto"/>
              </w:rPr>
            </w:pPr>
          </w:p>
        </w:tc>
      </w:tr>
      <w:tr>
        <w:trPr>
          <w:trHeight w:val="28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1"/>
                <w:szCs w:val="11"/>
                <w:b w:val="1"/>
                <w:bCs w:val="1"/>
                <w:color w:val="auto"/>
              </w:rPr>
              <w:t>Quarter Ended</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right"/>
              <w:ind w:right="35"/>
              <w:spacing w:after="0" w:line="99" w:lineRule="exact"/>
              <w:rPr>
                <w:sz w:val="20"/>
                <w:szCs w:val="20"/>
                <w:color w:val="auto"/>
              </w:rPr>
            </w:pPr>
            <w:r>
              <w:rPr>
                <w:rFonts w:ascii="Arial" w:cs="Arial" w:eastAsia="Arial" w:hAnsi="Arial"/>
                <w:sz w:val="11"/>
                <w:szCs w:val="11"/>
                <w:b w:val="1"/>
                <w:bCs w:val="1"/>
                <w:color w:val="auto"/>
                <w:w w:val="96"/>
              </w:rPr>
              <w:t>March 31</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57"/>
              <w:spacing w:after="0" w:line="99" w:lineRule="exact"/>
              <w:rPr>
                <w:sz w:val="20"/>
                <w:szCs w:val="20"/>
                <w:color w:val="auto"/>
              </w:rPr>
            </w:pPr>
            <w:r>
              <w:rPr>
                <w:rFonts w:ascii="Arial" w:cs="Arial" w:eastAsia="Arial" w:hAnsi="Arial"/>
                <w:sz w:val="11"/>
                <w:szCs w:val="11"/>
                <w:b w:val="1"/>
                <w:bCs w:val="1"/>
                <w:color w:val="auto"/>
                <w:w w:val="97"/>
              </w:rPr>
              <w:t>June 30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116"/>
              <w:spacing w:after="0" w:line="99" w:lineRule="exact"/>
              <w:rPr>
                <w:sz w:val="20"/>
                <w:szCs w:val="20"/>
                <w:color w:val="auto"/>
              </w:rPr>
            </w:pPr>
            <w:r>
              <w:rPr>
                <w:rFonts w:ascii="Arial" w:cs="Arial" w:eastAsia="Arial" w:hAnsi="Arial"/>
                <w:sz w:val="11"/>
                <w:szCs w:val="11"/>
                <w:b w:val="1"/>
                <w:bCs w:val="1"/>
                <w:color w:val="auto"/>
                <w:w w:val="88"/>
              </w:rPr>
              <w:t>September 30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4"/>
              </w:rPr>
              <w:t>December 31</w:t>
            </w:r>
          </w:p>
        </w:tc>
        <w:tc>
          <w:tcPr>
            <w:tcW w:w="160" w:type="dxa"/>
            <w:vAlign w:val="bottom"/>
            <w:gridSpan w:val="2"/>
          </w:tcPr>
          <w:p>
            <w:pPr>
              <w:spacing w:after="0"/>
              <w:rPr>
                <w:sz w:val="8"/>
                <w:szCs w:val="8"/>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7"/>
          </w:tcPr>
          <w:p>
            <w:pPr>
              <w:jc w:val="right"/>
              <w:ind w:right="60"/>
              <w:spacing w:after="0"/>
              <w:rPr>
                <w:sz w:val="20"/>
                <w:szCs w:val="20"/>
                <w:color w:val="auto"/>
              </w:rPr>
            </w:pPr>
            <w:r>
              <w:rPr>
                <w:rFonts w:ascii="Arial" w:cs="Arial" w:eastAsia="Arial" w:hAnsi="Arial"/>
                <w:sz w:val="11"/>
                <w:szCs w:val="11"/>
                <w:b w:val="1"/>
                <w:bCs w:val="1"/>
                <w:color w:val="auto"/>
                <w:w w:val="92"/>
              </w:rPr>
              <w:t>(In thousands, except per share data)</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27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Net revenues</w:t>
            </w:r>
          </w:p>
        </w:tc>
        <w:tc>
          <w:tcPr>
            <w:tcW w:w="16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11,350</w:t>
            </w:r>
          </w:p>
        </w:tc>
        <w:tc>
          <w:tcPr>
            <w:tcW w:w="40" w:type="dxa"/>
            <w:vAlign w:val="bottom"/>
          </w:tcPr>
          <w:p>
            <w:pPr>
              <w:spacing w:after="0"/>
              <w:rPr>
                <w:sz w:val="13"/>
                <w:szCs w:val="13"/>
                <w:color w:val="auto"/>
              </w:rPr>
            </w:pPr>
          </w:p>
        </w:tc>
        <w:tc>
          <w:tcPr>
            <w:tcW w:w="500" w:type="dxa"/>
            <w:vAlign w:val="bottom"/>
            <w:gridSpan w:val="3"/>
          </w:tcPr>
          <w:p>
            <w:pPr>
              <w:jc w:val="right"/>
              <w:ind w:right="4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13,776</w:t>
            </w:r>
          </w:p>
        </w:tc>
        <w:tc>
          <w:tcPr>
            <w:tcW w:w="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14,115</w:t>
            </w:r>
          </w:p>
        </w:tc>
        <w:tc>
          <w:tcPr>
            <w:tcW w:w="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14,977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1,692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2,127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2,209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6,401(2)</w:t>
            </w: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Basic net income per common share(1)</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0.08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per common share(1)</w:t>
            </w:r>
          </w:p>
        </w:tc>
        <w:tc>
          <w:tcPr>
            <w:tcW w:w="1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1" w:lineRule="exact"/>
        <w:rPr>
          <w:sz w:val="20"/>
          <w:szCs w:val="20"/>
          <w:color w:val="auto"/>
        </w:rPr>
      </w:pPr>
    </w:p>
    <w:p>
      <w:pPr>
        <w:ind w:left="1200" w:right="100" w:hanging="261"/>
        <w:spacing w:after="0" w:line="337" w:lineRule="auto"/>
        <w:tabs>
          <w:tab w:leader="none" w:pos="12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Per common share amounts for the quarters and full year have been calculated separately. Accordingly, quarterly amounts do not add to the annual amount because of differences in the weighted-average common shares outstanding during each period principally due to the effect of the Company’s issuing shares of its common stock during the year.</w:t>
      </w:r>
    </w:p>
    <w:p>
      <w:pPr>
        <w:ind w:left="1200" w:hanging="261"/>
        <w:spacing w:after="0"/>
        <w:tabs>
          <w:tab w:leader="none" w:pos="12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the impact of a reduction of the Company’s deferred tax valuation allowance of $4.6 million.</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Our chief executive officer and chief financial officer, after evaluating the effectiveness of our “disclosure controls and procedures” (as defined in Exchange Act Rules 13a-15(e) and 15d-15(e)) as of December 31, 2006, have concluded that, as of such date, our disclosure controls and procedures were effective based on their evaluation of these controls and procedures required by paragraph (b) of Exchange Act Rules 13(a)-15 or 15d-15.</w:t>
      </w:r>
    </w:p>
    <w:p>
      <w:pPr>
        <w:spacing w:after="0" w:line="67" w:lineRule="exact"/>
        <w:rPr>
          <w:sz w:val="20"/>
          <w:szCs w:val="20"/>
          <w:color w:val="auto"/>
        </w:rPr>
      </w:pPr>
    </w:p>
    <w:p>
      <w:pPr>
        <w:ind w:left="680" w:right="160" w:firstLine="399"/>
        <w:spacing w:after="0" w:line="291" w:lineRule="auto"/>
        <w:rPr>
          <w:sz w:val="20"/>
          <w:szCs w:val="20"/>
          <w:color w:val="auto"/>
        </w:rPr>
      </w:pPr>
      <w:r>
        <w:rPr>
          <w:rFonts w:ascii="Arial" w:cs="Arial" w:eastAsia="Arial" w:hAnsi="Arial"/>
          <w:sz w:val="12"/>
          <w:szCs w:val="12"/>
          <w:color w:val="auto"/>
        </w:rPr>
        <w:t>Our management, including 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have been detected.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8"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There was no change in our internal controls over financial reporting (as defined in Rule 13a-15(f) of the Exchange Act) that occurred during the fourth quarter of the year ended December 31, 2006 that has materially affected, or is reasonably likely to materially affect, our internal controls over financial reporting.</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02" w:lineRule="exact"/>
        <w:rPr>
          <w:sz w:val="20"/>
          <w:szCs w:val="20"/>
          <w:color w:val="auto"/>
        </w:rPr>
      </w:pPr>
    </w:p>
    <w:p>
      <w:pPr>
        <w:ind w:left="680" w:right="2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Identification of Directors. Information concerning the directors of Synchronoss is set forth under the heading “Election of Directors” in the Synchronoss Proxy Statement for the 2007 Annual Meeting of Stockholders and is incorporated herein by reference.</w:t>
      </w:r>
    </w:p>
    <w:p>
      <w:pPr>
        <w:spacing w:after="0" w:line="57" w:lineRule="exact"/>
        <w:rPr>
          <w:rFonts w:ascii="Arial" w:cs="Arial" w:eastAsia="Arial" w:hAnsi="Arial"/>
          <w:sz w:val="13"/>
          <w:szCs w:val="13"/>
          <w:color w:val="auto"/>
        </w:rPr>
      </w:pPr>
    </w:p>
    <w:p>
      <w:pPr>
        <w:ind w:left="680" w:right="10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Audit Committee Financial Expert. Information concerning Synchronoss’ audit committee financial expert is set forth under the heading “Audit Committee” in the Synchronoss Proxy Statement for the 2007 Annual Meeting of Stockholders and is incorporated herein by reference.</w:t>
      </w:r>
    </w:p>
    <w:p>
      <w:pPr>
        <w:spacing w:after="0" w:line="57" w:lineRule="exact"/>
        <w:rPr>
          <w:rFonts w:ascii="Arial" w:cs="Arial" w:eastAsia="Arial" w:hAnsi="Arial"/>
          <w:sz w:val="13"/>
          <w:szCs w:val="13"/>
          <w:color w:val="auto"/>
        </w:rPr>
      </w:pPr>
    </w:p>
    <w:p>
      <w:pPr>
        <w:ind w:left="680" w:right="14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Identification of the Audit Committee. Information concerning the audit committee of Synchronoss is set forth under the heading “Audit Committee” in the Synchronoss Proxy Statement for the 2007 Annual Meeting of Stockholders and is incorporated herein by reference.</w:t>
      </w:r>
    </w:p>
    <w:p>
      <w:pPr>
        <w:spacing w:after="0" w:line="57" w:lineRule="exact"/>
        <w:rPr>
          <w:rFonts w:ascii="Arial" w:cs="Arial" w:eastAsia="Arial" w:hAnsi="Arial"/>
          <w:sz w:val="13"/>
          <w:szCs w:val="13"/>
          <w:color w:val="auto"/>
        </w:rPr>
      </w:pPr>
    </w:p>
    <w:p>
      <w:pPr>
        <w:ind w:left="680" w:right="140" w:firstLine="406"/>
        <w:spacing w:after="0" w:line="322" w:lineRule="auto"/>
        <w:tabs>
          <w:tab w:leader="none" w:pos="1266" w:val="left"/>
        </w:tabs>
        <w:numPr>
          <w:ilvl w:val="0"/>
          <w:numId w:val="26"/>
        </w:numPr>
        <w:rPr>
          <w:rFonts w:ascii="Arial" w:cs="Arial" w:eastAsia="Arial" w:hAnsi="Arial"/>
          <w:sz w:val="12"/>
          <w:szCs w:val="12"/>
          <w:color w:val="auto"/>
        </w:rPr>
      </w:pPr>
      <w:r>
        <w:rPr>
          <w:rFonts w:ascii="Arial" w:cs="Arial" w:eastAsia="Arial" w:hAnsi="Arial"/>
          <w:sz w:val="12"/>
          <w:szCs w:val="12"/>
          <w:color w:val="auto"/>
        </w:rPr>
        <w:t>Section 16(a) Beneficial Ownership Reporting Compliance. Information concerning compliance with beneficial ownership reporting requirements is set forth under the caption “Section 16(a) Beneficial Ownership Reporting Compliance” in the Synchronoss Proxy Statement for the 2007 Annual Meeting of Stockholders and is incorporated herein by reference.</w:t>
      </w:r>
    </w:p>
    <w:p>
      <w:pPr>
        <w:spacing w:after="0" w:line="35" w:lineRule="exact"/>
        <w:rPr>
          <w:rFonts w:ascii="Arial" w:cs="Arial" w:eastAsia="Arial" w:hAnsi="Arial"/>
          <w:sz w:val="12"/>
          <w:szCs w:val="12"/>
          <w:color w:val="auto"/>
        </w:rPr>
      </w:pPr>
    </w:p>
    <w:p>
      <w:pPr>
        <w:ind w:left="680" w:right="120" w:firstLine="406"/>
        <w:spacing w:after="0" w:line="374" w:lineRule="auto"/>
        <w:tabs>
          <w:tab w:leader="none" w:pos="1258"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Code of Ethics. Information concerning the Synchronoss Code of Business Conduct is set forth under the caption “Code of Business Conduct” in the Synchronoss Proxy Statement for the 2007 Annual Meeting of Stockholders and is incorporated herein by reference. The Code of Business Conduct can also be found on our website, www.synchronoss.com.</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02" w:lineRule="exact"/>
        <w:rPr>
          <w:sz w:val="20"/>
          <w:szCs w:val="20"/>
          <w:color w:val="auto"/>
        </w:rPr>
      </w:pPr>
    </w:p>
    <w:p>
      <w:pPr>
        <w:ind w:left="680" w:right="1080" w:firstLine="399"/>
        <w:spacing w:after="0" w:line="279" w:lineRule="auto"/>
        <w:rPr>
          <w:sz w:val="20"/>
          <w:szCs w:val="20"/>
          <w:color w:val="auto"/>
        </w:rPr>
      </w:pPr>
      <w:r>
        <w:rPr>
          <w:rFonts w:ascii="Arial" w:cs="Arial" w:eastAsia="Arial" w:hAnsi="Arial"/>
          <w:sz w:val="13"/>
          <w:szCs w:val="13"/>
          <w:color w:val="auto"/>
        </w:rPr>
        <w:t>Information concerning executive compensation is set forth under the headings “Compensation of Executive Officers” in the Synchronoss Proxy Statement for the 2007 Annual Meeting of Stockholders and is incorporated herein by reference.</w:t>
      </w:r>
    </w:p>
    <w:p>
      <w:pPr>
        <w:spacing w:after="0" w:line="9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right="880" w:firstLine="399"/>
        <w:spacing w:after="0" w:line="322" w:lineRule="auto"/>
        <w:rPr>
          <w:sz w:val="20"/>
          <w:szCs w:val="20"/>
          <w:color w:val="auto"/>
        </w:rPr>
      </w:pPr>
      <w:r>
        <w:rPr>
          <w:rFonts w:ascii="Arial" w:cs="Arial" w:eastAsia="Arial" w:hAnsi="Arial"/>
          <w:sz w:val="12"/>
          <w:szCs w:val="12"/>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2007 Annual Meeting of Stockholders and is incorporated herein by reference.</w:t>
      </w:r>
    </w:p>
    <w:p>
      <w:pPr>
        <w:spacing w:after="0" w:line="7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2" w:lineRule="exact"/>
        <w:rPr>
          <w:sz w:val="20"/>
          <w:szCs w:val="20"/>
          <w:color w:val="auto"/>
        </w:rPr>
      </w:pPr>
    </w:p>
    <w:p>
      <w:pPr>
        <w:ind w:left="680" w:right="880" w:firstLine="399"/>
        <w:spacing w:after="0" w:line="279" w:lineRule="auto"/>
        <w:rPr>
          <w:sz w:val="20"/>
          <w:szCs w:val="20"/>
          <w:color w:val="auto"/>
        </w:rPr>
      </w:pPr>
      <w:r>
        <w:rPr>
          <w:rFonts w:ascii="Arial" w:cs="Arial" w:eastAsia="Arial" w:hAnsi="Arial"/>
          <w:sz w:val="13"/>
          <w:szCs w:val="13"/>
          <w:color w:val="auto"/>
        </w:rPr>
        <w:t>Information concerning certain relationships and related transactions is set forth under the heading “Certain Related Party Transactions” in the Synchronoss Proxy Statement for the 2007 Annual Meeting of Stockholders and is incorporated herein by reference.</w:t>
      </w:r>
    </w:p>
    <w:p>
      <w:pPr>
        <w:spacing w:after="0" w:line="9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2" w:lineRule="exact"/>
        <w:rPr>
          <w:sz w:val="20"/>
          <w:szCs w:val="20"/>
          <w:color w:val="auto"/>
        </w:rPr>
      </w:pPr>
    </w:p>
    <w:p>
      <w:pPr>
        <w:ind w:left="680" w:right="1140" w:firstLine="399"/>
        <w:spacing w:after="0" w:line="322" w:lineRule="auto"/>
        <w:rPr>
          <w:sz w:val="20"/>
          <w:szCs w:val="20"/>
          <w:color w:val="auto"/>
        </w:rPr>
      </w:pPr>
      <w:r>
        <w:rPr>
          <w:rFonts w:ascii="Arial" w:cs="Arial" w:eastAsia="Arial" w:hAnsi="Arial"/>
          <w:sz w:val="12"/>
          <w:szCs w:val="12"/>
          <w:color w:val="auto"/>
        </w:rPr>
        <w:t>Information concerning fees and services of the Company’s principal accountants is set forth under the heading “Report of the Audit Committee” and “Independent Registered Public Accounting Firm’s Fees” in the Synchronoss Proxy Statement for the 2007 Annual Meeting of Stockholders and is incorporated herein by reference.</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420" w:type="dxa"/>
            <w:vAlign w:val="bottom"/>
          </w:tcPr>
          <w:p>
            <w:pPr>
              <w:jc w:val="right"/>
              <w:ind w:right="4614"/>
              <w:spacing w:after="0"/>
              <w:rPr>
                <w:sz w:val="20"/>
                <w:szCs w:val="20"/>
                <w:color w:val="auto"/>
              </w:rPr>
            </w:pPr>
            <w:r>
              <w:rPr>
                <w:rFonts w:ascii="Arial" w:cs="Arial" w:eastAsia="Arial" w:hAnsi="Arial"/>
                <w:sz w:val="13"/>
                <w:szCs w:val="13"/>
                <w:b w:val="1"/>
                <w:bCs w:val="1"/>
                <w:color w:val="auto"/>
              </w:rPr>
              <w:t>PART IV</w:t>
            </w:r>
          </w:p>
        </w:tc>
      </w:tr>
      <w:tr>
        <w:trPr>
          <w:trHeight w:val="326"/>
        </w:trPr>
        <w:tc>
          <w:tcPr>
            <w:tcW w:w="78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3740" w:type="dxa"/>
            <w:vAlign w:val="bottom"/>
          </w:tcPr>
          <w:p>
            <w:pPr>
              <w:ind w:left="22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5420" w:type="dxa"/>
            <w:vAlign w:val="bottom"/>
          </w:tcPr>
          <w:p>
            <w:pPr>
              <w:spacing w:after="0"/>
              <w:rPr>
                <w:sz w:val="24"/>
                <w:szCs w:val="24"/>
                <w:color w:val="auto"/>
              </w:rPr>
            </w:pPr>
          </w:p>
        </w:tc>
      </w:tr>
      <w:tr>
        <w:trPr>
          <w:trHeight w:val="247"/>
        </w:trPr>
        <w:tc>
          <w:tcPr>
            <w:tcW w:w="4520" w:type="dxa"/>
            <w:vAlign w:val="bottom"/>
            <w:gridSpan w:val="2"/>
          </w:tcPr>
          <w:p>
            <w:pPr>
              <w:ind w:left="400"/>
              <w:spacing w:after="0"/>
              <w:rPr>
                <w:sz w:val="20"/>
                <w:szCs w:val="20"/>
                <w:color w:val="auto"/>
              </w:rPr>
            </w:pPr>
            <w:r>
              <w:rPr>
                <w:rFonts w:ascii="Arial" w:cs="Arial" w:eastAsia="Arial" w:hAnsi="Arial"/>
                <w:sz w:val="13"/>
                <w:szCs w:val="13"/>
                <w:color w:val="auto"/>
              </w:rPr>
              <w:t>(a)(1) Financial Statements:</w:t>
            </w:r>
          </w:p>
        </w:tc>
        <w:tc>
          <w:tcPr>
            <w:tcW w:w="5420" w:type="dxa"/>
            <w:vAlign w:val="bottom"/>
          </w:tcPr>
          <w:p>
            <w:pPr>
              <w:spacing w:after="0"/>
              <w:rPr>
                <w:sz w:val="21"/>
                <w:szCs w:val="21"/>
                <w:color w:val="auto"/>
              </w:rPr>
            </w:pPr>
          </w:p>
        </w:tc>
      </w:tr>
      <w:tr>
        <w:trPr>
          <w:trHeight w:val="250"/>
        </w:trPr>
        <w:tc>
          <w:tcPr>
            <w:tcW w:w="4520" w:type="dxa"/>
            <w:vAlign w:val="bottom"/>
            <w:gridSpan w:val="2"/>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54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Consolidated Balance Sheets</w:t>
            </w:r>
          </w:p>
        </w:tc>
        <w:tc>
          <w:tcPr>
            <w:tcW w:w="54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Consolidated Statements of Operations</w:t>
            </w:r>
          </w:p>
        </w:tc>
        <w:tc>
          <w:tcPr>
            <w:tcW w:w="54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w w:val="96"/>
              </w:rPr>
              <w:t>Consolidated Statements of Stockholders’ Equity and Other Comprehensive Loss</w:t>
            </w:r>
          </w:p>
        </w:tc>
        <w:tc>
          <w:tcPr>
            <w:tcW w:w="54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Consolidated Statements of Cash Flows</w:t>
            </w:r>
          </w:p>
        </w:tc>
        <w:tc>
          <w:tcPr>
            <w:tcW w:w="54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65"/>
        </w:trPr>
        <w:tc>
          <w:tcPr>
            <w:tcW w:w="4520" w:type="dxa"/>
            <w:vAlign w:val="bottom"/>
            <w:gridSpan w:val="2"/>
          </w:tcPr>
          <w:p>
            <w:pPr>
              <w:spacing w:after="0"/>
              <w:rPr>
                <w:sz w:val="20"/>
                <w:szCs w:val="20"/>
                <w:color w:val="auto"/>
              </w:rPr>
            </w:pPr>
            <w:r>
              <w:rPr>
                <w:rFonts w:ascii="Arial" w:cs="Arial" w:eastAsia="Arial" w:hAnsi="Arial"/>
                <w:sz w:val="13"/>
                <w:szCs w:val="13"/>
                <w:color w:val="auto"/>
              </w:rPr>
              <w:t>Notes to Consolidated Financial Statements</w:t>
            </w:r>
          </w:p>
        </w:tc>
        <w:tc>
          <w:tcPr>
            <w:tcW w:w="5420" w:type="dxa"/>
            <w:vAlign w:val="bottom"/>
          </w:tcPr>
          <w:p>
            <w:pPr>
              <w:jc w:val="right"/>
              <w:spacing w:after="0"/>
              <w:rPr>
                <w:sz w:val="20"/>
                <w:szCs w:val="20"/>
                <w:color w:val="auto"/>
              </w:rPr>
            </w:pPr>
            <w:r>
              <w:rPr>
                <w:rFonts w:ascii="Arial" w:cs="Arial" w:eastAsia="Arial" w:hAnsi="Arial"/>
                <w:sz w:val="13"/>
                <w:szCs w:val="13"/>
                <w:color w:val="auto"/>
              </w:rPr>
              <w:t>43</w:t>
            </w:r>
          </w:p>
        </w:tc>
      </w:tr>
    </w:tbl>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(a)(2) Schedule for the years ended December 31, 2006, 2005, 2004:</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II — Valuation and Qualifying Accounts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the required information is shown in the financial statements or notes thereto.</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(a)(3)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20" w:type="dxa"/>
            <w:vAlign w:val="bottom"/>
          </w:tcPr>
          <w:p>
            <w:pPr>
              <w:ind w:left="1140"/>
              <w:spacing w:after="0"/>
              <w:rPr>
                <w:sz w:val="20"/>
                <w:szCs w:val="20"/>
                <w:color w:val="auto"/>
              </w:rPr>
            </w:pPr>
            <w:r>
              <w:rPr>
                <w:rFonts w:ascii="Arial" w:cs="Arial" w:eastAsia="Arial" w:hAnsi="Arial"/>
                <w:sz w:val="11"/>
                <w:szCs w:val="11"/>
                <w:b w:val="1"/>
                <w:bCs w:val="1"/>
                <w:color w:val="auto"/>
                <w:w w:val="97"/>
              </w:rPr>
              <w:t>Exhibit No.</w:t>
            </w:r>
          </w:p>
        </w:tc>
        <w:tc>
          <w:tcPr>
            <w:tcW w:w="4460" w:type="dxa"/>
            <w:vAlign w:val="bottom"/>
          </w:tcPr>
          <w:p>
            <w:pPr>
              <w:spacing w:after="0"/>
              <w:rPr>
                <w:sz w:val="11"/>
                <w:szCs w:val="11"/>
                <w:color w:val="auto"/>
              </w:rPr>
            </w:pPr>
          </w:p>
        </w:tc>
        <w:tc>
          <w:tcPr>
            <w:tcW w:w="528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1720" w:type="dxa"/>
            <w:vAlign w:val="bottom"/>
          </w:tcPr>
          <w:p>
            <w:pPr>
              <w:ind w:left="1120"/>
              <w:spacing w:after="0"/>
              <w:rPr>
                <w:sz w:val="20"/>
                <w:szCs w:val="20"/>
                <w:color w:val="auto"/>
              </w:rPr>
            </w:pPr>
            <w:r>
              <w:rPr>
                <w:rFonts w:ascii="Arial" w:cs="Arial" w:eastAsia="Arial" w:hAnsi="Arial"/>
                <w:sz w:val="13"/>
                <w:szCs w:val="13"/>
                <w:color w:val="auto"/>
              </w:rPr>
              <w:t>3.1*</w:t>
            </w:r>
          </w:p>
        </w:tc>
        <w:tc>
          <w:tcPr>
            <w:tcW w:w="4460" w:type="dxa"/>
            <w:vAlign w:val="bottom"/>
          </w:tcPr>
          <w:p>
            <w:pPr>
              <w:ind w:left="6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5200" w:type="dxa"/>
            <w:vAlign w:val="bottom"/>
          </w:tcPr>
          <w:p>
            <w:pPr>
              <w:spacing w:after="0"/>
              <w:rPr>
                <w:sz w:val="15"/>
                <w:szCs w:val="15"/>
                <w:color w:val="auto"/>
              </w:rPr>
            </w:pPr>
          </w:p>
        </w:tc>
      </w:tr>
      <w:tr>
        <w:trPr>
          <w:trHeight w:val="158"/>
        </w:trPr>
        <w:tc>
          <w:tcPr>
            <w:tcW w:w="1720" w:type="dxa"/>
            <w:vAlign w:val="bottom"/>
          </w:tcPr>
          <w:p>
            <w:pPr>
              <w:ind w:left="1120"/>
              <w:spacing w:after="0"/>
              <w:rPr>
                <w:sz w:val="20"/>
                <w:szCs w:val="20"/>
                <w:color w:val="auto"/>
              </w:rPr>
            </w:pPr>
            <w:r>
              <w:rPr>
                <w:rFonts w:ascii="Arial" w:cs="Arial" w:eastAsia="Arial" w:hAnsi="Arial"/>
                <w:sz w:val="13"/>
                <w:szCs w:val="13"/>
                <w:color w:val="auto"/>
              </w:rPr>
              <w:t>3.2*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1720" w:type="dxa"/>
            <w:vAlign w:val="bottom"/>
          </w:tcPr>
          <w:p>
            <w:pPr>
              <w:ind w:left="1120"/>
              <w:spacing w:after="0"/>
              <w:rPr>
                <w:sz w:val="20"/>
                <w:szCs w:val="20"/>
                <w:color w:val="auto"/>
              </w:rPr>
            </w:pPr>
            <w:r>
              <w:rPr>
                <w:rFonts w:ascii="Arial" w:cs="Arial" w:eastAsia="Arial" w:hAnsi="Arial"/>
                <w:sz w:val="13"/>
                <w:szCs w:val="13"/>
                <w:color w:val="auto"/>
              </w:rPr>
              <w:t>4.1</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1720" w:type="dxa"/>
            <w:vAlign w:val="bottom"/>
          </w:tcPr>
          <w:p>
            <w:pPr>
              <w:ind w:left="1120"/>
              <w:spacing w:after="0"/>
              <w:rPr>
                <w:sz w:val="20"/>
                <w:szCs w:val="20"/>
                <w:color w:val="auto"/>
              </w:rPr>
            </w:pPr>
            <w:r>
              <w:rPr>
                <w:rFonts w:ascii="Arial" w:cs="Arial" w:eastAsia="Arial" w:hAnsi="Arial"/>
                <w:sz w:val="13"/>
                <w:szCs w:val="13"/>
                <w:color w:val="auto"/>
              </w:rPr>
              <w:t>4.2*</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1720" w:type="dxa"/>
            <w:vAlign w:val="bottom"/>
          </w:tcPr>
          <w:p>
            <w:pPr>
              <w:spacing w:after="0"/>
              <w:rPr>
                <w:sz w:val="13"/>
                <w:szCs w:val="13"/>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signature pages thereto.</w:t>
            </w:r>
          </w:p>
        </w:tc>
      </w:tr>
      <w:tr>
        <w:trPr>
          <w:trHeight w:val="158"/>
        </w:trPr>
        <w:tc>
          <w:tcPr>
            <w:tcW w:w="1720" w:type="dxa"/>
            <w:vAlign w:val="bottom"/>
          </w:tcPr>
          <w:p>
            <w:pPr>
              <w:ind w:left="1120"/>
              <w:spacing w:after="0"/>
              <w:rPr>
                <w:sz w:val="20"/>
                <w:szCs w:val="20"/>
                <w:color w:val="auto"/>
              </w:rPr>
            </w:pPr>
            <w:r>
              <w:rPr>
                <w:rFonts w:ascii="Arial" w:cs="Arial" w:eastAsia="Arial" w:hAnsi="Arial"/>
                <w:sz w:val="13"/>
                <w:szCs w:val="13"/>
                <w:color w:val="auto"/>
              </w:rPr>
              <w:t>4.3*</w:t>
            </w: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 certain</w:t>
            </w:r>
          </w:p>
        </w:tc>
      </w:tr>
      <w:tr>
        <w:trPr>
          <w:trHeight w:val="165"/>
        </w:trPr>
        <w:tc>
          <w:tcPr>
            <w:tcW w:w="1720" w:type="dxa"/>
            <w:vAlign w:val="bottom"/>
          </w:tcPr>
          <w:p>
            <w:pPr>
              <w:spacing w:after="0"/>
              <w:rPr>
                <w:sz w:val="14"/>
                <w:szCs w:val="14"/>
                <w:color w:val="auto"/>
              </w:rPr>
            </w:pPr>
          </w:p>
        </w:tc>
        <w:tc>
          <w:tcPr>
            <w:tcW w:w="9740" w:type="dxa"/>
            <w:vAlign w:val="bottom"/>
            <w:gridSpan w:val="3"/>
          </w:tcPr>
          <w:p>
            <w:pPr>
              <w:ind w:left="60"/>
              <w:spacing w:after="0"/>
              <w:rPr>
                <w:sz w:val="20"/>
                <w:szCs w:val="20"/>
                <w:color w:val="auto"/>
              </w:rPr>
            </w:pPr>
            <w:r>
              <w:rPr>
                <w:rFonts w:ascii="Arial" w:cs="Arial" w:eastAsia="Arial" w:hAnsi="Arial"/>
                <w:sz w:val="13"/>
                <w:szCs w:val="13"/>
                <w:color w:val="auto"/>
              </w:rPr>
              <w:t>stockholders and the investors listed on the signature pages thereto.</w:t>
            </w:r>
          </w:p>
        </w:tc>
      </w:tr>
      <w:tr>
        <w:trPr>
          <w:trHeight w:val="455"/>
        </w:trPr>
        <w:tc>
          <w:tcPr>
            <w:tcW w:w="1720" w:type="dxa"/>
            <w:vAlign w:val="bottom"/>
          </w:tcPr>
          <w:p>
            <w:pPr>
              <w:spacing w:after="0"/>
              <w:rPr>
                <w:sz w:val="24"/>
                <w:szCs w:val="24"/>
                <w:color w:val="auto"/>
              </w:rPr>
            </w:pPr>
          </w:p>
        </w:tc>
        <w:tc>
          <w:tcPr>
            <w:tcW w:w="4460" w:type="dxa"/>
            <w:vAlign w:val="bottom"/>
          </w:tcPr>
          <w:p>
            <w:pPr>
              <w:ind w:left="390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165"/>
        </w:trPr>
        <w:tc>
          <w:tcPr>
            <w:tcW w:w="172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-1139190</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3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446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auto"/>
              </w:rPr>
              <w:t>4.4*</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auto"/>
              </w:rPr>
              <w:t>4.5*</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1"/>
              </w:rPr>
              <w:t>Amendment No. 1 to Synchronoss Technologies, Inc. Registration Rights Agreement, dated May 21, 2001, by and among the Registrant, certain stockholders listed on</w:t>
            </w:r>
          </w:p>
        </w:tc>
      </w:tr>
      <w:tr>
        <w:trPr>
          <w:trHeight w:val="158"/>
        </w:trPr>
        <w:tc>
          <w:tcPr>
            <w:tcW w:w="660" w:type="dxa"/>
            <w:vAlign w:val="bottom"/>
          </w:tcPr>
          <w:p>
            <w:pPr>
              <w:spacing w:after="0"/>
              <w:rPr>
                <w:sz w:val="13"/>
                <w:szCs w:val="13"/>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the signature pages thereto and Silicon Valley Bank.</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10.2*</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10.3*</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10.4*</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10.5*</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1"/>
              </w:rPr>
              <w:t>Lease Agreement between the Registrant and BTCT Associates, L.L.C. for the premises located at 750 Route 202 South, Bridgewater, New Jersey, dated as of May 11,</w:t>
            </w:r>
          </w:p>
        </w:tc>
      </w:tr>
      <w:tr>
        <w:trPr>
          <w:trHeight w:val="158"/>
        </w:trPr>
        <w:tc>
          <w:tcPr>
            <w:tcW w:w="660" w:type="dxa"/>
            <w:vAlign w:val="bottom"/>
          </w:tcPr>
          <w:p>
            <w:pPr>
              <w:spacing w:after="0"/>
              <w:rPr>
                <w:sz w:val="13"/>
                <w:szCs w:val="13"/>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4360" w:type="dxa"/>
            <w:vAlign w:val="bottom"/>
          </w:tcPr>
          <w:p>
            <w:pPr>
              <w:spacing w:after="0"/>
              <w:rPr>
                <w:sz w:val="13"/>
                <w:szCs w:val="13"/>
                <w:color w:val="auto"/>
              </w:rPr>
            </w:pP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10.6*</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First Amendment dated December 23, 2003 to the Lease Agreement between the Registrant and BTCT Associates, L.L.C. for the premises located at 750 Route 202</w:t>
            </w:r>
          </w:p>
        </w:tc>
      </w:tr>
      <w:tr>
        <w:trPr>
          <w:trHeight w:val="158"/>
        </w:trPr>
        <w:tc>
          <w:tcPr>
            <w:tcW w:w="660" w:type="dxa"/>
            <w:vAlign w:val="bottom"/>
          </w:tcPr>
          <w:p>
            <w:pPr>
              <w:spacing w:after="0"/>
              <w:rPr>
                <w:sz w:val="13"/>
                <w:szCs w:val="13"/>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South, Bridgewater, New Jersey, dated as of May 11, 2004.</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10.7</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Second Amendment dated August 21, 2006 to the Lease Agreement between the Registrant and BTCT Associates, L.L.C. for the premises located at 750 Route 202</w:t>
            </w:r>
          </w:p>
        </w:tc>
      </w:tr>
      <w:tr>
        <w:trPr>
          <w:trHeight w:val="158"/>
        </w:trPr>
        <w:tc>
          <w:tcPr>
            <w:tcW w:w="660" w:type="dxa"/>
            <w:vAlign w:val="bottom"/>
          </w:tcPr>
          <w:p>
            <w:pPr>
              <w:spacing w:after="0"/>
              <w:rPr>
                <w:sz w:val="13"/>
                <w:szCs w:val="13"/>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South, Bridgewater, New Jersey, dated as of May 11, 2004.</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10.8*</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Lease Agreement between the Registrant and Liberty Property Limited Partnership for the premises located at 1525 Valley Center Parkway, Bethlehem, Pennsylvania,</w:t>
            </w:r>
          </w:p>
        </w:tc>
      </w:tr>
      <w:tr>
        <w:trPr>
          <w:trHeight w:val="158"/>
        </w:trPr>
        <w:tc>
          <w:tcPr>
            <w:tcW w:w="660" w:type="dxa"/>
            <w:vAlign w:val="bottom"/>
          </w:tcPr>
          <w:p>
            <w:pPr>
              <w:spacing w:after="0"/>
              <w:rPr>
                <w:sz w:val="13"/>
                <w:szCs w:val="13"/>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dated as of February 14, 2002.</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10.9*</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Lease Agreement between the Registrant and Apple Tree LLC for the premises located at 8201 164th Avenue NE, Redmond, Washington, dated as of November 28,</w:t>
            </w:r>
          </w:p>
        </w:tc>
      </w:tr>
      <w:tr>
        <w:trPr>
          <w:trHeight w:val="158"/>
        </w:trPr>
        <w:tc>
          <w:tcPr>
            <w:tcW w:w="660" w:type="dxa"/>
            <w:vAlign w:val="bottom"/>
          </w:tcPr>
          <w:p>
            <w:pPr>
              <w:spacing w:after="0"/>
              <w:rPr>
                <w:sz w:val="13"/>
                <w:szCs w:val="13"/>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4360" w:type="dxa"/>
            <w:vAlign w:val="bottom"/>
          </w:tcPr>
          <w:p>
            <w:pPr>
              <w:spacing w:after="0"/>
              <w:rPr>
                <w:sz w:val="13"/>
                <w:szCs w:val="13"/>
                <w:color w:val="auto"/>
              </w:rPr>
            </w:pP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10.10*</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10.11*‡</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10.12*†</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Stephen G. Waldis.</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10.13*†</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Lawrence R. Irving.</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10.14*†</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Robert Garcia.</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10.15†</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Chris Putnam.</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10.16†</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Omar Tellez</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23.1</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24</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Power of Attorney (see page 64)</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31.1</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6"/>
              </w:rPr>
              <w:t>Certification of Chief Executive Officer pursuant to Rule 13a-14(a) of the Exchange Act, as adopted pursuant to section 302 of the Sarbanes-Oxley Act of 2002</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31.2</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7"/>
              </w:rPr>
              <w:t>Certification of Chief Financial Officer pursuant to Rule 13a-14(a) of the Exchange Act, as adopted pursuant to section 302 of the Sarbanes-Oxley Act of 2002</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32.1</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 the</w:t>
            </w:r>
          </w:p>
        </w:tc>
      </w:tr>
      <w:tr>
        <w:trPr>
          <w:trHeight w:val="158"/>
        </w:trPr>
        <w:tc>
          <w:tcPr>
            <w:tcW w:w="660" w:type="dxa"/>
            <w:vAlign w:val="bottom"/>
          </w:tcPr>
          <w:p>
            <w:pPr>
              <w:spacing w:after="0"/>
              <w:rPr>
                <w:sz w:val="13"/>
                <w:szCs w:val="13"/>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Sarbanes-Oxley Act of 2002</w:t>
            </w:r>
          </w:p>
        </w:tc>
      </w:tr>
      <w:tr>
        <w:trPr>
          <w:trHeight w:val="158"/>
        </w:trPr>
        <w:tc>
          <w:tcPr>
            <w:tcW w:w="660" w:type="dxa"/>
            <w:vAlign w:val="bottom"/>
          </w:tcPr>
          <w:p>
            <w:pPr>
              <w:spacing w:after="0"/>
              <w:rPr>
                <w:sz w:val="20"/>
                <w:szCs w:val="20"/>
                <w:color w:val="auto"/>
              </w:rPr>
            </w:pPr>
            <w:r>
              <w:rPr>
                <w:rFonts w:ascii="Arial" w:cs="Arial" w:eastAsia="Arial" w:hAnsi="Arial"/>
                <w:sz w:val="13"/>
                <w:szCs w:val="13"/>
                <w:color w:val="auto"/>
              </w:rPr>
              <w:t>32.2</w:t>
            </w:r>
          </w:p>
        </w:tc>
        <w:tc>
          <w:tcPr>
            <w:tcW w:w="8900" w:type="dxa"/>
            <w:vAlign w:val="bottom"/>
            <w:gridSpan w:val="3"/>
          </w:tcPr>
          <w:p>
            <w:pPr>
              <w:ind w:left="6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 the</w:t>
            </w:r>
          </w:p>
        </w:tc>
      </w:tr>
      <w:tr>
        <w:trPr>
          <w:trHeight w:val="165"/>
        </w:trPr>
        <w:tc>
          <w:tcPr>
            <w:tcW w:w="660" w:type="dxa"/>
            <w:vAlign w:val="bottom"/>
          </w:tcPr>
          <w:p>
            <w:pPr>
              <w:spacing w:after="0"/>
              <w:rPr>
                <w:sz w:val="14"/>
                <w:szCs w:val="14"/>
                <w:color w:val="auto"/>
              </w:rPr>
            </w:pPr>
          </w:p>
        </w:tc>
        <w:tc>
          <w:tcPr>
            <w:tcW w:w="8900" w:type="dxa"/>
            <w:vAlign w:val="bottom"/>
            <w:gridSpan w:val="3"/>
          </w:tcPr>
          <w:p>
            <w:pPr>
              <w:ind w:left="60"/>
              <w:spacing w:after="0"/>
              <w:rPr>
                <w:sz w:val="20"/>
                <w:szCs w:val="20"/>
                <w:color w:val="auto"/>
              </w:rPr>
            </w:pPr>
            <w:r>
              <w:rPr>
                <w:rFonts w:ascii="Arial" w:cs="Arial" w:eastAsia="Arial" w:hAnsi="Arial"/>
                <w:sz w:val="13"/>
                <w:szCs w:val="13"/>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-3244215</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Compensation Arrangement.</w:t>
      </w:r>
    </w:p>
    <w:p>
      <w:pPr>
        <w:spacing w:after="0" w:line="4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Incorporated by reference to Registrant’s Registration Statement on Form S-1 (Commission File No. 333-132080).</w:t>
      </w:r>
    </w:p>
    <w:p>
      <w:pPr>
        <w:spacing w:after="0" w:line="48" w:lineRule="exact"/>
        <w:rPr>
          <w:sz w:val="20"/>
          <w:szCs w:val="20"/>
          <w:color w:val="auto"/>
        </w:rPr>
      </w:pPr>
    </w:p>
    <w:p>
      <w:pPr>
        <w:ind w:left="1080" w:right="500" w:hanging="350"/>
        <w:spacing w:after="0" w:line="333" w:lineRule="auto"/>
        <w:tabs>
          <w:tab w:leader="none" w:pos="889"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document. The omitted portions of this document have been filed with the Securities and Exchange Commission. (10)</w:t>
      </w:r>
    </w:p>
    <w:p>
      <w:pPr>
        <w:ind w:left="1080"/>
        <w:spacing w:after="0"/>
        <w:rPr>
          <w:rFonts w:ascii="Arial" w:cs="Arial" w:eastAsia="Arial" w:hAnsi="Arial"/>
          <w:sz w:val="13"/>
          <w:szCs w:val="13"/>
          <w:color w:val="auto"/>
        </w:rPr>
      </w:pPr>
      <w:r>
        <w:rPr>
          <w:rFonts w:ascii="Arial" w:cs="Arial" w:eastAsia="Arial" w:hAnsi="Arial"/>
          <w:sz w:val="13"/>
          <w:szCs w:val="13"/>
          <w:color w:val="auto"/>
        </w:rPr>
        <w:t>(b) Exhibits.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(a)(3) above.</w:t>
      </w:r>
    </w:p>
    <w:p>
      <w:pPr>
        <w:spacing w:after="0" w:line="13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Financial Statement Schedule.</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December 31, 2006, December 31, 2005, and December 31, 2004</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9"/>
              <w:spacing w:after="0"/>
              <w:rPr>
                <w:sz w:val="20"/>
                <w:szCs w:val="20"/>
                <w:color w:val="auto"/>
              </w:rPr>
            </w:pPr>
            <w:r>
              <w:rPr>
                <w:rFonts w:ascii="Arial" w:cs="Arial" w:eastAsia="Arial" w:hAnsi="Arial"/>
                <w:sz w:val="11"/>
                <w:szCs w:val="11"/>
                <w:b w:val="1"/>
                <w:bCs w:val="1"/>
                <w:color w:val="auto"/>
                <w:w w:val="81"/>
              </w:rPr>
              <w:t>Beginning</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59"/>
              <w:spacing w:after="0"/>
              <w:rPr>
                <w:sz w:val="20"/>
                <w:szCs w:val="20"/>
                <w:color w:val="auto"/>
              </w:rPr>
            </w:pPr>
            <w:r>
              <w:rPr>
                <w:rFonts w:ascii="Arial" w:cs="Arial" w:eastAsia="Arial" w:hAnsi="Arial"/>
                <w:sz w:val="11"/>
                <w:szCs w:val="11"/>
                <w:b w:val="1"/>
                <w:bCs w:val="1"/>
                <w:color w:val="auto"/>
                <w:w w:val="94"/>
              </w:rPr>
              <w:t>Balance</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21"/>
              <w:spacing w:after="0"/>
              <w:rPr>
                <w:sz w:val="20"/>
                <w:szCs w:val="20"/>
                <w:color w:val="auto"/>
              </w:rPr>
            </w:pPr>
            <w:r>
              <w:rPr>
                <w:rFonts w:ascii="Arial" w:cs="Arial" w:eastAsia="Arial" w:hAnsi="Arial"/>
                <w:sz w:val="11"/>
                <w:szCs w:val="11"/>
                <w:b w:val="1"/>
                <w:bCs w:val="1"/>
                <w:color w:val="auto"/>
                <w:w w:val="86"/>
              </w:rPr>
              <w:t>Additions</w:t>
            </w:r>
          </w:p>
        </w:tc>
        <w:tc>
          <w:tcPr>
            <w:tcW w:w="380" w:type="dxa"/>
            <w:vAlign w:val="bottom"/>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80" w:type="dxa"/>
            <w:vAlign w:val="bottom"/>
          </w:tcPr>
          <w:p>
            <w:pPr>
              <w:spacing w:after="0"/>
              <w:rPr>
                <w:sz w:val="10"/>
                <w:szCs w:val="1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3"/>
              </w:rPr>
              <w:t>Reductions</w:t>
            </w:r>
          </w:p>
        </w:tc>
        <w:tc>
          <w:tcPr>
            <w:tcW w:w="180" w:type="dxa"/>
            <w:vAlign w:val="bottom"/>
          </w:tcPr>
          <w:p>
            <w:pPr>
              <w:spacing w:after="0"/>
              <w:rPr>
                <w:sz w:val="10"/>
                <w:szCs w:val="10"/>
                <w:color w:val="auto"/>
              </w:rPr>
            </w:pP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(In</w:t>
            </w:r>
          </w:p>
        </w:tc>
        <w:tc>
          <w:tcPr>
            <w:tcW w:w="38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receivables(1)</w:t>
            </w: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2006</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(90)</w:t>
            </w: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2005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2004</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357</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(157)</w:t>
            </w: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58420</wp:posOffset>
            </wp:positionV>
            <wp:extent cx="82232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22" w:lineRule="exact"/>
        <w:rPr>
          <w:sz w:val="20"/>
          <w:szCs w:val="20"/>
          <w:color w:val="auto"/>
        </w:rPr>
      </w:pPr>
    </w:p>
    <w:p>
      <w:pPr>
        <w:ind w:left="5620" w:right="3160" w:hanging="4681"/>
        <w:spacing w:after="0" w:line="739" w:lineRule="auto"/>
        <w:tabs>
          <w:tab w:leader="none" w:pos="1201"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Reductions include the reinstatement and subsequent collections of accounts receivable that were previously written-off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898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1160" w:firstLine="399"/>
        <w:spacing w:after="0" w:line="279"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SYNCHRONOSS TECHNOLOGIES, INC.</w:t>
      </w:r>
    </w:p>
    <w:p>
      <w:pPr>
        <w:spacing w:after="0" w:line="16" w:lineRule="exact"/>
        <w:rPr>
          <w:sz w:val="20"/>
          <w:szCs w:val="20"/>
          <w:color w:val="auto"/>
        </w:rPr>
      </w:pPr>
    </w:p>
    <w:p>
      <w:pPr>
        <w:ind w:left="780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17145</wp:posOffset>
            </wp:positionV>
            <wp:extent cx="359918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99180" cy="6350"/>
                    </a:xfrm>
                    <a:prstGeom prst="rect">
                      <a:avLst/>
                    </a:prstGeom>
                    <a:noFill/>
                  </pic:spPr>
                </pic:pic>
              </a:graphicData>
            </a:graphic>
          </wp:anchor>
        </w:drawing>
      </w:r>
    </w:p>
    <w:p>
      <w:pPr>
        <w:spacing w:after="0" w:line="8" w:lineRule="exact"/>
        <w:rPr>
          <w:sz w:val="20"/>
          <w:szCs w:val="20"/>
          <w:color w:val="auto"/>
        </w:rPr>
      </w:pPr>
    </w:p>
    <w:p>
      <w:pPr>
        <w:jc w:val="center"/>
        <w:ind w:left="508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jc w:val="center"/>
        <w:ind w:left="5080"/>
        <w:spacing w:after="0"/>
        <w:rPr>
          <w:sz w:val="20"/>
          <w:szCs w:val="20"/>
          <w:color w:val="auto"/>
        </w:rPr>
      </w:pPr>
      <w:r>
        <w:rPr>
          <w:rFonts w:ascii="Arial" w:cs="Arial" w:eastAsia="Arial" w:hAnsi="Arial"/>
          <w:sz w:val="13"/>
          <w:szCs w:val="13"/>
          <w:i w:val="1"/>
          <w:iCs w:val="1"/>
          <w:color w:val="auto"/>
        </w:rPr>
        <w:t>Chairman of the Board, Chief Executive Officer and President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16, 2007</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2" w:lineRule="exact"/>
        <w:rPr>
          <w:sz w:val="20"/>
          <w:szCs w:val="20"/>
          <w:color w:val="auto"/>
        </w:rPr>
      </w:pPr>
    </w:p>
    <w:p>
      <w:pPr>
        <w:ind w:left="680" w:right="1040" w:firstLine="399"/>
        <w:spacing w:after="0" w:line="262"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Ronald J. Prague or Lawrence R. Irving, or either of them, each with the power of substitution, their attorney-in-fact, to sign any amendments to this Form 10-K (including post-effective amendments),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69" w:lineRule="exact"/>
        <w:rPr>
          <w:sz w:val="20"/>
          <w:szCs w:val="20"/>
          <w:color w:val="auto"/>
        </w:rPr>
      </w:pPr>
    </w:p>
    <w:p>
      <w:pPr>
        <w:ind w:left="680" w:right="860" w:firstLine="399"/>
        <w:spacing w:after="0" w:line="279"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tcPr>
          <w:p>
            <w:pPr>
              <w:ind w:left="190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p>
        </w:tc>
        <w:tc>
          <w:tcPr>
            <w:tcW w:w="4380" w:type="dxa"/>
            <w:vAlign w:val="bottom"/>
          </w:tcPr>
          <w:p>
            <w:pPr>
              <w:jc w:val="right"/>
              <w:ind w:right="1895"/>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p>
        </w:tc>
        <w:tc>
          <w:tcPr>
            <w:tcW w:w="22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r>
      <w:tr>
        <w:trPr>
          <w:trHeight w:val="325"/>
        </w:trPr>
        <w:tc>
          <w:tcPr>
            <w:tcW w:w="820" w:type="dxa"/>
            <w:vAlign w:val="bottom"/>
            <w:gridSpan w:val="2"/>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Pr>
          <w:p>
            <w:pPr>
              <w:ind w:left="60"/>
              <w:spacing w:after="0"/>
              <w:rPr>
                <w:sz w:val="20"/>
                <w:szCs w:val="20"/>
                <w:color w:val="auto"/>
              </w:rPr>
            </w:pPr>
            <w:r>
              <w:rPr>
                <w:rFonts w:ascii="Arial" w:cs="Arial" w:eastAsia="Arial" w:hAnsi="Arial"/>
                <w:sz w:val="13"/>
                <w:szCs w:val="13"/>
                <w:color w:val="auto"/>
              </w:rPr>
              <w:t>Stephen G. Waldis</w:t>
            </w:r>
          </w:p>
        </w:tc>
        <w:tc>
          <w:tcPr>
            <w:tcW w:w="4380" w:type="dxa"/>
            <w:vAlign w:val="bottom"/>
          </w:tcPr>
          <w:p>
            <w:pPr>
              <w:jc w:val="center"/>
              <w:ind w:left="15"/>
              <w:spacing w:after="0"/>
              <w:rPr>
                <w:sz w:val="20"/>
                <w:szCs w:val="20"/>
                <w:color w:val="auto"/>
              </w:rPr>
            </w:pPr>
            <w:r>
              <w:rPr>
                <w:rFonts w:ascii="Arial" w:cs="Arial" w:eastAsia="Arial" w:hAnsi="Arial"/>
                <w:sz w:val="13"/>
                <w:szCs w:val="13"/>
                <w:color w:val="auto"/>
                <w:w w:val="95"/>
              </w:rPr>
              <w:t>Chief Executive Officer and Director (Principal Executive Officer)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Stephen G. Waldis</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08"/>
        </w:trPr>
        <w:tc>
          <w:tcPr>
            <w:tcW w:w="820" w:type="dxa"/>
            <w:vAlign w:val="bottom"/>
            <w:gridSpan w:val="2"/>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Pr>
          <w:p>
            <w:pPr>
              <w:ind w:left="60"/>
              <w:spacing w:after="0"/>
              <w:rPr>
                <w:sz w:val="20"/>
                <w:szCs w:val="20"/>
                <w:color w:val="auto"/>
              </w:rPr>
            </w:pPr>
            <w:r>
              <w:rPr>
                <w:rFonts w:ascii="Arial" w:cs="Arial" w:eastAsia="Arial" w:hAnsi="Arial"/>
                <w:sz w:val="13"/>
                <w:szCs w:val="13"/>
                <w:color w:val="auto"/>
              </w:rPr>
              <w:t>Lawrence R. Irving</w:t>
            </w:r>
          </w:p>
        </w:tc>
        <w:tc>
          <w:tcPr>
            <w:tcW w:w="4380" w:type="dxa"/>
            <w:vAlign w:val="bottom"/>
          </w:tcPr>
          <w:p>
            <w:pPr>
              <w:jc w:val="center"/>
              <w:ind w:left="15"/>
              <w:spacing w:after="0"/>
              <w:rPr>
                <w:sz w:val="20"/>
                <w:szCs w:val="20"/>
                <w:color w:val="auto"/>
              </w:rPr>
            </w:pPr>
            <w:r>
              <w:rPr>
                <w:rFonts w:ascii="Arial" w:cs="Arial" w:eastAsia="Arial" w:hAnsi="Arial"/>
                <w:sz w:val="13"/>
                <w:szCs w:val="13"/>
                <w:color w:val="auto"/>
                <w:w w:val="95"/>
              </w:rPr>
              <w:t>Chief Financial Officer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7"/>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Lawrence R. Irving</w:t>
            </w:r>
          </w:p>
        </w:tc>
        <w:tc>
          <w:tcPr>
            <w:tcW w:w="4380" w:type="dxa"/>
            <w:vAlign w:val="bottom"/>
          </w:tcPr>
          <w:p>
            <w:pPr>
              <w:jc w:val="center"/>
              <w:ind w:left="15"/>
              <w:spacing w:after="0" w:line="146" w:lineRule="exact"/>
              <w:rPr>
                <w:sz w:val="20"/>
                <w:szCs w:val="20"/>
                <w:color w:val="auto"/>
              </w:rPr>
            </w:pPr>
            <w:r>
              <w:rPr>
                <w:rFonts w:ascii="Arial" w:cs="Arial" w:eastAsia="Arial" w:hAnsi="Arial"/>
                <w:sz w:val="13"/>
                <w:szCs w:val="13"/>
                <w:color w:val="auto"/>
                <w:w w:val="95"/>
              </w:rPr>
              <w:t>(Principal Financial and Accounting Officer)</w:t>
            </w:r>
          </w:p>
        </w:tc>
        <w:tc>
          <w:tcPr>
            <w:tcW w:w="2280" w:type="dxa"/>
            <w:vAlign w:val="bottom"/>
          </w:tcPr>
          <w:p>
            <w:pPr>
              <w:spacing w:after="0"/>
              <w:rPr>
                <w:sz w:val="13"/>
                <w:szCs w:val="13"/>
                <w:color w:val="auto"/>
              </w:rPr>
            </w:pPr>
          </w:p>
        </w:tc>
      </w:tr>
      <w:tr>
        <w:trPr>
          <w:trHeight w:val="308"/>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/s/ William Cadogan</w:t>
            </w:r>
          </w:p>
        </w:tc>
        <w:tc>
          <w:tcPr>
            <w:tcW w:w="4380" w:type="dxa"/>
            <w:vAlign w:val="bottom"/>
          </w:tcPr>
          <w:p>
            <w:pPr>
              <w:jc w:val="center"/>
              <w:ind w:left="35"/>
              <w:spacing w:after="0"/>
              <w:rPr>
                <w:sz w:val="20"/>
                <w:szCs w:val="20"/>
                <w:color w:val="auto"/>
              </w:rPr>
            </w:pPr>
            <w:r>
              <w:rPr>
                <w:rFonts w:ascii="Arial" w:cs="Arial" w:eastAsia="Arial" w:hAnsi="Arial"/>
                <w:sz w:val="13"/>
                <w:szCs w:val="13"/>
                <w:color w:val="auto"/>
                <w:w w:val="96"/>
              </w:rPr>
              <w:t>Director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William Cadogan</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08"/>
        </w:trPr>
        <w:tc>
          <w:tcPr>
            <w:tcW w:w="820" w:type="dxa"/>
            <w:vAlign w:val="bottom"/>
            <w:gridSpan w:val="2"/>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Pr>
          <w:p>
            <w:pPr>
              <w:ind w:left="60"/>
              <w:spacing w:after="0"/>
              <w:rPr>
                <w:sz w:val="20"/>
                <w:szCs w:val="20"/>
                <w:color w:val="auto"/>
              </w:rPr>
            </w:pPr>
            <w:r>
              <w:rPr>
                <w:rFonts w:ascii="Arial" w:cs="Arial" w:eastAsia="Arial" w:hAnsi="Arial"/>
                <w:sz w:val="13"/>
                <w:szCs w:val="13"/>
                <w:color w:val="auto"/>
              </w:rPr>
              <w:t>Charles Hoffman</w:t>
            </w:r>
          </w:p>
        </w:tc>
        <w:tc>
          <w:tcPr>
            <w:tcW w:w="4380" w:type="dxa"/>
            <w:vAlign w:val="bottom"/>
          </w:tcPr>
          <w:p>
            <w:pPr>
              <w:jc w:val="center"/>
              <w:ind w:left="35"/>
              <w:spacing w:after="0"/>
              <w:rPr>
                <w:sz w:val="20"/>
                <w:szCs w:val="20"/>
                <w:color w:val="auto"/>
              </w:rPr>
            </w:pPr>
            <w:r>
              <w:rPr>
                <w:rFonts w:ascii="Arial" w:cs="Arial" w:eastAsia="Arial" w:hAnsi="Arial"/>
                <w:sz w:val="13"/>
                <w:szCs w:val="13"/>
                <w:color w:val="auto"/>
                <w:w w:val="96"/>
              </w:rPr>
              <w:t>Director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Charles Hoffman</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08"/>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/s/ Thomas Hopkins</w:t>
            </w:r>
          </w:p>
        </w:tc>
        <w:tc>
          <w:tcPr>
            <w:tcW w:w="4380" w:type="dxa"/>
            <w:vAlign w:val="bottom"/>
          </w:tcPr>
          <w:p>
            <w:pPr>
              <w:jc w:val="center"/>
              <w:ind w:left="35"/>
              <w:spacing w:after="0"/>
              <w:rPr>
                <w:sz w:val="20"/>
                <w:szCs w:val="20"/>
                <w:color w:val="auto"/>
              </w:rPr>
            </w:pPr>
            <w:r>
              <w:rPr>
                <w:rFonts w:ascii="Arial" w:cs="Arial" w:eastAsia="Arial" w:hAnsi="Arial"/>
                <w:sz w:val="13"/>
                <w:szCs w:val="13"/>
                <w:color w:val="auto"/>
                <w:w w:val="96"/>
              </w:rPr>
              <w:t>Director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Thomas Hopkins</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08"/>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/s/ James McCormick</w:t>
            </w:r>
          </w:p>
        </w:tc>
        <w:tc>
          <w:tcPr>
            <w:tcW w:w="4380" w:type="dxa"/>
            <w:vAlign w:val="bottom"/>
          </w:tcPr>
          <w:p>
            <w:pPr>
              <w:jc w:val="center"/>
              <w:ind w:left="35"/>
              <w:spacing w:after="0"/>
              <w:rPr>
                <w:sz w:val="20"/>
                <w:szCs w:val="20"/>
                <w:color w:val="auto"/>
              </w:rPr>
            </w:pPr>
            <w:r>
              <w:rPr>
                <w:rFonts w:ascii="Arial" w:cs="Arial" w:eastAsia="Arial" w:hAnsi="Arial"/>
                <w:sz w:val="13"/>
                <w:szCs w:val="13"/>
                <w:color w:val="auto"/>
                <w:w w:val="96"/>
              </w:rPr>
              <w:t>Director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James McCormick</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08"/>
        </w:trPr>
        <w:tc>
          <w:tcPr>
            <w:tcW w:w="820" w:type="dxa"/>
            <w:vAlign w:val="bottom"/>
            <w:gridSpan w:val="2"/>
          </w:tcPr>
          <w:p>
            <w:pPr>
              <w:ind w:left="680"/>
              <w:spacing w:after="0"/>
              <w:rPr>
                <w:sz w:val="20"/>
                <w:szCs w:val="20"/>
                <w:color w:val="auto"/>
              </w:rPr>
            </w:pPr>
            <w:r>
              <w:rPr>
                <w:rFonts w:ascii="Arial" w:cs="Arial" w:eastAsia="Arial" w:hAnsi="Arial"/>
                <w:sz w:val="13"/>
                <w:szCs w:val="13"/>
                <w:color w:val="auto"/>
                <w:w w:val="87"/>
              </w:rPr>
              <w:t>/s/</w:t>
            </w:r>
          </w:p>
        </w:tc>
        <w:tc>
          <w:tcPr>
            <w:tcW w:w="3980" w:type="dxa"/>
            <w:vAlign w:val="bottom"/>
          </w:tcPr>
          <w:p>
            <w:pPr>
              <w:ind w:left="60"/>
              <w:spacing w:after="0"/>
              <w:rPr>
                <w:sz w:val="20"/>
                <w:szCs w:val="20"/>
                <w:color w:val="auto"/>
              </w:rPr>
            </w:pPr>
            <w:r>
              <w:rPr>
                <w:rFonts w:ascii="Arial" w:cs="Arial" w:eastAsia="Arial" w:hAnsi="Arial"/>
                <w:sz w:val="13"/>
                <w:szCs w:val="13"/>
                <w:color w:val="auto"/>
              </w:rPr>
              <w:t>Scott Yaphe</w:t>
            </w:r>
          </w:p>
        </w:tc>
        <w:tc>
          <w:tcPr>
            <w:tcW w:w="4380" w:type="dxa"/>
            <w:vAlign w:val="bottom"/>
          </w:tcPr>
          <w:p>
            <w:pPr>
              <w:jc w:val="center"/>
              <w:ind w:left="35"/>
              <w:spacing w:after="0"/>
              <w:rPr>
                <w:sz w:val="20"/>
                <w:szCs w:val="20"/>
                <w:color w:val="auto"/>
              </w:rPr>
            </w:pPr>
            <w:r>
              <w:rPr>
                <w:rFonts w:ascii="Arial" w:cs="Arial" w:eastAsia="Arial" w:hAnsi="Arial"/>
                <w:sz w:val="13"/>
                <w:szCs w:val="13"/>
                <w:color w:val="auto"/>
                <w:w w:val="96"/>
              </w:rPr>
              <w:t>Director</w:t>
            </w:r>
          </w:p>
        </w:tc>
        <w:tc>
          <w:tcPr>
            <w:tcW w:w="2280" w:type="dxa"/>
            <w:vAlign w:val="bottom"/>
          </w:tcPr>
          <w:p>
            <w:pPr>
              <w:ind w:left="360"/>
              <w:spacing w:after="0"/>
              <w:rPr>
                <w:sz w:val="20"/>
                <w:szCs w:val="20"/>
                <w:color w:val="auto"/>
              </w:rPr>
            </w:pPr>
            <w:r>
              <w:rPr>
                <w:rFonts w:ascii="Arial" w:cs="Arial" w:eastAsia="Arial" w:hAnsi="Arial"/>
                <w:sz w:val="13"/>
                <w:szCs w:val="13"/>
                <w:color w:val="auto"/>
              </w:rPr>
              <w:t>March 16, 2007</w:t>
            </w:r>
          </w:p>
        </w:tc>
      </w:tr>
      <w:tr>
        <w:trPr>
          <w:trHeight w:val="156"/>
        </w:trPr>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Scott Yaphe</w:t>
            </w: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436"/>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80" w:type="dxa"/>
            <w:vAlign w:val="bottom"/>
          </w:tcPr>
          <w:p>
            <w:pPr>
              <w:jc w:val="right"/>
              <w:ind w:right="3375"/>
              <w:spacing w:after="0"/>
              <w:rPr>
                <w:sz w:val="20"/>
                <w:szCs w:val="20"/>
                <w:color w:val="auto"/>
              </w:rPr>
            </w:pPr>
            <w:r>
              <w:rPr>
                <w:rFonts w:ascii="Arial" w:cs="Arial" w:eastAsia="Arial" w:hAnsi="Arial"/>
                <w:sz w:val="13"/>
                <w:szCs w:val="13"/>
                <w:color w:val="auto"/>
              </w:rPr>
              <w:t>64</w:t>
            </w:r>
          </w:p>
        </w:tc>
        <w:tc>
          <w:tcPr>
            <w:tcW w:w="228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-2557780</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2" w:lineRule="exact"/>
        <w:rPr>
          <w:sz w:val="20"/>
          <w:szCs w:val="20"/>
          <w:color w:val="auto"/>
        </w:rPr>
      </w:pPr>
    </w:p>
    <w:p>
      <w:pPr>
        <w:ind w:left="1280" w:hanging="194"/>
        <w:spacing w:after="0"/>
        <w:tabs>
          <w:tab w:leader="none" w:pos="12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40" w:type="dxa"/>
            <w:vAlign w:val="bottom"/>
          </w:tcPr>
          <w:p>
            <w:pPr>
              <w:ind w:left="1140"/>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528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1740" w:type="dxa"/>
            <w:vAlign w:val="bottom"/>
          </w:tcPr>
          <w:p>
            <w:pPr>
              <w:ind w:left="1140"/>
              <w:spacing w:after="0"/>
              <w:rPr>
                <w:sz w:val="20"/>
                <w:szCs w:val="20"/>
                <w:color w:val="auto"/>
              </w:rPr>
            </w:pPr>
            <w:r>
              <w:rPr>
                <w:rFonts w:ascii="Arial" w:cs="Arial" w:eastAsia="Arial" w:hAnsi="Arial"/>
                <w:sz w:val="13"/>
                <w:szCs w:val="13"/>
                <w:color w:val="auto"/>
              </w:rPr>
              <w:t>3.1*</w:t>
            </w:r>
          </w:p>
        </w:tc>
        <w:tc>
          <w:tcPr>
            <w:tcW w:w="4440" w:type="dxa"/>
            <w:vAlign w:val="bottom"/>
          </w:tcPr>
          <w:p>
            <w:pPr>
              <w:ind w:left="6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180" w:type="dxa"/>
            <w:vAlign w:val="bottom"/>
          </w:tcPr>
          <w:p>
            <w:pPr>
              <w:spacing w:after="0"/>
              <w:rPr>
                <w:sz w:val="15"/>
                <w:szCs w:val="15"/>
                <w:color w:val="auto"/>
              </w:rPr>
            </w:pP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3.2*</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4.1</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4.2*</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signature pages thereto.</w:t>
            </w: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4.3*</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 certain</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stockholders and the investors listed on the signature pages thereto.</w:t>
            </w: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4.4*</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1740" w:type="dxa"/>
            <w:vAlign w:val="bottom"/>
          </w:tcPr>
          <w:p>
            <w:pPr>
              <w:ind w:left="1140"/>
              <w:spacing w:after="0"/>
              <w:rPr>
                <w:sz w:val="20"/>
                <w:szCs w:val="20"/>
                <w:color w:val="auto"/>
              </w:rPr>
            </w:pPr>
            <w:r>
              <w:rPr>
                <w:rFonts w:ascii="Arial" w:cs="Arial" w:eastAsia="Arial" w:hAnsi="Arial"/>
                <w:sz w:val="13"/>
                <w:szCs w:val="13"/>
                <w:color w:val="auto"/>
              </w:rPr>
              <w:t>4.5*</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Amendment No. 1 to Synchronoss Technologies, Inc. Registration Rights Agreement, dated May 21, 2001, by and among the Registrant, certain stockholders listed on</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the signature pages thereto and Silicon Valley Bank.</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10.2*</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10.3*</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10.4*</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10.5*</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w w:val="99"/>
              </w:rPr>
              <w:t>Lease Agreement between the Registrant and BTCT Associates, L.L.C. for the premises located at 750 Route 202 South, Bridgewater, New Jersey, dated as of May 11,</w:t>
            </w:r>
          </w:p>
        </w:tc>
      </w:tr>
      <w:tr>
        <w:trPr>
          <w:trHeight w:val="158"/>
        </w:trPr>
        <w:tc>
          <w:tcPr>
            <w:tcW w:w="1740" w:type="dxa"/>
            <w:vAlign w:val="bottom"/>
          </w:tcPr>
          <w:p>
            <w:pPr>
              <w:spacing w:after="0"/>
              <w:rPr>
                <w:sz w:val="13"/>
                <w:szCs w:val="13"/>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10.6*</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First Amendment dated December 23, 2003 to the Lease Agreement between the Registrant and BTCT Associates, L.L.C. for the premises located at 750 Route 202</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South, Bridgewater, New Jersey, dated as of May 11, 2004.</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10.7</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Second Amendment dated August 21, 2006 to the Lease Agreement between the Registrant and BTCT Associates, L.L.C. for the premises located at 750 Route 202</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South, Bridgewater, New Jersey, dated as of May 11, 2004.</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10.8*</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Lease Agreement between the Registrant and Liberty Property Limited Partnership for the premises located at 1525 Valley Center Parkway, Bethlehem, Pennsylvania,</w:t>
            </w:r>
          </w:p>
        </w:tc>
      </w:tr>
      <w:tr>
        <w:trPr>
          <w:trHeight w:val="158"/>
        </w:trPr>
        <w:tc>
          <w:tcPr>
            <w:tcW w:w="1740" w:type="dxa"/>
            <w:vAlign w:val="bottom"/>
          </w:tcPr>
          <w:p>
            <w:pPr>
              <w:spacing w:after="0"/>
              <w:rPr>
                <w:sz w:val="13"/>
                <w:szCs w:val="13"/>
                <w:color w:val="auto"/>
              </w:rPr>
            </w:pP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dated as of February 14, 2002.</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10.9*</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Lease Agreement between the Registrant and Apple Tree LLC for the premises located at 8201 164th Avenue NE, Redmond, Washington, dated as of November 28,</w:t>
            </w:r>
          </w:p>
        </w:tc>
      </w:tr>
      <w:tr>
        <w:trPr>
          <w:trHeight w:val="158"/>
        </w:trPr>
        <w:tc>
          <w:tcPr>
            <w:tcW w:w="1740" w:type="dxa"/>
            <w:vAlign w:val="bottom"/>
          </w:tcPr>
          <w:p>
            <w:pPr>
              <w:spacing w:after="0"/>
              <w:rPr>
                <w:sz w:val="13"/>
                <w:szCs w:val="13"/>
                <w:color w:val="auto"/>
              </w:rPr>
            </w:pPr>
          </w:p>
        </w:tc>
        <w:tc>
          <w:tcPr>
            <w:tcW w:w="4440" w:type="dxa"/>
            <w:vAlign w:val="bottom"/>
          </w:tcPr>
          <w:p>
            <w:pPr>
              <w:ind w:left="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10.10*</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10.11*‡</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10.12*†</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Stephen G. Waldis.</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10.13*†</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Lawrence R. Irving.</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10.14*†</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Robert Garcia.</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10.15†</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Chris Putnam.</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10.16†</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Employment Agreement between the Registrant and Omar Tellez</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23.1</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24</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Power of Attorney (see page 64)</w:t>
            </w:r>
          </w:p>
        </w:tc>
      </w:tr>
      <w:tr>
        <w:trPr>
          <w:trHeight w:val="158"/>
        </w:trPr>
        <w:tc>
          <w:tcPr>
            <w:tcW w:w="1740" w:type="dxa"/>
            <w:vAlign w:val="bottom"/>
          </w:tcPr>
          <w:p>
            <w:pPr>
              <w:ind w:left="1080"/>
              <w:spacing w:after="0"/>
              <w:rPr>
                <w:sz w:val="20"/>
                <w:szCs w:val="20"/>
                <w:color w:val="auto"/>
              </w:rPr>
            </w:pPr>
            <w:r>
              <w:rPr>
                <w:rFonts w:ascii="Arial" w:cs="Arial" w:eastAsia="Arial" w:hAnsi="Arial"/>
                <w:sz w:val="13"/>
                <w:szCs w:val="13"/>
                <w:color w:val="auto"/>
              </w:rPr>
              <w:t>31.1</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Certification of Chief Executive Officer pursuant to Rule 13a-14(a) of the Exchange Act, as adopted pursuant to section 302 of the Sarbanes-Oxley Act of 2002</w:t>
            </w:r>
          </w:p>
        </w:tc>
      </w:tr>
      <w:tr>
        <w:trPr>
          <w:trHeight w:val="165"/>
        </w:trPr>
        <w:tc>
          <w:tcPr>
            <w:tcW w:w="1740" w:type="dxa"/>
            <w:vAlign w:val="bottom"/>
          </w:tcPr>
          <w:p>
            <w:pPr>
              <w:ind w:left="1080"/>
              <w:spacing w:after="0"/>
              <w:rPr>
                <w:sz w:val="20"/>
                <w:szCs w:val="20"/>
                <w:color w:val="auto"/>
              </w:rPr>
            </w:pPr>
            <w:r>
              <w:rPr>
                <w:rFonts w:ascii="Arial" w:cs="Arial" w:eastAsia="Arial" w:hAnsi="Arial"/>
                <w:sz w:val="13"/>
                <w:szCs w:val="13"/>
                <w:color w:val="auto"/>
              </w:rPr>
              <w:t>31.2</w:t>
            </w:r>
          </w:p>
        </w:tc>
        <w:tc>
          <w:tcPr>
            <w:tcW w:w="9720" w:type="dxa"/>
            <w:vAlign w:val="bottom"/>
            <w:gridSpan w:val="3"/>
          </w:tcPr>
          <w:p>
            <w:pPr>
              <w:ind w:left="60"/>
              <w:spacing w:after="0"/>
              <w:rPr>
                <w:sz w:val="20"/>
                <w:szCs w:val="20"/>
                <w:color w:val="auto"/>
              </w:rPr>
            </w:pPr>
            <w:r>
              <w:rPr>
                <w:rFonts w:ascii="Arial" w:cs="Arial" w:eastAsia="Arial" w:hAnsi="Arial"/>
                <w:sz w:val="13"/>
                <w:szCs w:val="13"/>
                <w:color w:val="auto"/>
              </w:rPr>
              <w:t>Certification of Chief Financial Officer pursuant to Rule 13a-14(a) of the Exchange Act, as adopted pursuant to section 302 of the Sarbanes-Oxley Act of 2002</w:t>
            </w:r>
          </w:p>
        </w:tc>
      </w:tr>
      <w:tr>
        <w:trPr>
          <w:trHeight w:val="455"/>
        </w:trPr>
        <w:tc>
          <w:tcPr>
            <w:tcW w:w="1740" w:type="dxa"/>
            <w:vAlign w:val="bottom"/>
          </w:tcPr>
          <w:p>
            <w:pPr>
              <w:spacing w:after="0"/>
              <w:rPr>
                <w:sz w:val="24"/>
                <w:szCs w:val="24"/>
                <w:color w:val="auto"/>
              </w:rPr>
            </w:pPr>
          </w:p>
        </w:tc>
        <w:tc>
          <w:tcPr>
            <w:tcW w:w="4440" w:type="dxa"/>
            <w:vAlign w:val="bottom"/>
          </w:tcPr>
          <w:p>
            <w:pPr>
              <w:ind w:left="388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5"/>
        </w:trPr>
        <w:tc>
          <w:tcPr>
            <w:tcW w:w="174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-3951605</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1040" w:type="dxa"/>
            <w:vAlign w:val="bottom"/>
          </w:tcPr>
          <w:p>
            <w:pPr>
              <w:ind w:left="440"/>
              <w:spacing w:after="0"/>
              <w:rPr>
                <w:sz w:val="20"/>
                <w:szCs w:val="20"/>
                <w:color w:val="auto"/>
              </w:rPr>
            </w:pPr>
            <w:r>
              <w:rPr>
                <w:rFonts w:ascii="Arial" w:cs="Arial" w:eastAsia="Arial" w:hAnsi="Arial"/>
                <w:sz w:val="11"/>
                <w:szCs w:val="11"/>
                <w:b w:val="1"/>
                <w:bCs w:val="1"/>
                <w:color w:val="auto"/>
              </w:rPr>
              <w:t>Exhibit No.</w:t>
            </w:r>
          </w:p>
        </w:tc>
        <w:tc>
          <w:tcPr>
            <w:tcW w:w="2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c>
          <w:tcPr>
            <w:tcW w:w="350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179"/>
        </w:trPr>
        <w:tc>
          <w:tcPr>
            <w:tcW w:w="1040" w:type="dxa"/>
            <w:vAlign w:val="bottom"/>
          </w:tcPr>
          <w:p>
            <w:pPr>
              <w:jc w:val="right"/>
              <w:ind w:right="357"/>
              <w:spacing w:after="0"/>
              <w:rPr>
                <w:sz w:val="20"/>
                <w:szCs w:val="20"/>
                <w:color w:val="auto"/>
              </w:rPr>
            </w:pPr>
            <w:r>
              <w:rPr>
                <w:rFonts w:ascii="Arial" w:cs="Arial" w:eastAsia="Arial" w:hAnsi="Arial"/>
                <w:sz w:val="13"/>
                <w:szCs w:val="13"/>
                <w:color w:val="auto"/>
              </w:rPr>
              <w:t>32.1</w:t>
            </w:r>
          </w:p>
        </w:tc>
        <w:tc>
          <w:tcPr>
            <w:tcW w:w="8860" w:type="dxa"/>
            <w:vAlign w:val="bottom"/>
            <w:gridSpan w:val="5"/>
          </w:tcPr>
          <w:p>
            <w:pPr>
              <w:ind w:left="6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 the</w:t>
            </w:r>
          </w:p>
        </w:tc>
      </w:tr>
      <w:tr>
        <w:trPr>
          <w:trHeight w:val="158"/>
        </w:trPr>
        <w:tc>
          <w:tcPr>
            <w:tcW w:w="1040" w:type="dxa"/>
            <w:vAlign w:val="bottom"/>
          </w:tcPr>
          <w:p>
            <w:pPr>
              <w:spacing w:after="0"/>
              <w:rPr>
                <w:sz w:val="13"/>
                <w:szCs w:val="13"/>
                <w:color w:val="auto"/>
              </w:rPr>
            </w:pPr>
          </w:p>
        </w:tc>
        <w:tc>
          <w:tcPr>
            <w:tcW w:w="5360" w:type="dxa"/>
            <w:vAlign w:val="bottom"/>
            <w:gridSpan w:val="4"/>
          </w:tcPr>
          <w:p>
            <w:pPr>
              <w:ind w:left="60"/>
              <w:spacing w:after="0"/>
              <w:rPr>
                <w:sz w:val="20"/>
                <w:szCs w:val="20"/>
                <w:color w:val="auto"/>
              </w:rPr>
            </w:pPr>
            <w:r>
              <w:rPr>
                <w:rFonts w:ascii="Arial" w:cs="Arial" w:eastAsia="Arial" w:hAnsi="Arial"/>
                <w:sz w:val="13"/>
                <w:szCs w:val="13"/>
                <w:color w:val="auto"/>
              </w:rPr>
              <w:t>Sarbanes-Oxley Act of 2002</w:t>
            </w:r>
          </w:p>
        </w:tc>
        <w:tc>
          <w:tcPr>
            <w:tcW w:w="3500" w:type="dxa"/>
            <w:vAlign w:val="bottom"/>
          </w:tcPr>
          <w:p>
            <w:pPr>
              <w:spacing w:after="0"/>
              <w:rPr>
                <w:sz w:val="13"/>
                <w:szCs w:val="13"/>
                <w:color w:val="auto"/>
              </w:rPr>
            </w:pPr>
          </w:p>
        </w:tc>
      </w:tr>
      <w:tr>
        <w:trPr>
          <w:trHeight w:val="158"/>
        </w:trPr>
        <w:tc>
          <w:tcPr>
            <w:tcW w:w="1040" w:type="dxa"/>
            <w:vAlign w:val="bottom"/>
          </w:tcPr>
          <w:p>
            <w:pPr>
              <w:jc w:val="right"/>
              <w:ind w:right="357"/>
              <w:spacing w:after="0"/>
              <w:rPr>
                <w:sz w:val="20"/>
                <w:szCs w:val="20"/>
                <w:color w:val="auto"/>
              </w:rPr>
            </w:pPr>
            <w:r>
              <w:rPr>
                <w:rFonts w:ascii="Arial" w:cs="Arial" w:eastAsia="Arial" w:hAnsi="Arial"/>
                <w:sz w:val="13"/>
                <w:szCs w:val="13"/>
                <w:color w:val="auto"/>
              </w:rPr>
              <w:t>32.2</w:t>
            </w:r>
          </w:p>
        </w:tc>
        <w:tc>
          <w:tcPr>
            <w:tcW w:w="8860" w:type="dxa"/>
            <w:vAlign w:val="bottom"/>
            <w:gridSpan w:val="5"/>
          </w:tcPr>
          <w:p>
            <w:pPr>
              <w:ind w:left="6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 the</w:t>
            </w:r>
          </w:p>
        </w:tc>
      </w:tr>
      <w:tr>
        <w:trPr>
          <w:trHeight w:val="165"/>
        </w:trPr>
        <w:tc>
          <w:tcPr>
            <w:tcW w:w="1040" w:type="dxa"/>
            <w:vAlign w:val="bottom"/>
          </w:tcPr>
          <w:p>
            <w:pPr>
              <w:spacing w:after="0"/>
              <w:rPr>
                <w:sz w:val="14"/>
                <w:szCs w:val="14"/>
                <w:color w:val="auto"/>
              </w:rPr>
            </w:pPr>
          </w:p>
        </w:tc>
        <w:tc>
          <w:tcPr>
            <w:tcW w:w="5360" w:type="dxa"/>
            <w:vAlign w:val="bottom"/>
            <w:gridSpan w:val="4"/>
          </w:tcPr>
          <w:p>
            <w:pPr>
              <w:ind w:left="60"/>
              <w:spacing w:after="0"/>
              <w:rPr>
                <w:sz w:val="20"/>
                <w:szCs w:val="20"/>
                <w:color w:val="auto"/>
              </w:rPr>
            </w:pPr>
            <w:r>
              <w:rPr>
                <w:rFonts w:ascii="Arial" w:cs="Arial" w:eastAsia="Arial" w:hAnsi="Arial"/>
                <w:sz w:val="13"/>
                <w:szCs w:val="13"/>
                <w:color w:val="auto"/>
              </w:rPr>
              <w:t>Sarbanes-Oxley Act of 2002</w:t>
            </w:r>
          </w:p>
        </w:tc>
        <w:tc>
          <w:tcPr>
            <w:tcW w:w="3500" w:type="dxa"/>
            <w:vAlign w:val="bottom"/>
          </w:tcPr>
          <w:p>
            <w:pPr>
              <w:spacing w:after="0"/>
              <w:rPr>
                <w:sz w:val="14"/>
                <w:szCs w:val="14"/>
                <w:color w:val="auto"/>
              </w:rPr>
            </w:pPr>
          </w:p>
        </w:tc>
      </w:tr>
      <w:tr>
        <w:trPr>
          <w:trHeight w:val="100"/>
        </w:trPr>
        <w:tc>
          <w:tcPr>
            <w:tcW w:w="1280" w:type="dxa"/>
            <w:vAlign w:val="bottom"/>
            <w:tcBorders>
              <w:bottom w:val="single" w:sz="8" w:color="auto"/>
            </w:tcBorders>
            <w:gridSpan w:val="2"/>
          </w:tcPr>
          <w:p>
            <w:pPr>
              <w:spacing w:after="0"/>
              <w:rPr>
                <w:sz w:val="8"/>
                <w:szCs w:val="8"/>
                <w:color w:val="auto"/>
              </w:rPr>
            </w:pPr>
          </w:p>
        </w:tc>
        <w:tc>
          <w:tcPr>
            <w:tcW w:w="5120" w:type="dxa"/>
            <w:vAlign w:val="bottom"/>
            <w:gridSpan w:val="3"/>
          </w:tcPr>
          <w:p>
            <w:pPr>
              <w:spacing w:after="0"/>
              <w:rPr>
                <w:sz w:val="8"/>
                <w:szCs w:val="8"/>
                <w:color w:val="auto"/>
              </w:rPr>
            </w:pPr>
          </w:p>
        </w:tc>
        <w:tc>
          <w:tcPr>
            <w:tcW w:w="3500" w:type="dxa"/>
            <w:vAlign w:val="bottom"/>
          </w:tcPr>
          <w:p>
            <w:pPr>
              <w:spacing w:after="0"/>
              <w:rPr>
                <w:sz w:val="8"/>
                <w:szCs w:val="8"/>
                <w:color w:val="auto"/>
              </w:rPr>
            </w:pPr>
          </w:p>
        </w:tc>
      </w:tr>
      <w:tr>
        <w:trPr>
          <w:trHeight w:val="196"/>
        </w:trPr>
        <w:tc>
          <w:tcPr>
            <w:tcW w:w="6400" w:type="dxa"/>
            <w:vAlign w:val="bottom"/>
            <w:gridSpan w:val="5"/>
          </w:tcPr>
          <w:p>
            <w:pPr>
              <w:ind w:left="40"/>
              <w:spacing w:after="0"/>
              <w:rPr>
                <w:sz w:val="20"/>
                <w:szCs w:val="20"/>
                <w:color w:val="auto"/>
              </w:rPr>
            </w:pPr>
            <w:r>
              <w:rPr>
                <w:rFonts w:ascii="Arial" w:cs="Arial" w:eastAsia="Arial" w:hAnsi="Arial"/>
                <w:sz w:val="13"/>
                <w:szCs w:val="13"/>
                <w:color w:val="auto"/>
              </w:rPr>
              <w:t>†  Compensation Arrangement.</w:t>
            </w:r>
          </w:p>
        </w:tc>
        <w:tc>
          <w:tcPr>
            <w:tcW w:w="3500" w:type="dxa"/>
            <w:vAlign w:val="bottom"/>
          </w:tcPr>
          <w:p>
            <w:pPr>
              <w:spacing w:after="0"/>
              <w:rPr>
                <w:sz w:val="17"/>
                <w:szCs w:val="17"/>
                <w:color w:val="auto"/>
              </w:rPr>
            </w:pPr>
          </w:p>
        </w:tc>
      </w:tr>
      <w:tr>
        <w:trPr>
          <w:trHeight w:val="198"/>
        </w:trPr>
        <w:tc>
          <w:tcPr>
            <w:tcW w:w="6400" w:type="dxa"/>
            <w:vAlign w:val="bottom"/>
            <w:gridSpan w:val="5"/>
          </w:tcPr>
          <w:p>
            <w:pPr>
              <w:ind w:left="40"/>
              <w:spacing w:after="0"/>
              <w:rPr>
                <w:sz w:val="20"/>
                <w:szCs w:val="20"/>
                <w:color w:val="auto"/>
              </w:rPr>
            </w:pPr>
            <w:r>
              <w:rPr>
                <w:rFonts w:ascii="Arial" w:cs="Arial" w:eastAsia="Arial" w:hAnsi="Arial"/>
                <w:sz w:val="13"/>
                <w:szCs w:val="13"/>
                <w:color w:val="auto"/>
                <w:w w:val="94"/>
              </w:rPr>
              <w:t>*  Incorporated by reference to Registrant’s Registration Statement on Form S-1 (Commission File No. 333-132080).</w:t>
            </w:r>
          </w:p>
        </w:tc>
        <w:tc>
          <w:tcPr>
            <w:tcW w:w="3500" w:type="dxa"/>
            <w:vAlign w:val="bottom"/>
          </w:tcPr>
          <w:p>
            <w:pPr>
              <w:jc w:val="right"/>
              <w:ind w:right="323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-758190</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2" w:lineRule="exact"/>
        <w:rPr>
          <w:sz w:val="20"/>
          <w:szCs w:val="20"/>
          <w:color w:val="auto"/>
        </w:rPr>
      </w:pPr>
    </w:p>
    <w:p>
      <w:pPr>
        <w:jc w:val="center"/>
        <w:ind w:left="5620" w:right="460" w:hanging="4890"/>
        <w:spacing w:after="0" w:line="485" w:lineRule="auto"/>
        <w:tabs>
          <w:tab w:leader="none" w:pos="904"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document. The omitted portions of this document have been filed with the Securities and Exchange Commission. 66</w:t>
      </w:r>
    </w:p>
    <w:p>
      <w:pPr>
        <w:sectPr>
          <w:pgSz w:w="11900" w:h="16838" w:orient="portrait"/>
          <w:cols w:equalWidth="0" w:num="1">
            <w:col w:w="10600"/>
          </w:cols>
          <w:pgMar w:left="220" w:top="345" w:right="107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auto"/>
        </w:rPr>
        <w:t>EXHIBIT 10.7</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SECOND AMENDMENT TO LEASE</w:t>
      </w:r>
    </w:p>
    <w:p>
      <w:pPr>
        <w:spacing w:after="0" w:line="88" w:lineRule="exact"/>
        <w:rPr>
          <w:sz w:val="20"/>
          <w:szCs w:val="20"/>
          <w:color w:val="auto"/>
        </w:rPr>
      </w:pPr>
    </w:p>
    <w:p>
      <w:pPr>
        <w:jc w:val="both"/>
        <w:ind w:right="260" w:firstLine="162"/>
        <w:spacing w:after="0" w:line="269" w:lineRule="auto"/>
        <w:rPr>
          <w:sz w:val="20"/>
          <w:szCs w:val="20"/>
          <w:color w:val="auto"/>
        </w:rPr>
      </w:pPr>
      <w:r>
        <w:rPr>
          <w:rFonts w:ascii="Arial" w:cs="Arial" w:eastAsia="Arial" w:hAnsi="Arial"/>
          <w:sz w:val="13"/>
          <w:szCs w:val="13"/>
          <w:color w:val="auto"/>
        </w:rPr>
        <w:t xml:space="preserve">This Second Amendment to Lease (this “Agreement”) made this 21 day of August, 2006, by and between </w:t>
      </w:r>
      <w:r>
        <w:rPr>
          <w:rFonts w:ascii="Arial" w:cs="Arial" w:eastAsia="Arial" w:hAnsi="Arial"/>
          <w:sz w:val="13"/>
          <w:szCs w:val="13"/>
          <w:b w:val="1"/>
          <w:bCs w:val="1"/>
          <w:color w:val="auto"/>
        </w:rPr>
        <w:t>BTCT ASSOCIATES, L.L.C.,</w:t>
      </w:r>
      <w:r>
        <w:rPr>
          <w:rFonts w:ascii="Arial" w:cs="Arial" w:eastAsia="Arial" w:hAnsi="Arial"/>
          <w:sz w:val="13"/>
          <w:szCs w:val="13"/>
          <w:color w:val="auto"/>
        </w:rPr>
        <w:t xml:space="preserve"> a New Jersey limited liability company, having an address c/o Steiner Equities Group, L.L.C., 75 Eisenhower Parkway, Roseland, New Jersey 07068-1696 (“Landlord”), and </w:t>
      </w:r>
      <w:r>
        <w:rPr>
          <w:rFonts w:ascii="Arial" w:cs="Arial" w:eastAsia="Arial" w:hAnsi="Arial"/>
          <w:sz w:val="13"/>
          <w:szCs w:val="13"/>
          <w:b w:val="1"/>
          <w:bCs w:val="1"/>
          <w:color w:val="auto"/>
        </w:rPr>
        <w:t>SYNCHRONOSS TECHNOLOGIES, INC.,</w:t>
      </w:r>
      <w:r>
        <w:rPr>
          <w:rFonts w:ascii="Arial" w:cs="Arial" w:eastAsia="Arial" w:hAnsi="Arial"/>
          <w:sz w:val="13"/>
          <w:szCs w:val="13"/>
          <w:color w:val="auto"/>
        </w:rPr>
        <w:t xml:space="preserve"> a Delaware corporation, having an address at 750 Route 202, Bridgewater, New Jersey 08807 (“Tenant”).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W I T N E S S E T H:</w:t>
      </w:r>
    </w:p>
    <w:p>
      <w:pPr>
        <w:spacing w:after="0" w:line="92" w:lineRule="exact"/>
        <w:rPr>
          <w:sz w:val="20"/>
          <w:szCs w:val="20"/>
          <w:color w:val="auto"/>
        </w:rPr>
      </w:pPr>
    </w:p>
    <w:p>
      <w:pPr>
        <w:ind w:right="100" w:firstLine="162"/>
        <w:spacing w:after="0" w:line="322" w:lineRule="auto"/>
        <w:rPr>
          <w:sz w:val="20"/>
          <w:szCs w:val="20"/>
          <w:color w:val="auto"/>
        </w:rPr>
      </w:pPr>
      <w:r>
        <w:rPr>
          <w:rFonts w:ascii="Arial" w:cs="Arial" w:eastAsia="Arial" w:hAnsi="Arial"/>
          <w:sz w:val="12"/>
          <w:szCs w:val="12"/>
          <w:color w:val="auto"/>
        </w:rPr>
        <w:t>WHEREAS, by lease agreement dated May 11, 2004, as amended by document entitled “First Amendment to Lease” dated October 25, 2004 (collectively, the “Lease”), Landlord leased to Tenant and Tenant hired from Landlord certain premises (the “Original Premises”) consisting of 21,150 rentable square feet in the building (the “Building”) known as 750 Route 202, Bridgewater, Somerset County, New Jersey; and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Landlord and Tenant wish to further modify and amend the Lease, as hereinafter set forth;</w:t>
      </w:r>
    </w:p>
    <w:p>
      <w:pPr>
        <w:spacing w:after="0" w:line="88" w:lineRule="exact"/>
        <w:rPr>
          <w:sz w:val="20"/>
          <w:szCs w:val="20"/>
          <w:color w:val="auto"/>
        </w:rPr>
      </w:pPr>
    </w:p>
    <w:p>
      <w:pPr>
        <w:ind w:right="480" w:firstLine="165"/>
        <w:spacing w:after="0" w:line="279" w:lineRule="auto"/>
        <w:rPr>
          <w:sz w:val="20"/>
          <w:szCs w:val="20"/>
          <w:color w:val="auto"/>
        </w:rPr>
      </w:pPr>
      <w:r>
        <w:rPr>
          <w:rFonts w:ascii="Arial" w:cs="Arial" w:eastAsia="Arial" w:hAnsi="Arial"/>
          <w:sz w:val="13"/>
          <w:szCs w:val="13"/>
          <w:color w:val="auto"/>
        </w:rPr>
        <w:t>NOW, THEREFORE, for and in consideration of the above premises, the mutual covenants hereinafter contained, and other good and valuable consideration, the receipt and sufficiency of which are hereby acknowledged, Landlord and Tenant hereby agree as follows:</w:t>
      </w:r>
    </w:p>
    <w:p>
      <w:pPr>
        <w:spacing w:after="0" w:line="48" w:lineRule="exact"/>
        <w:rPr>
          <w:sz w:val="20"/>
          <w:szCs w:val="20"/>
          <w:color w:val="auto"/>
        </w:rPr>
      </w:pPr>
    </w:p>
    <w:p>
      <w:pPr>
        <w:ind w:right="220" w:firstLine="164"/>
        <w:spacing w:after="0" w:line="262" w:lineRule="auto"/>
        <w:tabs>
          <w:tab w:leader="none" w:pos="296"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Premises</w:t>
      </w:r>
      <w:r>
        <w:rPr>
          <w:rFonts w:ascii="Arial" w:cs="Arial" w:eastAsia="Arial" w:hAnsi="Arial"/>
          <w:sz w:val="13"/>
          <w:szCs w:val="13"/>
          <w:color w:val="auto"/>
        </w:rPr>
        <w:t>. (a) On the “Additional Space Commencement Date” (as hereinafter defined), the definition and description of the Premises in the Lease shall be modified and amended to include certain additional premises consisting of 5,000 rentable square feet constituting a portion of the fourth floor of the Building (the “Additional Space”), which Additional Space is shown shaded on the Fourth Floor Plan Rider attached hereto. As a result of the foregoing, the definition and description of the Premises in the Lease shall, on the Additional Space Commencement Date, refer to the Original Premises described in the Lease and the Additional Space described herein, and shall consist of a total of 26,150 rentable square feet.</w:t>
      </w:r>
    </w:p>
    <w:p>
      <w:pPr>
        <w:spacing w:after="0" w:line="59" w:lineRule="exact"/>
        <w:rPr>
          <w:sz w:val="20"/>
          <w:szCs w:val="20"/>
          <w:color w:val="auto"/>
        </w:rPr>
      </w:pPr>
    </w:p>
    <w:p>
      <w:pPr>
        <w:ind w:right="20" w:firstLine="164"/>
        <w:spacing w:after="0" w:line="266" w:lineRule="auto"/>
        <w:tabs>
          <w:tab w:leader="none" w:pos="351" w:val="left"/>
        </w:tabs>
        <w:numPr>
          <w:ilvl w:val="0"/>
          <w:numId w:val="32"/>
        </w:numPr>
        <w:rPr>
          <w:rFonts w:ascii="Arial" w:cs="Arial" w:eastAsia="Arial" w:hAnsi="Arial"/>
          <w:sz w:val="13"/>
          <w:szCs w:val="13"/>
          <w:color w:val="auto"/>
        </w:rPr>
      </w:pPr>
      <w:r>
        <w:rPr>
          <w:rFonts w:ascii="Arial" w:cs="Arial" w:eastAsia="Arial" w:hAnsi="Arial"/>
          <w:sz w:val="13"/>
          <w:szCs w:val="13"/>
          <w:color w:val="auto"/>
        </w:rPr>
        <w:t>Landlord shall improve the Additional Space in conformity with and to the extent of the Landlord’s Work Rider attached hereto (the “Landlord’s Work”), and shall have no other obligation to do any work in and to the Additional Space or the Building to render them ready for Tenant’s occupancy. Subject to the Landlord’s Work Rider, Tenant has inspected the Additional Space and agrees to take the Additional Space in its present “as-is” condition.</w:t>
      </w:r>
    </w:p>
    <w:p>
      <w:pPr>
        <w:spacing w:after="0" w:line="57" w:lineRule="exact"/>
        <w:rPr>
          <w:sz w:val="20"/>
          <w:szCs w:val="20"/>
          <w:color w:val="auto"/>
        </w:rPr>
      </w:pPr>
    </w:p>
    <w:p>
      <w:pPr>
        <w:ind w:right="20" w:firstLine="164"/>
        <w:spacing w:after="0" w:line="260" w:lineRule="auto"/>
        <w:tabs>
          <w:tab w:leader="none" w:pos="296"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(a) The Term of the Lease for the Additional Space shall commence on the date (the “Additional Space Commencement Date”) which shall be the earlier of the date on which Landlord’s Work has been substantially completed (or would have been substantially completed except by reason of any delay caused solely by Tenant), or the date on which Tenant occupies any portion of the Additional Space. Landlord’s Work shall be deemed substantially completed at such time as the only items of Landlord’s Work to be completed are those of a “punch-list” nature which do not substantially interfere with Tenant’s use and occupancy of the Additional Space. The Term of the Lease for the Additional Space shall be coterminous with the Term of the Lease for the Original Premises (i.e., expiring on March 31, 2012), subject to Tenant’s option to extend the Term as set forth in the Lease.</w:t>
      </w:r>
    </w:p>
    <w:p>
      <w:pPr>
        <w:spacing w:after="0" w:line="60" w:lineRule="exact"/>
        <w:rPr>
          <w:sz w:val="20"/>
          <w:szCs w:val="20"/>
          <w:color w:val="auto"/>
        </w:rPr>
      </w:pPr>
    </w:p>
    <w:p>
      <w:pPr>
        <w:jc w:val="both"/>
        <w:ind w:right="140" w:firstLine="164"/>
        <w:spacing w:after="0" w:line="262" w:lineRule="auto"/>
        <w:tabs>
          <w:tab w:leader="none" w:pos="351" w:val="left"/>
        </w:tabs>
        <w:numPr>
          <w:ilvl w:val="0"/>
          <w:numId w:val="34"/>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if Landlord permits Tenant or its representatives to enter the Additional Space prior to the Additional Space Commencement Date for the purpose of installing computer and telephone lines and performing similar minor work in connection with Tenant’s initial occupancy of the Additional Space, such entry into the Additional Space shall not constitute occupancy for purposes of triggering the Additional Space Commencement Date. Tenant’s entry into the Additional Space prior to the Additional Space Commencement Date shall be subject to the terms and provisions of the Lease and to Landlord’s other reasonable requirements.</w:t>
      </w:r>
    </w:p>
    <w:p>
      <w:pPr>
        <w:spacing w:after="0" w:line="59" w:lineRule="exact"/>
        <w:rPr>
          <w:rFonts w:ascii="Arial" w:cs="Arial" w:eastAsia="Arial" w:hAnsi="Arial"/>
          <w:sz w:val="13"/>
          <w:szCs w:val="13"/>
          <w:color w:val="auto"/>
        </w:rPr>
      </w:pPr>
    </w:p>
    <w:p>
      <w:pPr>
        <w:ind w:left="340" w:hanging="176"/>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Promptly following the Additional Space Commencement Date, Landlord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8" w:name="page69"/>
    <w:bookmarkEnd w:id="68"/>
    <w:p>
      <w:pPr>
        <w:spacing w:after="0"/>
        <w:rPr>
          <w:sz w:val="20"/>
          <w:szCs w:val="20"/>
          <w:color w:val="auto"/>
        </w:rPr>
      </w:pPr>
      <w:r>
        <w:rPr>
          <w:rFonts w:ascii="Arial" w:cs="Arial" w:eastAsia="Arial" w:hAnsi="Arial"/>
          <w:sz w:val="13"/>
          <w:szCs w:val="13"/>
          <w:color w:val="auto"/>
        </w:rPr>
        <w:t>Tenant shall execute an instrument setting forth the Additional Space Commencement Date.</w:t>
      </w:r>
    </w:p>
    <w:p>
      <w:pPr>
        <w:spacing w:after="0" w:line="88" w:lineRule="exact"/>
        <w:rPr>
          <w:sz w:val="20"/>
          <w:szCs w:val="20"/>
          <w:color w:val="auto"/>
        </w:rPr>
      </w:pPr>
    </w:p>
    <w:p>
      <w:pPr>
        <w:ind w:right="60" w:firstLine="164"/>
        <w:spacing w:after="0" w:line="279" w:lineRule="auto"/>
        <w:tabs>
          <w:tab w:leader="none" w:pos="296"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Annual Rent</w:t>
      </w:r>
      <w:r>
        <w:rPr>
          <w:rFonts w:ascii="Arial" w:cs="Arial" w:eastAsia="Arial" w:hAnsi="Arial"/>
          <w:sz w:val="13"/>
          <w:szCs w:val="13"/>
          <w:color w:val="auto"/>
        </w:rPr>
        <w:t>. (a) On the Additional Space Commencement Date, the Annual Rent payable by Tenant for the Additional Space only to Landlord during the Term shall be in the annual amounts and for the periods and be payable in the monthly installments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20" w:type="dxa"/>
            <w:vAlign w:val="bottom"/>
          </w:tcPr>
          <w:p>
            <w:pPr>
              <w:spacing w:after="0"/>
              <w:rPr>
                <w:sz w:val="20"/>
                <w:szCs w:val="20"/>
                <w:color w:val="auto"/>
              </w:rPr>
            </w:pPr>
            <w:r>
              <w:rPr>
                <w:rFonts w:ascii="Arial" w:cs="Arial" w:eastAsia="Arial" w:hAnsi="Arial"/>
                <w:sz w:val="11"/>
                <w:szCs w:val="11"/>
                <w:color w:val="auto"/>
              </w:rPr>
              <w:t>Period</w:t>
            </w:r>
          </w:p>
        </w:tc>
        <w:tc>
          <w:tcPr>
            <w:tcW w:w="120" w:type="dxa"/>
            <w:vAlign w:val="bottom"/>
          </w:tcPr>
          <w:p>
            <w:pPr>
              <w:spacing w:after="0"/>
              <w:rPr>
                <w:sz w:val="10"/>
                <w:szCs w:val="10"/>
                <w:color w:val="auto"/>
              </w:rPr>
            </w:pPr>
          </w:p>
        </w:tc>
        <w:tc>
          <w:tcPr>
            <w:tcW w:w="1380" w:type="dxa"/>
            <w:vAlign w:val="bottom"/>
          </w:tcPr>
          <w:p>
            <w:pPr>
              <w:spacing w:after="0"/>
              <w:rPr>
                <w:sz w:val="20"/>
                <w:szCs w:val="20"/>
                <w:color w:val="auto"/>
              </w:rPr>
            </w:pPr>
            <w:r>
              <w:rPr>
                <w:rFonts w:ascii="Arial" w:cs="Arial" w:eastAsia="Arial" w:hAnsi="Arial"/>
                <w:sz w:val="11"/>
                <w:szCs w:val="11"/>
                <w:color w:val="auto"/>
              </w:rPr>
              <w:t>PSF</w:t>
            </w:r>
          </w:p>
        </w:tc>
        <w:tc>
          <w:tcPr>
            <w:tcW w:w="1520" w:type="dxa"/>
            <w:vAlign w:val="bottom"/>
            <w:gridSpan w:val="2"/>
          </w:tcPr>
          <w:p>
            <w:pPr>
              <w:ind w:left="140"/>
              <w:spacing w:after="0"/>
              <w:rPr>
                <w:sz w:val="20"/>
                <w:szCs w:val="20"/>
                <w:color w:val="auto"/>
              </w:rPr>
            </w:pPr>
            <w:r>
              <w:rPr>
                <w:rFonts w:ascii="Arial" w:cs="Arial" w:eastAsia="Arial" w:hAnsi="Arial"/>
                <w:sz w:val="11"/>
                <w:szCs w:val="11"/>
                <w:color w:val="auto"/>
              </w:rPr>
              <w:t>Monthly Installment</w:t>
            </w:r>
          </w:p>
        </w:tc>
        <w:tc>
          <w:tcPr>
            <w:tcW w:w="1520" w:type="dxa"/>
            <w:vAlign w:val="bottom"/>
            <w:gridSpan w:val="2"/>
          </w:tcPr>
          <w:p>
            <w:pPr>
              <w:ind w:left="120"/>
              <w:spacing w:after="0"/>
              <w:rPr>
                <w:sz w:val="20"/>
                <w:szCs w:val="20"/>
                <w:color w:val="auto"/>
              </w:rPr>
            </w:pPr>
            <w:r>
              <w:rPr>
                <w:rFonts w:ascii="Arial" w:cs="Arial" w:eastAsia="Arial" w:hAnsi="Arial"/>
                <w:sz w:val="11"/>
                <w:szCs w:val="11"/>
                <w:color w:val="auto"/>
              </w:rPr>
              <w:t>Annual Amount</w:t>
            </w:r>
          </w:p>
        </w:tc>
      </w:tr>
      <w:tr>
        <w:trPr>
          <w:trHeight w:val="139"/>
        </w:trPr>
        <w:tc>
          <w:tcPr>
            <w:tcW w:w="69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Additional Space</w:t>
            </w: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$25.50</w:t>
            </w:r>
          </w:p>
        </w:tc>
        <w:tc>
          <w:tcPr>
            <w:tcW w:w="140" w:type="dxa"/>
            <w:vAlign w:val="bottom"/>
          </w:tcPr>
          <w:p>
            <w:pPr>
              <w:spacing w:after="0"/>
              <w:rPr>
                <w:sz w:val="12"/>
                <w:szCs w:val="12"/>
                <w:color w:val="auto"/>
              </w:rPr>
            </w:pPr>
          </w:p>
        </w:tc>
        <w:tc>
          <w:tcPr>
            <w:tcW w:w="13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$10,625.00</w:t>
            </w:r>
          </w:p>
        </w:tc>
        <w:tc>
          <w:tcPr>
            <w:tcW w:w="120" w:type="dxa"/>
            <w:vAlign w:val="bottom"/>
          </w:tcPr>
          <w:p>
            <w:pPr>
              <w:spacing w:after="0"/>
              <w:rPr>
                <w:sz w:val="12"/>
                <w:szCs w:val="12"/>
                <w:color w:val="auto"/>
              </w:rPr>
            </w:pPr>
          </w:p>
        </w:tc>
        <w:tc>
          <w:tcPr>
            <w:tcW w:w="14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$127,500.00</w:t>
            </w:r>
          </w:p>
        </w:tc>
      </w:tr>
      <w:tr>
        <w:trPr>
          <w:trHeight w:val="165"/>
        </w:trPr>
        <w:tc>
          <w:tcPr>
            <w:tcW w:w="6920" w:type="dxa"/>
            <w:vAlign w:val="bottom"/>
          </w:tcPr>
          <w:p>
            <w:pPr>
              <w:spacing w:after="0"/>
              <w:rPr>
                <w:sz w:val="20"/>
                <w:szCs w:val="20"/>
                <w:color w:val="auto"/>
              </w:rPr>
            </w:pPr>
            <w:r>
              <w:rPr>
                <w:rFonts w:ascii="Arial" w:cs="Arial" w:eastAsia="Arial" w:hAnsi="Arial"/>
                <w:sz w:val="13"/>
                <w:szCs w:val="13"/>
                <w:color w:val="auto"/>
              </w:rPr>
              <w:t>Commencement Date through March 31, 2012</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72" w:lineRule="exact"/>
        <w:rPr>
          <w:sz w:val="20"/>
          <w:szCs w:val="20"/>
          <w:color w:val="auto"/>
        </w:rPr>
      </w:pPr>
    </w:p>
    <w:p>
      <w:pPr>
        <w:ind w:right="220" w:firstLine="164"/>
        <w:spacing w:after="0" w:line="279" w:lineRule="auto"/>
        <w:tabs>
          <w:tab w:leader="none" w:pos="351" w:val="left"/>
        </w:tabs>
        <w:numPr>
          <w:ilvl w:val="0"/>
          <w:numId w:val="36"/>
        </w:numPr>
        <w:rPr>
          <w:rFonts w:ascii="Arial" w:cs="Arial" w:eastAsia="Arial" w:hAnsi="Arial"/>
          <w:sz w:val="13"/>
          <w:szCs w:val="13"/>
          <w:color w:val="auto"/>
        </w:rPr>
      </w:pPr>
      <w:r>
        <w:rPr>
          <w:rFonts w:ascii="Arial" w:cs="Arial" w:eastAsia="Arial" w:hAnsi="Arial"/>
          <w:sz w:val="13"/>
          <w:szCs w:val="13"/>
          <w:color w:val="auto"/>
        </w:rPr>
        <w:t>If Tenant validly exercises its Option(s) to extend the Term for the Extension Term(s), as provided in the Extension Options Rider attached to the Lease, the Annual Rent payable by Tenant for the Additional Space only to Landlord for the Extension Term(s) shall be in the annual amounts and for the periods and be payable in the monthly installments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20"/>
                <w:szCs w:val="20"/>
                <w:color w:val="auto"/>
              </w:rPr>
            </w:pPr>
            <w:r>
              <w:rPr>
                <w:rFonts w:ascii="Arial" w:cs="Arial" w:eastAsia="Arial" w:hAnsi="Arial"/>
                <w:sz w:val="11"/>
                <w:szCs w:val="11"/>
                <w:color w:val="auto"/>
              </w:rPr>
              <w:t>Lease Years</w:t>
            </w:r>
          </w:p>
        </w:tc>
        <w:tc>
          <w:tcPr>
            <w:tcW w:w="2940" w:type="dxa"/>
            <w:vAlign w:val="bottom"/>
            <w:gridSpan w:val="2"/>
          </w:tcPr>
          <w:p>
            <w:pPr>
              <w:ind w:left="260"/>
              <w:spacing w:after="0"/>
              <w:rPr>
                <w:sz w:val="20"/>
                <w:szCs w:val="20"/>
                <w:color w:val="auto"/>
              </w:rPr>
            </w:pPr>
            <w:r>
              <w:rPr>
                <w:rFonts w:ascii="Arial" w:cs="Arial" w:eastAsia="Arial" w:hAnsi="Arial"/>
                <w:sz w:val="11"/>
                <w:szCs w:val="11"/>
                <w:color w:val="auto"/>
              </w:rPr>
              <w:t>PSF</w:t>
            </w:r>
          </w:p>
        </w:tc>
        <w:tc>
          <w:tcPr>
            <w:tcW w:w="2920" w:type="dxa"/>
            <w:vAlign w:val="bottom"/>
            <w:gridSpan w:val="2"/>
          </w:tcPr>
          <w:p>
            <w:pPr>
              <w:jc w:val="right"/>
              <w:ind w:right="1734"/>
              <w:spacing w:after="0"/>
              <w:rPr>
                <w:sz w:val="20"/>
                <w:szCs w:val="20"/>
                <w:color w:val="auto"/>
              </w:rPr>
            </w:pPr>
            <w:r>
              <w:rPr>
                <w:rFonts w:ascii="Arial" w:cs="Arial" w:eastAsia="Arial" w:hAnsi="Arial"/>
                <w:sz w:val="11"/>
                <w:szCs w:val="11"/>
                <w:color w:val="auto"/>
              </w:rPr>
              <w:t>Monthly Installment</w:t>
            </w:r>
          </w:p>
        </w:tc>
        <w:tc>
          <w:tcPr>
            <w:tcW w:w="2940" w:type="dxa"/>
            <w:vAlign w:val="bottom"/>
            <w:gridSpan w:val="2"/>
          </w:tcPr>
          <w:p>
            <w:pPr>
              <w:ind w:left="260"/>
              <w:spacing w:after="0"/>
              <w:rPr>
                <w:sz w:val="20"/>
                <w:szCs w:val="20"/>
                <w:color w:val="auto"/>
              </w:rPr>
            </w:pPr>
            <w:r>
              <w:rPr>
                <w:rFonts w:ascii="Arial" w:cs="Arial" w:eastAsia="Arial" w:hAnsi="Arial"/>
                <w:sz w:val="11"/>
                <w:szCs w:val="11"/>
                <w:color w:val="auto"/>
              </w:rPr>
              <w:t>Annual Amount</w:t>
            </w:r>
          </w:p>
        </w:tc>
      </w:tr>
      <w:tr>
        <w:trPr>
          <w:trHeight w:val="155"/>
        </w:trPr>
        <w:tc>
          <w:tcPr>
            <w:tcW w:w="26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8 - 12</w:t>
            </w:r>
          </w:p>
        </w:tc>
        <w:tc>
          <w:tcPr>
            <w:tcW w:w="260" w:type="dxa"/>
            <w:vAlign w:val="bottom"/>
          </w:tcPr>
          <w:p>
            <w:pPr>
              <w:spacing w:after="0"/>
              <w:rPr>
                <w:sz w:val="13"/>
                <w:szCs w:val="13"/>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$28.56</w:t>
            </w:r>
          </w:p>
        </w:tc>
        <w:tc>
          <w:tcPr>
            <w:tcW w:w="260" w:type="dxa"/>
            <w:vAlign w:val="bottom"/>
          </w:tcPr>
          <w:p>
            <w:pPr>
              <w:spacing w:after="0"/>
              <w:rPr>
                <w:sz w:val="13"/>
                <w:szCs w:val="13"/>
                <w:color w:val="auto"/>
              </w:rPr>
            </w:pPr>
          </w:p>
        </w:tc>
        <w:tc>
          <w:tcPr>
            <w:tcW w:w="2660" w:type="dxa"/>
            <w:vAlign w:val="bottom"/>
            <w:tcBorders>
              <w:top w:val="single" w:sz="8" w:color="auto"/>
            </w:tcBorders>
          </w:tcPr>
          <w:p>
            <w:pPr>
              <w:jc w:val="right"/>
              <w:ind w:right="2014"/>
              <w:spacing w:after="0"/>
              <w:rPr>
                <w:sz w:val="20"/>
                <w:szCs w:val="20"/>
                <w:color w:val="auto"/>
              </w:rPr>
            </w:pPr>
            <w:r>
              <w:rPr>
                <w:rFonts w:ascii="Arial" w:cs="Arial" w:eastAsia="Arial" w:hAnsi="Arial"/>
                <w:sz w:val="13"/>
                <w:szCs w:val="13"/>
                <w:color w:val="auto"/>
                <w:w w:val="86"/>
              </w:rPr>
              <w:t>$11,900.00</w:t>
            </w:r>
          </w:p>
        </w:tc>
        <w:tc>
          <w:tcPr>
            <w:tcW w:w="260" w:type="dxa"/>
            <w:vAlign w:val="bottom"/>
          </w:tcPr>
          <w:p>
            <w:pPr>
              <w:spacing w:after="0"/>
              <w:rPr>
                <w:sz w:val="13"/>
                <w:szCs w:val="13"/>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$142,800.00</w:t>
            </w:r>
          </w:p>
        </w:tc>
      </w:tr>
      <w:tr>
        <w:trPr>
          <w:trHeight w:val="308"/>
        </w:trPr>
        <w:tc>
          <w:tcPr>
            <w:tcW w:w="2660" w:type="dxa"/>
            <w:vAlign w:val="bottom"/>
          </w:tcPr>
          <w:p>
            <w:pPr>
              <w:spacing w:after="0"/>
              <w:rPr>
                <w:sz w:val="20"/>
                <w:szCs w:val="20"/>
                <w:color w:val="auto"/>
              </w:rPr>
            </w:pPr>
            <w:r>
              <w:rPr>
                <w:rFonts w:ascii="Arial" w:cs="Arial" w:eastAsia="Arial" w:hAnsi="Arial"/>
                <w:sz w:val="13"/>
                <w:szCs w:val="13"/>
                <w:color w:val="auto"/>
              </w:rPr>
              <w:t>13 - 17</w:t>
            </w:r>
          </w:p>
        </w:tc>
        <w:tc>
          <w:tcPr>
            <w:tcW w:w="2940" w:type="dxa"/>
            <w:vAlign w:val="bottom"/>
            <w:gridSpan w:val="2"/>
          </w:tcPr>
          <w:p>
            <w:pPr>
              <w:ind w:left="260"/>
              <w:spacing w:after="0"/>
              <w:rPr>
                <w:sz w:val="20"/>
                <w:szCs w:val="20"/>
                <w:color w:val="auto"/>
              </w:rPr>
            </w:pPr>
            <w:r>
              <w:rPr>
                <w:rFonts w:ascii="Arial" w:cs="Arial" w:eastAsia="Arial" w:hAnsi="Arial"/>
                <w:sz w:val="13"/>
                <w:szCs w:val="13"/>
                <w:color w:val="auto"/>
              </w:rPr>
              <w:t>$31.99</w:t>
            </w:r>
          </w:p>
        </w:tc>
        <w:tc>
          <w:tcPr>
            <w:tcW w:w="2920" w:type="dxa"/>
            <w:vAlign w:val="bottom"/>
            <w:gridSpan w:val="2"/>
          </w:tcPr>
          <w:p>
            <w:pPr>
              <w:jc w:val="right"/>
              <w:ind w:right="2014"/>
              <w:spacing w:after="0"/>
              <w:rPr>
                <w:sz w:val="20"/>
                <w:szCs w:val="20"/>
                <w:color w:val="auto"/>
              </w:rPr>
            </w:pPr>
            <w:r>
              <w:rPr>
                <w:rFonts w:ascii="Arial" w:cs="Arial" w:eastAsia="Arial" w:hAnsi="Arial"/>
                <w:sz w:val="13"/>
                <w:szCs w:val="13"/>
                <w:color w:val="auto"/>
              </w:rPr>
              <w:t>$13,329.17</w:t>
            </w:r>
          </w:p>
        </w:tc>
        <w:tc>
          <w:tcPr>
            <w:tcW w:w="2940" w:type="dxa"/>
            <w:vAlign w:val="bottom"/>
            <w:gridSpan w:val="2"/>
          </w:tcPr>
          <w:p>
            <w:pPr>
              <w:ind w:left="260"/>
              <w:spacing w:after="0"/>
              <w:rPr>
                <w:sz w:val="20"/>
                <w:szCs w:val="20"/>
                <w:color w:val="auto"/>
              </w:rPr>
            </w:pPr>
            <w:r>
              <w:rPr>
                <w:rFonts w:ascii="Arial" w:cs="Arial" w:eastAsia="Arial" w:hAnsi="Arial"/>
                <w:sz w:val="13"/>
                <w:szCs w:val="13"/>
                <w:color w:val="auto"/>
              </w:rPr>
              <w:t>$159,950.00</w:t>
            </w:r>
          </w:p>
        </w:tc>
      </w:tr>
    </w:tbl>
    <w:p>
      <w:pPr>
        <w:spacing w:after="0" w:line="72" w:lineRule="exact"/>
        <w:rPr>
          <w:sz w:val="20"/>
          <w:szCs w:val="20"/>
          <w:color w:val="auto"/>
        </w:rPr>
      </w:pPr>
    </w:p>
    <w:p>
      <w:pPr>
        <w:ind w:right="220" w:firstLine="164"/>
        <w:spacing w:after="0" w:line="279" w:lineRule="auto"/>
        <w:tabs>
          <w:tab w:leader="none" w:pos="337"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Annual Rent shall be payable without notice or demand and without setoff or deduction, in equal monthly installments, in advance, on the first day of each calendar month during the Term. Annual Rent for a partial month shall be prorated.</w:t>
      </w:r>
    </w:p>
    <w:p>
      <w:pPr>
        <w:spacing w:after="0" w:line="48" w:lineRule="exact"/>
        <w:rPr>
          <w:sz w:val="20"/>
          <w:szCs w:val="20"/>
          <w:color w:val="auto"/>
        </w:rPr>
      </w:pPr>
    </w:p>
    <w:p>
      <w:pPr>
        <w:ind w:right="160" w:firstLine="164"/>
        <w:spacing w:after="0" w:line="284" w:lineRule="auto"/>
        <w:tabs>
          <w:tab w:leader="none" w:pos="296"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Tenant’s Share</w:t>
      </w:r>
      <w:r>
        <w:rPr>
          <w:rFonts w:ascii="Arial" w:cs="Arial" w:eastAsia="Arial" w:hAnsi="Arial"/>
          <w:sz w:val="12"/>
          <w:szCs w:val="12"/>
          <w:color w:val="auto"/>
        </w:rPr>
        <w:t>. The Lease is hereby amended to provide that effective as of the Additional Space Commencement Date, Tenant’s Share with respect to the Additional Space only shall be 4.8% (hereinafter “Tenant’s Additional Space Share”). All provisions for the payment of Annual Rent and Additional Rent set forth in the Lease, including, without limitation, all provisions pertaining to the payment of Tax Rent and Expense Rent (as said terms are defined in the Real Estate Tax Rider and the Operating Expense Rider attached to the Lease) shall continue to apply without modification to the Original Premises. Effective on the Additional Space Commencement Date, all provisions for the payment of Additional Rent set forth in the Lease, including, without limitation, all provisions pertaining to the payment of Tax Rent and Expense Rent shall also apply to the Additional Space, except that Tenant shall pay Tenant’s Additional Space Share of such Additional Rent and the Base Tax Year and the Base Expense Year with respect to the Additional Space only shall be the calendar year 2006. With respect to the Original Premises, Tenant’s Share and the Base Tax Year and the Base Expense Year shall remain as stated in the Lease.</w:t>
      </w:r>
    </w:p>
    <w:p>
      <w:pPr>
        <w:spacing w:after="0" w:line="48" w:lineRule="exact"/>
        <w:rPr>
          <w:rFonts w:ascii="Arial" w:cs="Arial" w:eastAsia="Arial" w:hAnsi="Arial"/>
          <w:sz w:val="12"/>
          <w:szCs w:val="12"/>
          <w:color w:val="auto"/>
        </w:rPr>
      </w:pPr>
    </w:p>
    <w:p>
      <w:pPr>
        <w:ind w:right="80" w:firstLine="164"/>
        <w:spacing w:after="0" w:line="266" w:lineRule="auto"/>
        <w:tabs>
          <w:tab w:leader="none" w:pos="296"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Insurance</w:t>
      </w:r>
      <w:r>
        <w:rPr>
          <w:rFonts w:ascii="Arial" w:cs="Arial" w:eastAsia="Arial" w:hAnsi="Arial"/>
          <w:sz w:val="13"/>
          <w:szCs w:val="13"/>
          <w:color w:val="auto"/>
        </w:rPr>
        <w:t>. The Lease is supplemented to provide that Tenant shall, at its cost and expense, procure all policies of insurance for the purpose of insuring the Additional Space in accordance with the terms set forth in Section 5 of the Lease. Policies of such insurance, or certificates thereof, together with reasonable evidence of premium payment therefor, shall be delivered to Landlord prior to the Additional Space Commencement Date.</w:t>
      </w:r>
    </w:p>
    <w:p>
      <w:pPr>
        <w:spacing w:after="0" w:line="56" w:lineRule="exact"/>
        <w:rPr>
          <w:rFonts w:ascii="Arial" w:cs="Arial" w:eastAsia="Arial" w:hAnsi="Arial"/>
          <w:sz w:val="13"/>
          <w:szCs w:val="13"/>
          <w:color w:val="auto"/>
        </w:rPr>
      </w:pPr>
    </w:p>
    <w:p>
      <w:pPr>
        <w:ind w:firstLine="164"/>
        <w:spacing w:after="0" w:line="279" w:lineRule="auto"/>
        <w:tabs>
          <w:tab w:leader="none" w:pos="296"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Utilities</w:t>
      </w:r>
      <w:r>
        <w:rPr>
          <w:rFonts w:ascii="Arial" w:cs="Arial" w:eastAsia="Arial" w:hAnsi="Arial"/>
          <w:sz w:val="13"/>
          <w:szCs w:val="13"/>
          <w:color w:val="auto"/>
        </w:rPr>
        <w:t>. The Lease is supplemented to provide that from and after the Additional Space Commencement Date, in addition to Tenant’s obligation to pay all charges for electricity, light, heat or other utility used by Tenant at the Original Premises, Tenant shall also pay, as Additional Rent, all charges for electricity, light, heat or other utility used or supplied to the Additional Space.</w:t>
      </w:r>
    </w:p>
    <w:p>
      <w:pPr>
        <w:spacing w:after="0" w:line="47" w:lineRule="exact"/>
        <w:rPr>
          <w:rFonts w:ascii="Arial" w:cs="Arial" w:eastAsia="Arial" w:hAnsi="Arial"/>
          <w:sz w:val="13"/>
          <w:szCs w:val="13"/>
          <w:color w:val="auto"/>
        </w:rPr>
      </w:pPr>
    </w:p>
    <w:p>
      <w:pPr>
        <w:ind w:right="160" w:firstLine="164"/>
        <w:spacing w:after="0" w:line="279" w:lineRule="auto"/>
        <w:tabs>
          <w:tab w:leader="none" w:pos="296"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Common Areas; Parking</w:t>
      </w:r>
      <w:r>
        <w:rPr>
          <w:rFonts w:ascii="Arial" w:cs="Arial" w:eastAsia="Arial" w:hAnsi="Arial"/>
          <w:sz w:val="13"/>
          <w:szCs w:val="13"/>
          <w:color w:val="auto"/>
        </w:rPr>
        <w:t>. Effective on the Additional Space Commencement Date, Section 1(g) of the Lease is hereby amended by deleting “82” and by inserting “102”. The second sentence of Section 8(b) of the Lease is hereby deleted and the following is substituted therefor:</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“Other than ten (10) reserved parking spaces as designated on the Plot Plan Rider attached hereto and marked at Tenant’s expense, Tenant’s parking shall not be reserved.”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69" w:name="page70"/>
    <w:bookmarkEnd w:id="69"/>
    <w:p>
      <w:pPr>
        <w:ind w:left="160"/>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u w:val="single" w:color="auto"/>
          <w:color w:val="auto"/>
        </w:rPr>
        <w:t>Security Deposit</w:t>
      </w:r>
      <w:r>
        <w:rPr>
          <w:rFonts w:ascii="Arial" w:cs="Arial" w:eastAsia="Arial" w:hAnsi="Arial"/>
          <w:sz w:val="13"/>
          <w:szCs w:val="13"/>
          <w:color w:val="auto"/>
        </w:rPr>
        <w:t>. Effective as of the Additional Space Commencement Date, Section 3 of the First Amendment to Lease shall be null and void and the following shall be substituted therefor:</w:t>
      </w:r>
    </w:p>
    <w:p>
      <w:pPr>
        <w:spacing w:after="0" w:line="86" w:lineRule="exact"/>
        <w:rPr>
          <w:sz w:val="20"/>
          <w:szCs w:val="20"/>
          <w:color w:val="auto"/>
        </w:rPr>
      </w:pPr>
    </w:p>
    <w:p>
      <w:pPr>
        <w:ind w:right="20" w:firstLine="165"/>
        <w:spacing w:after="0" w:line="268" w:lineRule="auto"/>
        <w:rPr>
          <w:sz w:val="20"/>
          <w:szCs w:val="20"/>
          <w:color w:val="auto"/>
        </w:rPr>
      </w:pPr>
      <w:r>
        <w:rPr>
          <w:rFonts w:ascii="Arial" w:cs="Arial" w:eastAsia="Arial" w:hAnsi="Arial"/>
          <w:sz w:val="13"/>
          <w:szCs w:val="13"/>
          <w:color w:val="auto"/>
        </w:rPr>
        <w:t>“The last sentence of Section 32 of the Lease is hereby deleted. Provided that Tenant has not been in default at any time, on the last day of the third (3</w:t>
      </w:r>
      <w:r>
        <w:rPr>
          <w:rFonts w:ascii="Arial" w:cs="Arial" w:eastAsia="Arial" w:hAnsi="Arial"/>
          <w:sz w:val="11"/>
          <w:szCs w:val="11"/>
          <w:color w:val="auto"/>
        </w:rPr>
        <w:t>rd</w:t>
      </w:r>
      <w:r>
        <w:rPr>
          <w:rFonts w:ascii="Arial" w:cs="Arial" w:eastAsia="Arial" w:hAnsi="Arial"/>
          <w:sz w:val="13"/>
          <w:szCs w:val="13"/>
          <w:color w:val="auto"/>
        </w:rPr>
        <w:t>) Lease Year (i.e., March 31, 2008), Landlord shall return the sum of Twenty Thousand One Hundred Sixty Eight and 75/100 ($20,168.75) Dollars to Tenant and the amount of the Security Deposit for the remainder of the Term shall be One Hundred Four Thousand Eighty Seven and 50/100 ($104,087.50) Dollars.”</w:t>
      </w:r>
    </w:p>
    <w:p>
      <w:pPr>
        <w:spacing w:after="0" w:line="55" w:lineRule="exact"/>
        <w:rPr>
          <w:sz w:val="20"/>
          <w:szCs w:val="20"/>
          <w:color w:val="auto"/>
        </w:rPr>
      </w:pPr>
    </w:p>
    <w:p>
      <w:pPr>
        <w:ind w:firstLine="164"/>
        <w:spacing w:after="0" w:line="266" w:lineRule="auto"/>
        <w:tabs>
          <w:tab w:leader="none" w:pos="296"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Brokerage</w:t>
      </w:r>
      <w:r>
        <w:rPr>
          <w:rFonts w:ascii="Arial" w:cs="Arial" w:eastAsia="Arial" w:hAnsi="Arial"/>
          <w:sz w:val="13"/>
          <w:szCs w:val="13"/>
          <w:color w:val="auto"/>
        </w:rPr>
        <w:t>. Each party represents to the other that it did not deal with any real estate broker in connection with this Agreement other than the brokers named in the Lease (the “Brokers”). The commission of the Brokers, if any, shall be paid by Landlord in accordance with a separate agreement between Landlord and the Brokers. Each party indemnifies and holds the other harmless from any claim for a commission or other fee made by any broker with whom the indemnifying party has dealt, other than the Brokers.</w:t>
      </w:r>
    </w:p>
    <w:p>
      <w:pPr>
        <w:spacing w:after="0" w:line="56" w:lineRule="exact"/>
        <w:rPr>
          <w:rFonts w:ascii="Arial" w:cs="Arial" w:eastAsia="Arial" w:hAnsi="Arial"/>
          <w:sz w:val="13"/>
          <w:szCs w:val="13"/>
          <w:color w:val="auto"/>
        </w:rPr>
      </w:pPr>
    </w:p>
    <w:p>
      <w:pPr>
        <w:ind w:left="360" w:hanging="196"/>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Recording</w:t>
      </w:r>
      <w:r>
        <w:rPr>
          <w:rFonts w:ascii="Arial" w:cs="Arial" w:eastAsia="Arial" w:hAnsi="Arial"/>
          <w:sz w:val="13"/>
          <w:szCs w:val="13"/>
          <w:color w:val="auto"/>
        </w:rPr>
        <w:t>. Neither this Agreement nor any memorandum of this Agreement shall be recorded in any public records.</w:t>
      </w:r>
    </w:p>
    <w:p>
      <w:pPr>
        <w:spacing w:after="0" w:line="87" w:lineRule="exact"/>
        <w:rPr>
          <w:rFonts w:ascii="Arial" w:cs="Arial" w:eastAsia="Arial" w:hAnsi="Arial"/>
          <w:sz w:val="13"/>
          <w:szCs w:val="13"/>
          <w:color w:val="auto"/>
        </w:rPr>
      </w:pPr>
    </w:p>
    <w:p>
      <w:pPr>
        <w:ind w:left="360" w:hanging="196"/>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(a) Section 41(i) of the Lease is hereby deleted.</w:t>
      </w:r>
    </w:p>
    <w:p>
      <w:pPr>
        <w:spacing w:after="0" w:line="88" w:lineRule="exact"/>
        <w:rPr>
          <w:sz w:val="20"/>
          <w:szCs w:val="20"/>
          <w:color w:val="auto"/>
        </w:rPr>
      </w:pPr>
    </w:p>
    <w:p>
      <w:pPr>
        <w:ind w:firstLine="164"/>
        <w:spacing w:after="0" w:line="305" w:lineRule="auto"/>
        <w:tabs>
          <w:tab w:leader="none" w:pos="351" w:val="left"/>
        </w:tabs>
        <w:numPr>
          <w:ilvl w:val="0"/>
          <w:numId w:val="40"/>
        </w:numPr>
        <w:rPr>
          <w:rFonts w:ascii="Arial" w:cs="Arial" w:eastAsia="Arial" w:hAnsi="Arial"/>
          <w:sz w:val="11"/>
          <w:szCs w:val="11"/>
          <w:color w:val="auto"/>
        </w:rPr>
      </w:pPr>
      <w:r>
        <w:rPr>
          <w:rFonts w:ascii="Arial" w:cs="Arial" w:eastAsia="Arial" w:hAnsi="Arial"/>
          <w:sz w:val="11"/>
          <w:szCs w:val="11"/>
          <w:color w:val="auto"/>
        </w:rPr>
        <w:t>Subject to the rights of existing tenants in the Building to lease additional space in the Building and/or renew their existing leases at the Building, regardless of whether such rights are specified in such existing leases, in the event that at any time during the Term of this Lease, Landlord shall have received an expression of interest from a bona fide third party to lease space at the Building (such space is hereinafter referred to as the “Available Space”), provided that Tenant is in possession of the entire Premises and not in default under the Lease beyond any applicable notice and cure period, and provided further that Tenant’s financial condition and credit-worthiness is not less than on the date hereof, Landlord agrees that it shall notify Tenant in writing of the availability of the Available Space and the terms upon which Landlord proposes the same to be leased. Tenant shall have a period of seven (7) business days from the date of delivery of such notice within which to notify Landlord of its election to lease the Available Space on the same terms and conditions contained in Landlord’s notice to Tenant. Such seven (7) business day period shall run concurrently with any similar notice period to other tenants in the Building. In the event Tenant does not so timely notify Landlord of its election to lease the Available Space, Landlord shall be free to lease the Available Space to such party as Landlord may elect upon such terms as Landlord and any proposed tenant of the Available Space may agree upon. In the event Tenant elects to exercise the right to lease the Available Space hereunder and no other tenant having prior rights has elected to exercise its similar right, a lease amendment shall be prepared to incorporate the business terms in Landlord’s notice to Tenant and such lease amendment shall be executed by Tenant within ten (10) business days of its receipt of the lease amendment or Tenant’s right to lease the Available Space shall, at Landlord’s option, be immediately rendered null and void without any requirement for notice thereof. If Tenant elects to so lease such Available Space, the Term of the Lease shall be extended for a period to expire the later of five (5) Lease Years following the rent start date for the Available Space, or the expiration date with respect to the Available Space. The Annual Rent for the Original Premises and the Additional Space for such additional term shall be at the rates and on such schedule as is set forth in this Agreement. If the additional term runs past the last Extension Term, the Annual Rent for such post Extension Term period shall be at the same rate as is then applicable to the Available Space. If Tenant shall not exercise its right to lease the Available Space in accordance with this provision, Landlord shall not be required to offer the Available Space to Tenant again. This option shall not be applicable during the last Lease Year of the Initial Term, nor the last Lease Year of the first Extension Term, unless Tenant has previously and properly exercised its option to extend the Term as set forth in the Extension Options Rider. This option shall not be applicable during the last two (2) Lease Years of the second Extension Term in any event.</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No Default</w:t>
      </w:r>
      <w:r>
        <w:rPr>
          <w:rFonts w:ascii="Arial" w:cs="Arial" w:eastAsia="Arial" w:hAnsi="Arial"/>
          <w:sz w:val="13"/>
          <w:szCs w:val="13"/>
          <w:color w:val="auto"/>
        </w:rPr>
        <w:t>. Tenant represents, warrants and covenants that Landlord 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70" w:name="page71"/>
    <w:bookmarkEnd w:id="70"/>
    <w:p>
      <w:pPr>
        <w:ind w:right="60"/>
        <w:spacing w:after="0" w:line="262" w:lineRule="auto"/>
        <w:rPr>
          <w:sz w:val="20"/>
          <w:szCs w:val="20"/>
          <w:color w:val="auto"/>
        </w:rPr>
      </w:pPr>
      <w:r>
        <w:rPr>
          <w:rFonts w:ascii="Arial" w:cs="Arial" w:eastAsia="Arial" w:hAnsi="Arial"/>
          <w:sz w:val="13"/>
          <w:szCs w:val="13"/>
          <w:color w:val="auto"/>
        </w:rPr>
        <w:t>not currently in default under any of its obligations under the Lease and Tenant is not in default under any of its obligations under the Lease and no event has occurred which, with the passage of time or the giving of notice, or both, would constitute a default by either Tenant or, to the knowledge of Tenant, Landlord under the Lease. Landlord represents, warrants and covenants that Tenant is not currently in default under any of its obligations under the Lease and Landlord is not in default under any of its obligations under the Lease and no event has occurred which, with the passage of time or the giving of notice, or both, would constitute a default by either Landlord or, to the knowledge of Landlord, Tenant under the Lease.</w:t>
      </w:r>
    </w:p>
    <w:p>
      <w:pPr>
        <w:spacing w:after="0" w:line="59" w:lineRule="exact"/>
        <w:rPr>
          <w:sz w:val="20"/>
          <w:szCs w:val="20"/>
          <w:color w:val="auto"/>
        </w:rPr>
      </w:pPr>
    </w:p>
    <w:p>
      <w:pPr>
        <w:ind w:left="360" w:hanging="196"/>
        <w:spacing w:after="0"/>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Authority of Signatures</w:t>
      </w:r>
      <w:r>
        <w:rPr>
          <w:rFonts w:ascii="Arial" w:cs="Arial" w:eastAsia="Arial" w:hAnsi="Arial"/>
          <w:sz w:val="13"/>
          <w:szCs w:val="13"/>
          <w:color w:val="auto"/>
        </w:rPr>
        <w:t>. Each person signing this Agreement represents that he or she has full authority to do so.</w:t>
      </w:r>
    </w:p>
    <w:p>
      <w:pPr>
        <w:spacing w:after="0" w:line="87" w:lineRule="exact"/>
        <w:rPr>
          <w:rFonts w:ascii="Arial" w:cs="Arial" w:eastAsia="Arial" w:hAnsi="Arial"/>
          <w:sz w:val="13"/>
          <w:szCs w:val="13"/>
          <w:color w:val="auto"/>
        </w:rPr>
      </w:pPr>
    </w:p>
    <w:p>
      <w:pPr>
        <w:ind w:left="360" w:hanging="196"/>
        <w:spacing w:after="0"/>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Defined Terms</w:t>
      </w:r>
      <w:r>
        <w:rPr>
          <w:rFonts w:ascii="Arial" w:cs="Arial" w:eastAsia="Arial" w:hAnsi="Arial"/>
          <w:sz w:val="13"/>
          <w:szCs w:val="13"/>
          <w:color w:val="auto"/>
        </w:rPr>
        <w:t>. The capitalized terms used in this Agreement and not defined herein shall have the respective meanings indicated in the Lease, unless the context clearly requires otherwise.</w:t>
      </w:r>
    </w:p>
    <w:p>
      <w:pPr>
        <w:spacing w:after="0" w:line="87" w:lineRule="exact"/>
        <w:rPr>
          <w:rFonts w:ascii="Arial" w:cs="Arial" w:eastAsia="Arial" w:hAnsi="Arial"/>
          <w:sz w:val="13"/>
          <w:szCs w:val="13"/>
          <w:color w:val="auto"/>
        </w:rPr>
      </w:pPr>
    </w:p>
    <w:p>
      <w:pPr>
        <w:ind w:firstLine="164"/>
        <w:spacing w:after="0" w:line="279" w:lineRule="auto"/>
        <w:tabs>
          <w:tab w:leader="none" w:pos="362"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No Other Changes</w:t>
      </w:r>
      <w:r>
        <w:rPr>
          <w:rFonts w:ascii="Arial" w:cs="Arial" w:eastAsia="Arial" w:hAnsi="Arial"/>
          <w:sz w:val="13"/>
          <w:szCs w:val="13"/>
          <w:color w:val="auto"/>
        </w:rPr>
        <w:t>. The intent of this Agreement is only to modify and amend those provisions of the Lease as herein specified. Except as herein specifically modified, changed and amended, all of the terms and conditions of the Lease shall remain in full force and effect.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hereto have duly executed this Agreement as of the date first above written.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540" w:type="dxa"/>
            <w:vAlign w:val="bottom"/>
            <w:gridSpan w:val="2"/>
          </w:tcPr>
          <w:p>
            <w:pPr>
              <w:ind w:left="2380"/>
              <w:spacing w:after="0"/>
              <w:rPr>
                <w:sz w:val="20"/>
                <w:szCs w:val="20"/>
                <w:color w:val="auto"/>
              </w:rPr>
            </w:pPr>
            <w:r>
              <w:rPr>
                <w:rFonts w:ascii="Arial" w:cs="Arial" w:eastAsia="Arial" w:hAnsi="Arial"/>
                <w:sz w:val="13"/>
                <w:szCs w:val="13"/>
                <w:color w:val="auto"/>
              </w:rPr>
              <w:t>LANDLORD:</w:t>
            </w:r>
          </w:p>
        </w:tc>
        <w:tc>
          <w:tcPr>
            <w:tcW w:w="2060" w:type="dxa"/>
            <w:vAlign w:val="bottom"/>
          </w:tcPr>
          <w:p>
            <w:pPr>
              <w:spacing w:after="0"/>
              <w:rPr>
                <w:sz w:val="14"/>
                <w:szCs w:val="14"/>
                <w:color w:val="auto"/>
              </w:rPr>
            </w:pPr>
          </w:p>
        </w:tc>
      </w:tr>
      <w:tr>
        <w:trPr>
          <w:trHeight w:val="316"/>
        </w:trPr>
        <w:tc>
          <w:tcPr>
            <w:tcW w:w="2860" w:type="dxa"/>
            <w:vAlign w:val="bottom"/>
            <w:gridSpan w:val="2"/>
          </w:tcPr>
          <w:p>
            <w:pPr>
              <w:spacing w:after="0"/>
              <w:rPr>
                <w:sz w:val="20"/>
                <w:szCs w:val="20"/>
                <w:color w:val="auto"/>
              </w:rPr>
            </w:pPr>
            <w:r>
              <w:rPr>
                <w:rFonts w:ascii="Arial" w:cs="Arial" w:eastAsia="Arial" w:hAnsi="Arial"/>
                <w:sz w:val="13"/>
                <w:szCs w:val="13"/>
                <w:color w:val="auto"/>
              </w:rPr>
              <w:t>WITNESS:</w:t>
            </w:r>
          </w:p>
        </w:tc>
        <w:tc>
          <w:tcPr>
            <w:tcW w:w="6540" w:type="dxa"/>
            <w:vAlign w:val="bottom"/>
            <w:gridSpan w:val="2"/>
          </w:tcPr>
          <w:p>
            <w:pPr>
              <w:ind w:left="2380"/>
              <w:spacing w:after="0"/>
              <w:rPr>
                <w:sz w:val="20"/>
                <w:szCs w:val="20"/>
                <w:color w:val="auto"/>
              </w:rPr>
            </w:pPr>
            <w:r>
              <w:rPr>
                <w:rFonts w:ascii="Arial" w:cs="Arial" w:eastAsia="Arial" w:hAnsi="Arial"/>
                <w:sz w:val="13"/>
                <w:szCs w:val="13"/>
                <w:color w:val="auto"/>
              </w:rPr>
              <w:t>BTCT ASSOCIATES, L.L.C.</w:t>
            </w:r>
          </w:p>
        </w:tc>
        <w:tc>
          <w:tcPr>
            <w:tcW w:w="2060" w:type="dxa"/>
            <w:vAlign w:val="bottom"/>
          </w:tcPr>
          <w:p>
            <w:pPr>
              <w:spacing w:after="0"/>
              <w:rPr>
                <w:sz w:val="24"/>
                <w:szCs w:val="24"/>
                <w:color w:val="auto"/>
              </w:rPr>
            </w:pPr>
          </w:p>
        </w:tc>
      </w:tr>
      <w:tr>
        <w:trPr>
          <w:trHeight w:val="317"/>
        </w:trPr>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700" w:type="dxa"/>
            <w:vAlign w:val="bottom"/>
          </w:tcPr>
          <w:p>
            <w:pPr>
              <w:ind w:left="2380"/>
              <w:spacing w:after="0"/>
              <w:rPr>
                <w:sz w:val="20"/>
                <w:szCs w:val="20"/>
                <w:color w:val="auto"/>
              </w:rPr>
            </w:pPr>
            <w:r>
              <w:rPr>
                <w:rFonts w:ascii="Arial" w:cs="Arial" w:eastAsia="Arial" w:hAnsi="Arial"/>
                <w:sz w:val="13"/>
                <w:szCs w:val="13"/>
                <w:color w:val="auto"/>
              </w:rPr>
              <w:t>By:</w:t>
            </w:r>
          </w:p>
        </w:tc>
        <w:tc>
          <w:tcPr>
            <w:tcW w:w="384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474"/>
        </w:trPr>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00" w:type="dxa"/>
            <w:vAlign w:val="bottom"/>
          </w:tcPr>
          <w:p>
            <w:pPr>
              <w:ind w:left="2380"/>
              <w:spacing w:after="0"/>
              <w:rPr>
                <w:sz w:val="20"/>
                <w:szCs w:val="20"/>
                <w:color w:val="auto"/>
              </w:rPr>
            </w:pPr>
            <w:r>
              <w:rPr>
                <w:rFonts w:ascii="Arial" w:cs="Arial" w:eastAsia="Arial" w:hAnsi="Arial"/>
                <w:sz w:val="13"/>
                <w:szCs w:val="13"/>
                <w:color w:val="auto"/>
              </w:rPr>
              <w:t>Its:</w:t>
            </w:r>
          </w:p>
        </w:tc>
        <w:tc>
          <w:tcPr>
            <w:tcW w:w="384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474"/>
        </w:trPr>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540" w:type="dxa"/>
            <w:vAlign w:val="bottom"/>
            <w:gridSpan w:val="2"/>
          </w:tcPr>
          <w:p>
            <w:pPr>
              <w:ind w:left="2380"/>
              <w:spacing w:after="0"/>
              <w:rPr>
                <w:sz w:val="20"/>
                <w:szCs w:val="20"/>
                <w:color w:val="auto"/>
              </w:rPr>
            </w:pPr>
            <w:r>
              <w:rPr>
                <w:rFonts w:ascii="Arial" w:cs="Arial" w:eastAsia="Arial" w:hAnsi="Arial"/>
                <w:sz w:val="13"/>
                <w:szCs w:val="13"/>
                <w:color w:val="auto"/>
              </w:rPr>
              <w:t>TENANT:</w:t>
            </w:r>
          </w:p>
        </w:tc>
        <w:tc>
          <w:tcPr>
            <w:tcW w:w="2060" w:type="dxa"/>
            <w:vAlign w:val="bottom"/>
          </w:tcPr>
          <w:p>
            <w:pPr>
              <w:spacing w:after="0"/>
              <w:rPr>
                <w:sz w:val="24"/>
                <w:szCs w:val="24"/>
                <w:color w:val="auto"/>
              </w:rPr>
            </w:pPr>
          </w:p>
        </w:tc>
      </w:tr>
      <w:tr>
        <w:trPr>
          <w:trHeight w:val="316"/>
        </w:trPr>
        <w:tc>
          <w:tcPr>
            <w:tcW w:w="2860" w:type="dxa"/>
            <w:vAlign w:val="bottom"/>
            <w:gridSpan w:val="2"/>
          </w:tcPr>
          <w:p>
            <w:pPr>
              <w:spacing w:after="0"/>
              <w:rPr>
                <w:sz w:val="20"/>
                <w:szCs w:val="20"/>
                <w:color w:val="auto"/>
              </w:rPr>
            </w:pPr>
            <w:r>
              <w:rPr>
                <w:rFonts w:ascii="Arial" w:cs="Arial" w:eastAsia="Arial" w:hAnsi="Arial"/>
                <w:sz w:val="13"/>
                <w:szCs w:val="13"/>
                <w:color w:val="auto"/>
              </w:rPr>
              <w:t>ATTEST:</w:t>
            </w:r>
          </w:p>
        </w:tc>
        <w:tc>
          <w:tcPr>
            <w:tcW w:w="6540" w:type="dxa"/>
            <w:vAlign w:val="bottom"/>
            <w:gridSpan w:val="2"/>
          </w:tcPr>
          <w:p>
            <w:pPr>
              <w:ind w:left="2380"/>
              <w:spacing w:after="0"/>
              <w:rPr>
                <w:sz w:val="20"/>
                <w:szCs w:val="20"/>
                <w:color w:val="auto"/>
              </w:rPr>
            </w:pPr>
            <w:r>
              <w:rPr>
                <w:rFonts w:ascii="Arial" w:cs="Arial" w:eastAsia="Arial" w:hAnsi="Arial"/>
                <w:sz w:val="13"/>
                <w:szCs w:val="13"/>
                <w:color w:val="auto"/>
              </w:rPr>
              <w:t>SYNCHRONOSS TECHNOLOGIES, INC.</w:t>
            </w:r>
          </w:p>
        </w:tc>
        <w:tc>
          <w:tcPr>
            <w:tcW w:w="2060" w:type="dxa"/>
            <w:vAlign w:val="bottom"/>
          </w:tcPr>
          <w:p>
            <w:pPr>
              <w:spacing w:after="0"/>
              <w:rPr>
                <w:sz w:val="24"/>
                <w:szCs w:val="24"/>
                <w:color w:val="auto"/>
              </w:rPr>
            </w:pPr>
          </w:p>
        </w:tc>
      </w:tr>
      <w:tr>
        <w:trPr>
          <w:trHeight w:val="317"/>
        </w:trPr>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700" w:type="dxa"/>
            <w:vAlign w:val="bottom"/>
          </w:tcPr>
          <w:p>
            <w:pPr>
              <w:ind w:left="2380"/>
              <w:spacing w:after="0"/>
              <w:rPr>
                <w:sz w:val="20"/>
                <w:szCs w:val="20"/>
                <w:color w:val="auto"/>
              </w:rPr>
            </w:pPr>
            <w:r>
              <w:rPr>
                <w:rFonts w:ascii="Arial" w:cs="Arial" w:eastAsia="Arial" w:hAnsi="Arial"/>
                <w:sz w:val="13"/>
                <w:szCs w:val="13"/>
                <w:color w:val="auto"/>
              </w:rPr>
              <w:t>By:</w:t>
            </w:r>
          </w:p>
        </w:tc>
        <w:tc>
          <w:tcPr>
            <w:tcW w:w="384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474"/>
        </w:trPr>
        <w:tc>
          <w:tcPr>
            <w:tcW w:w="200" w:type="dxa"/>
            <w:vAlign w:val="bottom"/>
          </w:tcPr>
          <w:p>
            <w:pPr>
              <w:spacing w:after="0"/>
              <w:rPr>
                <w:sz w:val="20"/>
                <w:szCs w:val="20"/>
                <w:color w:val="auto"/>
              </w:rPr>
            </w:pPr>
            <w:r>
              <w:rPr>
                <w:rFonts w:ascii="Arial" w:cs="Arial" w:eastAsia="Arial" w:hAnsi="Arial"/>
                <w:sz w:val="13"/>
                <w:szCs w:val="13"/>
                <w:color w:val="auto"/>
              </w:rPr>
              <w:t>Its:</w:t>
            </w:r>
          </w:p>
        </w:tc>
        <w:tc>
          <w:tcPr>
            <w:tcW w:w="2660" w:type="dxa"/>
            <w:vAlign w:val="bottom"/>
            <w:tcBorders>
              <w:bottom w:val="single" w:sz="8" w:color="auto"/>
            </w:tcBorders>
          </w:tcPr>
          <w:p>
            <w:pPr>
              <w:spacing w:after="0"/>
              <w:rPr>
                <w:sz w:val="24"/>
                <w:szCs w:val="24"/>
                <w:color w:val="auto"/>
              </w:rPr>
            </w:pPr>
          </w:p>
        </w:tc>
        <w:tc>
          <w:tcPr>
            <w:tcW w:w="2700" w:type="dxa"/>
            <w:vAlign w:val="bottom"/>
          </w:tcPr>
          <w:p>
            <w:pPr>
              <w:ind w:left="2380"/>
              <w:spacing w:after="0"/>
              <w:rPr>
                <w:sz w:val="20"/>
                <w:szCs w:val="20"/>
                <w:color w:val="auto"/>
              </w:rPr>
            </w:pPr>
            <w:r>
              <w:rPr>
                <w:rFonts w:ascii="Arial" w:cs="Arial" w:eastAsia="Arial" w:hAnsi="Arial"/>
                <w:sz w:val="13"/>
                <w:szCs w:val="13"/>
                <w:color w:val="auto"/>
              </w:rPr>
              <w:t>Its:</w:t>
            </w:r>
          </w:p>
        </w:tc>
        <w:tc>
          <w:tcPr>
            <w:tcW w:w="384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454"/>
        </w:trPr>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540" w:type="dxa"/>
            <w:vAlign w:val="bottom"/>
            <w:gridSpan w:val="2"/>
          </w:tcPr>
          <w:p>
            <w:pPr>
              <w:ind w:left="2840"/>
              <w:spacing w:after="0"/>
              <w:rPr>
                <w:sz w:val="20"/>
                <w:szCs w:val="20"/>
                <w:color w:val="auto"/>
              </w:rPr>
            </w:pPr>
            <w:r>
              <w:rPr>
                <w:rFonts w:ascii="Arial" w:cs="Arial" w:eastAsia="Arial" w:hAnsi="Arial"/>
                <w:sz w:val="13"/>
                <w:szCs w:val="13"/>
                <w:color w:val="auto"/>
              </w:rPr>
              <w:t>4</w:t>
            </w:r>
          </w:p>
        </w:tc>
        <w:tc>
          <w:tcPr>
            <w:tcW w:w="2060" w:type="dxa"/>
            <w:vAlign w:val="bottom"/>
          </w:tcPr>
          <w:p>
            <w:pPr>
              <w:spacing w:after="0"/>
              <w:rPr>
                <w:sz w:val="24"/>
                <w:szCs w:val="24"/>
                <w:color w:val="auto"/>
              </w:rPr>
            </w:pPr>
          </w:p>
        </w:tc>
      </w:tr>
      <w:tr>
        <w:trPr>
          <w:trHeight w:val="165"/>
        </w:trPr>
        <w:tc>
          <w:tcPr>
            <w:tcW w:w="20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LANDLORD’S WORK RIDER</w:t>
            </w:r>
          </w:p>
        </w:tc>
        <w:tc>
          <w:tcPr>
            <w:tcW w:w="700" w:type="dxa"/>
            <w:vAlign w:val="bottom"/>
          </w:tcPr>
          <w:p>
            <w:pPr>
              <w:spacing w:after="0"/>
              <w:rPr>
                <w:sz w:val="13"/>
                <w:szCs w:val="13"/>
                <w:color w:val="auto"/>
              </w:rPr>
            </w:pPr>
          </w:p>
        </w:tc>
      </w:tr>
      <w:tr>
        <w:trPr>
          <w:trHeight w:val="325"/>
        </w:trPr>
        <w:tc>
          <w:tcPr>
            <w:tcW w:w="2820" w:type="dxa"/>
            <w:vAlign w:val="bottom"/>
          </w:tcPr>
          <w:p>
            <w:pPr>
              <w:spacing w:after="0"/>
              <w:rPr>
                <w:sz w:val="20"/>
                <w:szCs w:val="20"/>
                <w:color w:val="auto"/>
              </w:rPr>
            </w:pPr>
            <w:r>
              <w:rPr>
                <w:rFonts w:ascii="Arial" w:cs="Arial" w:eastAsia="Arial" w:hAnsi="Arial"/>
                <w:sz w:val="13"/>
                <w:szCs w:val="13"/>
                <w:color w:val="auto"/>
              </w:rPr>
              <w:t>Date of Second Amendment:</w:t>
            </w:r>
          </w:p>
        </w:tc>
        <w:tc>
          <w:tcPr>
            <w:tcW w:w="4520" w:type="dxa"/>
            <w:vAlign w:val="bottom"/>
            <w:gridSpan w:val="3"/>
          </w:tcPr>
          <w:p>
            <w:pPr>
              <w:ind w:left="4180"/>
              <w:spacing w:after="0"/>
              <w:rPr>
                <w:sz w:val="20"/>
                <w:szCs w:val="20"/>
                <w:color w:val="auto"/>
              </w:rPr>
            </w:pPr>
            <w:r>
              <w:rPr>
                <w:rFonts w:ascii="Arial" w:cs="Arial" w:eastAsia="Arial" w:hAnsi="Arial"/>
                <w:sz w:val="13"/>
                <w:szCs w:val="13"/>
                <w:color w:val="auto"/>
                <w:w w:val="88"/>
              </w:rPr>
              <w:t>, 2006</w:t>
            </w:r>
          </w:p>
        </w:tc>
      </w:tr>
      <w:tr>
        <w:trPr>
          <w:trHeight w:val="316"/>
        </w:trPr>
        <w:tc>
          <w:tcPr>
            <w:tcW w:w="2820" w:type="dxa"/>
            <w:vAlign w:val="bottom"/>
          </w:tcPr>
          <w:p>
            <w:pPr>
              <w:spacing w:after="0"/>
              <w:rPr>
                <w:sz w:val="20"/>
                <w:szCs w:val="20"/>
                <w:color w:val="auto"/>
              </w:rPr>
            </w:pPr>
            <w:r>
              <w:rPr>
                <w:rFonts w:ascii="Arial" w:cs="Arial" w:eastAsia="Arial" w:hAnsi="Arial"/>
                <w:sz w:val="13"/>
                <w:szCs w:val="13"/>
                <w:color w:val="auto"/>
              </w:rPr>
              <w:t>Landlord:</w:t>
            </w:r>
          </w:p>
        </w:tc>
        <w:tc>
          <w:tcPr>
            <w:tcW w:w="4520" w:type="dxa"/>
            <w:vAlign w:val="bottom"/>
            <w:gridSpan w:val="3"/>
          </w:tcPr>
          <w:p>
            <w:pPr>
              <w:ind w:left="1300"/>
              <w:spacing w:after="0"/>
              <w:rPr>
                <w:sz w:val="20"/>
                <w:szCs w:val="20"/>
                <w:color w:val="auto"/>
              </w:rPr>
            </w:pPr>
            <w:r>
              <w:rPr>
                <w:rFonts w:ascii="Arial" w:cs="Arial" w:eastAsia="Arial" w:hAnsi="Arial"/>
                <w:sz w:val="13"/>
                <w:szCs w:val="13"/>
                <w:color w:val="auto"/>
              </w:rPr>
              <w:t>BTCT Associates, L.L.C.</w:t>
            </w:r>
          </w:p>
        </w:tc>
      </w:tr>
      <w:tr>
        <w:trPr>
          <w:trHeight w:val="316"/>
        </w:trPr>
        <w:tc>
          <w:tcPr>
            <w:tcW w:w="2820" w:type="dxa"/>
            <w:vAlign w:val="bottom"/>
          </w:tcPr>
          <w:p>
            <w:pPr>
              <w:spacing w:after="0"/>
              <w:rPr>
                <w:sz w:val="20"/>
                <w:szCs w:val="20"/>
                <w:color w:val="auto"/>
              </w:rPr>
            </w:pPr>
            <w:r>
              <w:rPr>
                <w:rFonts w:ascii="Arial" w:cs="Arial" w:eastAsia="Arial" w:hAnsi="Arial"/>
                <w:sz w:val="13"/>
                <w:szCs w:val="13"/>
                <w:color w:val="auto"/>
              </w:rPr>
              <w:t>Tenant:</w:t>
            </w:r>
          </w:p>
        </w:tc>
        <w:tc>
          <w:tcPr>
            <w:tcW w:w="4520" w:type="dxa"/>
            <w:vAlign w:val="bottom"/>
            <w:gridSpan w:val="3"/>
          </w:tcPr>
          <w:p>
            <w:pPr>
              <w:ind w:left="1300"/>
              <w:spacing w:after="0"/>
              <w:rPr>
                <w:sz w:val="20"/>
                <w:szCs w:val="20"/>
                <w:color w:val="auto"/>
              </w:rPr>
            </w:pPr>
            <w:r>
              <w:rPr>
                <w:rFonts w:ascii="Arial" w:cs="Arial" w:eastAsia="Arial" w:hAnsi="Arial"/>
                <w:sz w:val="13"/>
                <w:szCs w:val="13"/>
                <w:color w:val="auto"/>
              </w:rPr>
              <w:t>Synchronoss Technologies, Inc.</w:t>
            </w:r>
          </w:p>
        </w:tc>
      </w:tr>
      <w:tr>
        <w:trPr>
          <w:trHeight w:val="309"/>
        </w:trPr>
        <w:tc>
          <w:tcPr>
            <w:tcW w:w="2820" w:type="dxa"/>
            <w:vAlign w:val="bottom"/>
          </w:tcPr>
          <w:p>
            <w:pPr>
              <w:spacing w:after="0"/>
              <w:rPr>
                <w:sz w:val="20"/>
                <w:szCs w:val="20"/>
                <w:color w:val="auto"/>
              </w:rPr>
            </w:pPr>
            <w:r>
              <w:rPr>
                <w:rFonts w:ascii="Arial" w:cs="Arial" w:eastAsia="Arial" w:hAnsi="Arial"/>
                <w:sz w:val="13"/>
                <w:szCs w:val="13"/>
                <w:color w:val="auto"/>
              </w:rPr>
              <w:t>Additional Space:</w:t>
            </w:r>
          </w:p>
        </w:tc>
        <w:tc>
          <w:tcPr>
            <w:tcW w:w="4520" w:type="dxa"/>
            <w:vAlign w:val="bottom"/>
            <w:gridSpan w:val="3"/>
          </w:tcPr>
          <w:p>
            <w:pPr>
              <w:ind w:left="1300"/>
              <w:spacing w:after="0"/>
              <w:rPr>
                <w:sz w:val="20"/>
                <w:szCs w:val="20"/>
                <w:color w:val="auto"/>
              </w:rPr>
            </w:pPr>
            <w:r>
              <w:rPr>
                <w:rFonts w:ascii="Arial" w:cs="Arial" w:eastAsia="Arial" w:hAnsi="Arial"/>
                <w:sz w:val="13"/>
                <w:szCs w:val="13"/>
                <w:color w:val="auto"/>
              </w:rPr>
              <w:t>Portion of Fourth Floor</w:t>
            </w:r>
          </w:p>
        </w:tc>
      </w:tr>
      <w:tr>
        <w:trPr>
          <w:trHeight w:val="158"/>
        </w:trPr>
        <w:tc>
          <w:tcPr>
            <w:tcW w:w="2820" w:type="dxa"/>
            <w:vAlign w:val="bottom"/>
          </w:tcPr>
          <w:p>
            <w:pPr>
              <w:spacing w:after="0"/>
              <w:rPr>
                <w:sz w:val="13"/>
                <w:szCs w:val="13"/>
                <w:color w:val="auto"/>
              </w:rPr>
            </w:pPr>
          </w:p>
        </w:tc>
        <w:tc>
          <w:tcPr>
            <w:tcW w:w="4520" w:type="dxa"/>
            <w:vAlign w:val="bottom"/>
            <w:gridSpan w:val="3"/>
          </w:tcPr>
          <w:p>
            <w:pPr>
              <w:ind w:left="1300"/>
              <w:spacing w:after="0"/>
              <w:rPr>
                <w:sz w:val="20"/>
                <w:szCs w:val="20"/>
                <w:color w:val="auto"/>
              </w:rPr>
            </w:pPr>
            <w:r>
              <w:rPr>
                <w:rFonts w:ascii="Arial" w:cs="Arial" w:eastAsia="Arial" w:hAnsi="Arial"/>
                <w:sz w:val="13"/>
                <w:szCs w:val="13"/>
                <w:color w:val="auto"/>
              </w:rPr>
              <w:t>750 Route 202</w:t>
            </w:r>
          </w:p>
        </w:tc>
      </w:tr>
      <w:tr>
        <w:trPr>
          <w:trHeight w:val="165"/>
        </w:trPr>
        <w:tc>
          <w:tcPr>
            <w:tcW w:w="2820" w:type="dxa"/>
            <w:vAlign w:val="bottom"/>
          </w:tcPr>
          <w:p>
            <w:pPr>
              <w:spacing w:after="0"/>
              <w:rPr>
                <w:sz w:val="14"/>
                <w:szCs w:val="14"/>
                <w:color w:val="auto"/>
              </w:rPr>
            </w:pPr>
          </w:p>
        </w:tc>
        <w:tc>
          <w:tcPr>
            <w:tcW w:w="4520" w:type="dxa"/>
            <w:vAlign w:val="bottom"/>
            <w:gridSpan w:val="3"/>
          </w:tcPr>
          <w:p>
            <w:pPr>
              <w:ind w:left="1300"/>
              <w:spacing w:after="0"/>
              <w:rPr>
                <w:sz w:val="20"/>
                <w:szCs w:val="20"/>
                <w:color w:val="auto"/>
              </w:rPr>
            </w:pPr>
            <w:r>
              <w:rPr>
                <w:rFonts w:ascii="Arial" w:cs="Arial" w:eastAsia="Arial" w:hAnsi="Arial"/>
                <w:sz w:val="13"/>
                <w:szCs w:val="13"/>
                <w:color w:val="auto"/>
              </w:rPr>
              <w:t>Bridgewater, New Jersey</w:t>
            </w:r>
          </w:p>
        </w:tc>
      </w:tr>
    </w:tbl>
    <w:p>
      <w:pPr>
        <w:spacing w:after="0" w:line="68" w:lineRule="exact"/>
        <w:rPr>
          <w:sz w:val="20"/>
          <w:szCs w:val="20"/>
          <w:color w:val="auto"/>
        </w:rPr>
      </w:pPr>
    </w:p>
    <w:p>
      <w:pPr>
        <w:ind w:right="20" w:firstLine="164"/>
        <w:spacing w:after="0" w:line="284" w:lineRule="auto"/>
        <w:tabs>
          <w:tab w:leader="none" w:pos="296" w:val="left"/>
        </w:tabs>
        <w:numPr>
          <w:ilvl w:val="0"/>
          <w:numId w:val="42"/>
        </w:numPr>
        <w:rPr>
          <w:rFonts w:ascii="Arial" w:cs="Arial" w:eastAsia="Arial" w:hAnsi="Arial"/>
          <w:sz w:val="12"/>
          <w:szCs w:val="12"/>
          <w:color w:val="auto"/>
        </w:rPr>
      </w:pPr>
      <w:r>
        <w:rPr>
          <w:rFonts w:ascii="Arial" w:cs="Arial" w:eastAsia="Arial" w:hAnsi="Arial"/>
          <w:sz w:val="12"/>
          <w:szCs w:val="12"/>
          <w:b w:val="1"/>
          <w:bCs w:val="1"/>
          <w:u w:val="single" w:color="auto"/>
          <w:color w:val="auto"/>
        </w:rPr>
        <w:t>Landlord’s Work</w:t>
      </w:r>
      <w:r>
        <w:rPr>
          <w:rFonts w:ascii="Arial" w:cs="Arial" w:eastAsia="Arial" w:hAnsi="Arial"/>
          <w:sz w:val="12"/>
          <w:szCs w:val="12"/>
          <w:color w:val="auto"/>
        </w:rPr>
        <w:t>. Landlord shall prepare detailed plans and specifications (the “Plans and Specifications”) for the work to be performed in order to render the Additional Space ready for Tenant’s occupancy</w:t>
      </w:r>
      <w:r>
        <w:rPr>
          <w:rFonts w:ascii="Arial" w:cs="Arial" w:eastAsia="Arial" w:hAnsi="Arial"/>
          <w:sz w:val="12"/>
          <w:szCs w:val="12"/>
          <w:b w:val="1"/>
          <w:bCs w:val="1"/>
          <w:color w:val="auto"/>
        </w:rPr>
        <w:t xml:space="preserve"> </w:t>
      </w:r>
      <w:r>
        <w:rPr>
          <w:rFonts w:ascii="Arial" w:cs="Arial" w:eastAsia="Arial" w:hAnsi="Arial"/>
          <w:sz w:val="12"/>
          <w:szCs w:val="12"/>
          <w:color w:val="auto"/>
        </w:rPr>
        <w:t>thereof. The Plans and Specifications shall be based on plans and specifications to be prepared by Tenant and provided to Landlord within ten (10) days from the date hereof. The Plans and Specifications shall be subject to Tenant’s approval, such approval not to be unreasonably withheld. Tenant shall approve or disapprove of the Plans and Specifications within five (5) days of receipt. If Tenant disapproves of the Plans and Specifications, Landlord shall address Tenant’s objections and resubmit the Plans and Specifications to Tenant within ten (10) days of Tenant’s disapproval of same. The foregoing procedure shall be followed until such time as Tenant approves the Plans and Specifications. In the event that a complete set of Plans and Specifications have not been approved by Tenant within thirty (30) days from the date hereof, the Commencement Date shall advance one day for each day thereafter until such Plans and Specifications are approved. Landlord shall, subject to the Tenant Improvement Allowance (as hereinafter defined), perform the work shown on the Plans and Specifications prepared by Landlord and approved by Tenant (“Landlord’s Work”).</w:t>
      </w:r>
    </w:p>
    <w:p>
      <w:pPr>
        <w:spacing w:after="0" w:line="43" w:lineRule="exact"/>
        <w:rPr>
          <w:rFonts w:ascii="Arial" w:cs="Arial" w:eastAsia="Arial" w:hAnsi="Arial"/>
          <w:sz w:val="12"/>
          <w:szCs w:val="12"/>
          <w:color w:val="auto"/>
        </w:rPr>
      </w:pPr>
    </w:p>
    <w:p>
      <w:pPr>
        <w:ind w:right="100" w:firstLine="164"/>
        <w:spacing w:after="0" w:line="264" w:lineRule="auto"/>
        <w:tabs>
          <w:tab w:leader="none" w:pos="296"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Improvement Allowance</w:t>
      </w:r>
      <w:r>
        <w:rPr>
          <w:rFonts w:ascii="Arial" w:cs="Arial" w:eastAsia="Arial" w:hAnsi="Arial"/>
          <w:sz w:val="13"/>
          <w:szCs w:val="13"/>
          <w:color w:val="auto"/>
        </w:rPr>
        <w:t>. (a) Landlord shall make a cash contribution (the “Tenant Improvement Allowance”) in the amount of up to $35.00 per rentable square foot of the Additional Space, for use by</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for all costs related to Landlord’s Work, including, but not limited to, all costs for architectural, engineering and design services, furnishing and installing a sub-meter or check-meter to measure Tenant’s electrical consumption, field supervision, general conditions, and all costs for obtaining the necessary governmental permits and approvals to perform Landlord’s Work. Landlord shall retain ten (10%) percent of the total Tenant Improvement Allowance for its overhead and ten (10%) percent of the total Tenant Improvement Allowance for its profit.</w:t>
      </w:r>
    </w:p>
    <w:p>
      <w:pPr>
        <w:spacing w:after="0" w:line="58" w:lineRule="exact"/>
        <w:rPr>
          <w:sz w:val="20"/>
          <w:szCs w:val="20"/>
          <w:color w:val="auto"/>
        </w:rPr>
      </w:pPr>
    </w:p>
    <w:p>
      <w:pPr>
        <w:ind w:firstLine="164"/>
        <w:spacing w:after="0" w:line="266" w:lineRule="auto"/>
        <w:tabs>
          <w:tab w:leader="none" w:pos="351"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and to the extent that the total aggregate costs of Landlord’s Work exceeds the amount of the Tenant Improvement Allowance, such excess amount shall be the sole responsibility of Tenant and such costs shall be due and promptly payable under the Lease as Additional Rent provided that Landlord provides an invoice to Tenant setting forth such costs of Landlord’s Work, with evidence therefor; however in no event will the Additional Space Commencement Date be delayed as a result thereof</w:t>
      </w:r>
    </w:p>
    <w:p>
      <w:pPr>
        <w:spacing w:after="0" w:line="53" w:lineRule="exact"/>
        <w:rPr>
          <w:sz w:val="20"/>
          <w:szCs w:val="20"/>
          <w:color w:val="auto"/>
        </w:rPr>
      </w:pPr>
    </w:p>
    <w:p>
      <w:pPr>
        <w:ind w:left="300" w:hanging="136"/>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Base Building Work</w:t>
      </w:r>
      <w:r>
        <w:rPr>
          <w:rFonts w:ascii="Arial" w:cs="Arial" w:eastAsia="Arial" w:hAnsi="Arial"/>
          <w:sz w:val="13"/>
          <w:szCs w:val="13"/>
          <w:color w:val="auto"/>
        </w:rPr>
        <w:t>. Landlord shall, at its sole cost and expense, furnish and install the following based on an open plan and ordinary hazard occupancy:</w:t>
      </w:r>
    </w:p>
    <w:p>
      <w:pPr>
        <w:spacing w:after="0" w:line="91" w:lineRule="exact"/>
        <w:rPr>
          <w:rFonts w:ascii="Arial" w:cs="Arial" w:eastAsia="Arial" w:hAnsi="Arial"/>
          <w:sz w:val="13"/>
          <w:szCs w:val="13"/>
          <w:color w:val="auto"/>
        </w:rPr>
      </w:pPr>
    </w:p>
    <w:p>
      <w:pPr>
        <w:ind w:left="900" w:hanging="446"/>
        <w:spacing w:after="0"/>
        <w:tabs>
          <w:tab w:leader="none" w:pos="9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Rooftop HVAC with main trunk and associated branch ductwork.</w:t>
      </w:r>
    </w:p>
    <w:p>
      <w:pPr>
        <w:spacing w:after="0" w:line="97" w:lineRule="exact"/>
        <w:rPr>
          <w:rFonts w:ascii="Arial" w:cs="Arial" w:eastAsia="Arial" w:hAnsi="Arial"/>
          <w:sz w:val="13"/>
          <w:szCs w:val="13"/>
          <w:color w:val="auto"/>
        </w:rPr>
      </w:pPr>
    </w:p>
    <w:p>
      <w:pPr>
        <w:ind w:left="900" w:hanging="446"/>
        <w:spacing w:after="0"/>
        <w:tabs>
          <w:tab w:leader="none" w:pos="9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Fire sprinkler mains, branches, drops and heads based on a standard grid at 9’ finished ceiling height.</w:t>
      </w:r>
    </w:p>
    <w:p>
      <w:pPr>
        <w:spacing w:after="0" w:line="97" w:lineRule="exact"/>
        <w:rPr>
          <w:rFonts w:ascii="Arial" w:cs="Arial" w:eastAsia="Arial" w:hAnsi="Arial"/>
          <w:sz w:val="13"/>
          <w:szCs w:val="13"/>
          <w:color w:val="auto"/>
        </w:rPr>
      </w:pPr>
    </w:p>
    <w:p>
      <w:pPr>
        <w:ind w:left="900" w:hanging="446"/>
        <w:spacing w:after="0"/>
        <w:tabs>
          <w:tab w:leader="none" w:pos="9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Concrete floor slab.</w:t>
      </w:r>
    </w:p>
    <w:p>
      <w:pPr>
        <w:spacing w:after="0" w:line="83" w:lineRule="exact"/>
        <w:rPr>
          <w:rFonts w:ascii="Arial" w:cs="Arial" w:eastAsia="Arial" w:hAnsi="Arial"/>
          <w:sz w:val="13"/>
          <w:szCs w:val="13"/>
          <w:color w:val="auto"/>
        </w:rPr>
      </w:pPr>
    </w:p>
    <w:p>
      <w:pPr>
        <w:ind w:right="420" w:firstLine="164"/>
        <w:spacing w:after="0" w:line="286" w:lineRule="auto"/>
        <w:tabs>
          <w:tab w:leader="none" w:pos="296"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Work Not Included</w:t>
      </w:r>
      <w:r>
        <w:rPr>
          <w:rFonts w:ascii="Arial" w:cs="Arial" w:eastAsia="Arial" w:hAnsi="Arial"/>
          <w:sz w:val="13"/>
          <w:szCs w:val="13"/>
          <w:color w:val="auto"/>
        </w:rPr>
        <w:t>. Any work with respect to the installation of computer wiring, security systems(s), telephone systems, furniture and/or furniture systems including connection of data, cabling, panels,</w:t>
      </w:r>
      <w:r>
        <w:rPr>
          <w:rFonts w:ascii="Arial" w:cs="Arial" w:eastAsia="Arial" w:hAnsi="Arial"/>
          <w:sz w:val="13"/>
          <w:szCs w:val="13"/>
          <w:b w:val="1"/>
          <w:bCs w:val="1"/>
          <w:color w:val="auto"/>
        </w:rPr>
        <w:t xml:space="preserve"> </w:t>
      </w:r>
      <w:r>
        <w:rPr>
          <w:rFonts w:ascii="Arial" w:cs="Arial" w:eastAsia="Arial" w:hAnsi="Arial"/>
          <w:sz w:val="13"/>
          <w:szCs w:val="13"/>
          <w:color w:val="auto"/>
        </w:rPr>
        <w:t>conduits, power poles and electrical connections thereto, interior signage, trade fixtures, and fire extinguishers, shall be the responsibility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32" w:right="239"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auto"/>
        </w:rPr>
        <w:t>Tenant at its sole cost and expense. Tenant shall pay for and procure any applicable permits required for such work and Landlord shall work with Tenant to secure such permits.</w:t>
      </w:r>
    </w:p>
    <w:p>
      <w:pPr>
        <w:spacing w:after="0" w:line="84" w:lineRule="exact"/>
        <w:rPr>
          <w:sz w:val="20"/>
          <w:szCs w:val="20"/>
          <w:color w:val="auto"/>
        </w:rPr>
      </w:pPr>
    </w:p>
    <w:p>
      <w:pPr>
        <w:ind w:firstLine="164"/>
        <w:spacing w:after="0" w:line="269" w:lineRule="auto"/>
        <w:tabs>
          <w:tab w:leader="none" w:pos="296" w:val="left"/>
        </w:tabs>
        <w:numPr>
          <w:ilvl w:val="0"/>
          <w:numId w:val="45"/>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Tenant’s Construction Representative</w:t>
      </w:r>
      <w:r>
        <w:rPr>
          <w:rFonts w:ascii="Arial" w:cs="Arial" w:eastAsia="Arial" w:hAnsi="Arial"/>
          <w:sz w:val="13"/>
          <w:szCs w:val="13"/>
          <w:color w:val="auto"/>
        </w:rPr>
        <w:t>. Upon execution of the Lease, Tenant shall designate an individual to serve as Tenant’s Construction Representative. Such designation may be changed at any time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notice provision of the Lease, but only one (1) individual may be so designated at any one time. Tenant’s Construction Representative shall be the only individual authorized to communicate with Landlord regarding Landlord’s Work and to make decisions regarding the Plans and Specifications and Tenant Extras (as hereinafter defined).</w:t>
      </w:r>
    </w:p>
    <w:p>
      <w:pPr>
        <w:spacing w:after="0" w:line="51" w:lineRule="exact"/>
        <w:rPr>
          <w:rFonts w:ascii="Arial" w:cs="Arial" w:eastAsia="Arial" w:hAnsi="Arial"/>
          <w:sz w:val="13"/>
          <w:szCs w:val="13"/>
          <w:color w:val="auto"/>
        </w:rPr>
      </w:pPr>
    </w:p>
    <w:p>
      <w:pPr>
        <w:ind w:right="80" w:firstLine="164"/>
        <w:spacing w:after="0" w:line="320" w:lineRule="auto"/>
        <w:tabs>
          <w:tab w:leader="none" w:pos="296" w:val="left"/>
        </w:tabs>
        <w:numPr>
          <w:ilvl w:val="0"/>
          <w:numId w:val="45"/>
        </w:numPr>
        <w:rPr>
          <w:rFonts w:ascii="Arial" w:cs="Arial" w:eastAsia="Arial" w:hAnsi="Arial"/>
          <w:sz w:val="11"/>
          <w:szCs w:val="11"/>
          <w:color w:val="auto"/>
        </w:rPr>
      </w:pPr>
      <w:r>
        <w:rPr>
          <w:rFonts w:ascii="Arial" w:cs="Arial" w:eastAsia="Arial" w:hAnsi="Arial"/>
          <w:sz w:val="11"/>
          <w:szCs w:val="11"/>
          <w:b w:val="1"/>
          <w:bCs w:val="1"/>
          <w:u w:val="single" w:color="auto"/>
          <w:color w:val="auto"/>
        </w:rPr>
        <w:t>Tenant Extras</w:t>
      </w:r>
      <w:r>
        <w:rPr>
          <w:rFonts w:ascii="Arial" w:cs="Arial" w:eastAsia="Arial" w:hAnsi="Arial"/>
          <w:sz w:val="11"/>
          <w:szCs w:val="11"/>
          <w:color w:val="auto"/>
        </w:rPr>
        <w:t>. Tenant may request any change, addition or alteration in the Landlord’s Work set forth in the Plans and Specifications, subject to the reasonable approval of Landlord (“Tenant Extras”).</w:t>
      </w:r>
      <w:r>
        <w:rPr>
          <w:rFonts w:ascii="Arial" w:cs="Arial" w:eastAsia="Arial" w:hAnsi="Arial"/>
          <w:sz w:val="11"/>
          <w:szCs w:val="11"/>
          <w:b w:val="1"/>
          <w:bCs w:val="1"/>
          <w:color w:val="auto"/>
        </w:rPr>
        <w:t xml:space="preserve"> </w:t>
      </w:r>
      <w:r>
        <w:rPr>
          <w:rFonts w:ascii="Arial" w:cs="Arial" w:eastAsia="Arial" w:hAnsi="Arial"/>
          <w:sz w:val="11"/>
          <w:szCs w:val="11"/>
          <w:color w:val="auto"/>
        </w:rPr>
        <w:t>Substitutions of materials in place of materials set forth in the Plans and Specifications and additions of quantities of materials in excess of quantities of materials set forth on the Plans and Specifications shall be deemed Tenant Extras. To the extent the Tenant Improvement Allowance is exceeded, Tenant agrees to pay for Tenant Extras based on Landlord’s cost therefor, including field supervision, together with ten (10%) percent of such cost for Landlord’s overhead plus ten (10%) percent of such sum for Landlord’s profit (“Landlord’s Charges”). Tenant shall pay Landlord Landlord’s Charges as Additional Rent within ten (10) days after Landlord’s request therefor. Landlord shall not be required to proceed with the Landlord’s Work or Tenant Extras unless and until Landlord receives payment of Landlord’s Charges requested by Landlord.</w:t>
      </w:r>
    </w:p>
    <w:p>
      <w:pPr>
        <w:spacing w:after="0" w:line="26" w:lineRule="exact"/>
        <w:rPr>
          <w:rFonts w:ascii="Arial" w:cs="Arial" w:eastAsia="Arial" w:hAnsi="Arial"/>
          <w:sz w:val="11"/>
          <w:szCs w:val="11"/>
          <w:color w:val="auto"/>
        </w:rPr>
      </w:pPr>
    </w:p>
    <w:p>
      <w:pPr>
        <w:ind w:firstLine="164"/>
        <w:spacing w:after="0" w:line="264" w:lineRule="auto"/>
        <w:tabs>
          <w:tab w:leader="none" w:pos="296" w:val="left"/>
        </w:tabs>
        <w:numPr>
          <w:ilvl w:val="0"/>
          <w:numId w:val="45"/>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Delay</w:t>
      </w:r>
      <w:r>
        <w:rPr>
          <w:rFonts w:ascii="Arial" w:cs="Arial" w:eastAsia="Arial" w:hAnsi="Arial"/>
          <w:sz w:val="13"/>
          <w:szCs w:val="13"/>
          <w:color w:val="auto"/>
        </w:rPr>
        <w:t>. Tenant shall be responsible for and pay any and all reasonable expenses incurred by Landlord (provided Landlord provides evidence therefor) in connection with any delay in the commencement</w:t>
      </w:r>
      <w:r>
        <w:rPr>
          <w:rFonts w:ascii="Arial" w:cs="Arial" w:eastAsia="Arial" w:hAnsi="Arial"/>
          <w:sz w:val="13"/>
          <w:szCs w:val="13"/>
          <w:b w:val="1"/>
          <w:bCs w:val="1"/>
          <w:color w:val="auto"/>
        </w:rPr>
        <w:t xml:space="preserve"> </w:t>
      </w:r>
      <w:r>
        <w:rPr>
          <w:rFonts w:ascii="Arial" w:cs="Arial" w:eastAsia="Arial" w:hAnsi="Arial"/>
          <w:sz w:val="13"/>
          <w:szCs w:val="13"/>
          <w:color w:val="auto"/>
        </w:rPr>
        <w:t>or completion of the Landlord’s Work or Tenant Extras, and any increase in the cost of the Landlord’s Work or Tenant Extras, caused by (i) Tenant’s requirement of Tenant Extras; (ii) the postponement of any of the Landlord’s Work required to perform Tenant Extras; (iii) any other delay requested or caused by Tenant; (iv) Tenant’s failure to promptly pay Landlord’s Charges; (v) Tenant’s selection of materials not available for immediate delivery; and (vi) the request of Tenant to hold any portion of the Landlord’s Work in abeyance.</w:t>
      </w:r>
    </w:p>
    <w:p>
      <w:pPr>
        <w:spacing w:after="0" w:line="54" w:lineRule="exact"/>
        <w:rPr>
          <w:rFonts w:ascii="Arial" w:cs="Arial" w:eastAsia="Arial" w:hAnsi="Arial"/>
          <w:sz w:val="13"/>
          <w:szCs w:val="13"/>
          <w:color w:val="auto"/>
        </w:rPr>
      </w:pPr>
    </w:p>
    <w:p>
      <w:pPr>
        <w:ind w:left="300" w:hanging="136"/>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(a) The Landlord’s Work shall be performed by Landlord in a good and workmanlike manner.</w:t>
      </w:r>
    </w:p>
    <w:p>
      <w:pPr>
        <w:spacing w:after="0" w:line="92" w:lineRule="exact"/>
        <w:rPr>
          <w:sz w:val="20"/>
          <w:szCs w:val="20"/>
          <w:color w:val="auto"/>
        </w:rPr>
      </w:pPr>
    </w:p>
    <w:p>
      <w:pPr>
        <w:ind w:right="20" w:firstLine="164"/>
        <w:spacing w:after="0" w:line="266" w:lineRule="auto"/>
        <w:tabs>
          <w:tab w:leader="none" w:pos="351" w:val="left"/>
        </w:tabs>
        <w:numPr>
          <w:ilvl w:val="0"/>
          <w:numId w:val="46"/>
        </w:numPr>
        <w:rPr>
          <w:rFonts w:ascii="Arial" w:cs="Arial" w:eastAsia="Arial" w:hAnsi="Arial"/>
          <w:sz w:val="13"/>
          <w:szCs w:val="13"/>
          <w:color w:val="auto"/>
        </w:rPr>
      </w:pPr>
      <w:r>
        <w:rPr>
          <w:rFonts w:ascii="Arial" w:cs="Arial" w:eastAsia="Arial" w:hAnsi="Arial"/>
          <w:sz w:val="13"/>
          <w:szCs w:val="13"/>
          <w:color w:val="auto"/>
        </w:rPr>
        <w:t>Upon substantial completion of the Additional Space, Landlord shall notify Tenant and Landlord’s and Tenant’s Construction Representative shall together inspect the Additional Space and prepare a so-called punchlist of items to be completed and Landlord shall diligently proceed to complete such items. Landlord shall not be responsible for any damage or destruction caused by Tenant, Tenant’s employees, agents or contractors. Existence of punchlist items shall not delay the Additional Space Commencement Date.</w:t>
      </w:r>
    </w:p>
    <w:p>
      <w:pPr>
        <w:spacing w:after="0" w:line="136" w:lineRule="exact"/>
        <w:rPr>
          <w:sz w:val="20"/>
          <w:szCs w:val="20"/>
          <w:color w:val="auto"/>
        </w:rPr>
      </w:pPr>
    </w:p>
    <w:p>
      <w:pPr>
        <w:ind w:left="7600"/>
        <w:spacing w:after="0"/>
        <w:rPr>
          <w:sz w:val="20"/>
          <w:szCs w:val="20"/>
          <w:color w:val="auto"/>
        </w:rPr>
      </w:pPr>
      <w:r>
        <w:rPr>
          <w:rFonts w:ascii="Arial" w:cs="Arial" w:eastAsia="Arial" w:hAnsi="Arial"/>
          <w:sz w:val="13"/>
          <w:szCs w:val="13"/>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ind w:left="7640"/>
        <w:spacing w:after="0"/>
        <w:rPr>
          <w:sz w:val="20"/>
          <w:szCs w:val="20"/>
          <w:color w:val="auto"/>
        </w:rPr>
      </w:pPr>
      <w:r>
        <w:rPr>
          <w:rFonts w:ascii="Arial" w:cs="Arial" w:eastAsia="Arial" w:hAnsi="Arial"/>
          <w:sz w:val="13"/>
          <w:szCs w:val="13"/>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ind w:left="7640"/>
        <w:spacing w:after="0"/>
        <w:rPr>
          <w:sz w:val="20"/>
          <w:szCs w:val="20"/>
          <w:color w:val="auto"/>
        </w:rPr>
      </w:pPr>
      <w:r>
        <w:rPr>
          <w:rFonts w:ascii="Arial" w:cs="Arial" w:eastAsia="Arial" w:hAnsi="Arial"/>
          <w:sz w:val="13"/>
          <w:szCs w:val="13"/>
          <w:color w:val="auto"/>
        </w:rPr>
        <w:t>Tenant</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40"/>
          </w:cols>
          <w:pgMar w:left="220" w:top="72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FOURTH FLOOR PLAN RIDER</w:t>
            </w:r>
          </w:p>
        </w:tc>
      </w:tr>
      <w:tr>
        <w:trPr>
          <w:trHeight w:val="325"/>
        </w:trPr>
        <w:tc>
          <w:tcPr>
            <w:tcW w:w="3060" w:type="dxa"/>
            <w:vAlign w:val="bottom"/>
          </w:tcPr>
          <w:p>
            <w:pPr>
              <w:spacing w:after="0"/>
              <w:rPr>
                <w:sz w:val="20"/>
                <w:szCs w:val="20"/>
                <w:color w:val="auto"/>
              </w:rPr>
            </w:pPr>
            <w:r>
              <w:rPr>
                <w:rFonts w:ascii="Arial" w:cs="Arial" w:eastAsia="Arial" w:hAnsi="Arial"/>
                <w:sz w:val="13"/>
                <w:szCs w:val="13"/>
                <w:color w:val="auto"/>
              </w:rPr>
              <w:t>Date of Second Amendment to Lease:</w:t>
            </w: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August 21, 2006</w:t>
            </w:r>
          </w:p>
        </w:tc>
      </w:tr>
      <w:tr>
        <w:trPr>
          <w:trHeight w:val="316"/>
        </w:trPr>
        <w:tc>
          <w:tcPr>
            <w:tcW w:w="3060" w:type="dxa"/>
            <w:vAlign w:val="bottom"/>
          </w:tcPr>
          <w:p>
            <w:pPr>
              <w:spacing w:after="0"/>
              <w:rPr>
                <w:sz w:val="20"/>
                <w:szCs w:val="20"/>
                <w:color w:val="auto"/>
              </w:rPr>
            </w:pPr>
            <w:r>
              <w:rPr>
                <w:rFonts w:ascii="Arial" w:cs="Arial" w:eastAsia="Arial" w:hAnsi="Arial"/>
                <w:sz w:val="13"/>
                <w:szCs w:val="13"/>
                <w:color w:val="auto"/>
              </w:rPr>
              <w:t>Landlord:</w:t>
            </w: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BTCT Associates, L.L.C.</w:t>
            </w:r>
          </w:p>
        </w:tc>
      </w:tr>
      <w:tr>
        <w:trPr>
          <w:trHeight w:val="316"/>
        </w:trPr>
        <w:tc>
          <w:tcPr>
            <w:tcW w:w="3060" w:type="dxa"/>
            <w:vAlign w:val="bottom"/>
          </w:tcPr>
          <w:p>
            <w:pPr>
              <w:spacing w:after="0"/>
              <w:rPr>
                <w:sz w:val="20"/>
                <w:szCs w:val="20"/>
                <w:color w:val="auto"/>
              </w:rPr>
            </w:pPr>
            <w:r>
              <w:rPr>
                <w:rFonts w:ascii="Arial" w:cs="Arial" w:eastAsia="Arial" w:hAnsi="Arial"/>
                <w:sz w:val="13"/>
                <w:szCs w:val="13"/>
                <w:color w:val="auto"/>
              </w:rPr>
              <w:t>Tenant:</w:t>
            </w: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Synchronoss Technologies, Inc.</w:t>
            </w:r>
          </w:p>
        </w:tc>
      </w:tr>
      <w:tr>
        <w:trPr>
          <w:trHeight w:val="309"/>
        </w:trPr>
        <w:tc>
          <w:tcPr>
            <w:tcW w:w="3060" w:type="dxa"/>
            <w:vAlign w:val="bottom"/>
          </w:tcPr>
          <w:p>
            <w:pPr>
              <w:spacing w:after="0"/>
              <w:rPr>
                <w:sz w:val="20"/>
                <w:szCs w:val="20"/>
                <w:color w:val="auto"/>
              </w:rPr>
            </w:pPr>
            <w:r>
              <w:rPr>
                <w:rFonts w:ascii="Arial" w:cs="Arial" w:eastAsia="Arial" w:hAnsi="Arial"/>
                <w:sz w:val="13"/>
                <w:szCs w:val="13"/>
                <w:color w:val="auto"/>
              </w:rPr>
              <w:t>Additional Space:</w:t>
            </w: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Portion of Fourth Floor</w:t>
            </w:r>
          </w:p>
        </w:tc>
      </w:tr>
      <w:tr>
        <w:trPr>
          <w:trHeight w:val="158"/>
        </w:trPr>
        <w:tc>
          <w:tcPr>
            <w:tcW w:w="3060" w:type="dxa"/>
            <w:vAlign w:val="bottom"/>
          </w:tcPr>
          <w:p>
            <w:pPr>
              <w:spacing w:after="0"/>
              <w:rPr>
                <w:sz w:val="13"/>
                <w:szCs w:val="13"/>
                <w:color w:val="auto"/>
              </w:rPr>
            </w:pP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750 Route 202</w:t>
            </w:r>
          </w:p>
        </w:tc>
      </w:tr>
      <w:tr>
        <w:trPr>
          <w:trHeight w:val="165"/>
        </w:trPr>
        <w:tc>
          <w:tcPr>
            <w:tcW w:w="3060" w:type="dxa"/>
            <w:vAlign w:val="bottom"/>
          </w:tcPr>
          <w:p>
            <w:pPr>
              <w:spacing w:after="0"/>
              <w:rPr>
                <w:sz w:val="14"/>
                <w:szCs w:val="14"/>
                <w:color w:val="auto"/>
              </w:rPr>
            </w:pPr>
          </w:p>
        </w:tc>
        <w:tc>
          <w:tcPr>
            <w:tcW w:w="3620" w:type="dxa"/>
            <w:vAlign w:val="bottom"/>
            <w:gridSpan w:val="2"/>
          </w:tcPr>
          <w:p>
            <w:pPr>
              <w:ind w:left="1060"/>
              <w:spacing w:after="0"/>
              <w:rPr>
                <w:sz w:val="20"/>
                <w:szCs w:val="20"/>
                <w:color w:val="auto"/>
              </w:rPr>
            </w:pPr>
            <w:r>
              <w:rPr>
                <w:rFonts w:ascii="Arial" w:cs="Arial" w:eastAsia="Arial" w:hAnsi="Arial"/>
                <w:sz w:val="13"/>
                <w:szCs w:val="13"/>
                <w:color w:val="auto"/>
              </w:rPr>
              <w:t>Bridgewater, New Jersey</w:t>
            </w:r>
          </w:p>
        </w:tc>
      </w:tr>
    </w:tbl>
    <w:p>
      <w:pPr>
        <w:spacing w:after="0" w:line="151" w:lineRule="exact"/>
        <w:rPr>
          <w:sz w:val="20"/>
          <w:szCs w:val="20"/>
          <w:color w:val="auto"/>
        </w:rPr>
      </w:pPr>
    </w:p>
    <w:p>
      <w:pPr>
        <w:ind w:left="7600"/>
        <w:spacing w:after="0"/>
        <w:rPr>
          <w:sz w:val="20"/>
          <w:szCs w:val="20"/>
          <w:color w:val="auto"/>
        </w:rPr>
      </w:pPr>
      <w:r>
        <w:rPr>
          <w:rFonts w:ascii="Arial" w:cs="Arial" w:eastAsia="Arial" w:hAnsi="Arial"/>
          <w:sz w:val="13"/>
          <w:szCs w:val="13"/>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jc w:val="right"/>
        <w:ind w:right="2119"/>
        <w:spacing w:after="0"/>
        <w:rPr>
          <w:sz w:val="20"/>
          <w:szCs w:val="20"/>
          <w:color w:val="auto"/>
        </w:rPr>
      </w:pPr>
      <w:r>
        <w:rPr>
          <w:rFonts w:ascii="Arial" w:cs="Arial" w:eastAsia="Arial" w:hAnsi="Arial"/>
          <w:sz w:val="13"/>
          <w:szCs w:val="13"/>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ind w:left="7640"/>
        <w:spacing w:after="0"/>
        <w:rPr>
          <w:sz w:val="20"/>
          <w:szCs w:val="20"/>
          <w:color w:val="auto"/>
        </w:rPr>
      </w:pPr>
      <w:r>
        <w:rPr>
          <w:rFonts w:ascii="Arial" w:cs="Arial" w:eastAsia="Arial" w:hAnsi="Arial"/>
          <w:sz w:val="13"/>
          <w:szCs w:val="13"/>
          <w:color w:val="auto"/>
        </w:rPr>
        <w:t>Tenant</w:t>
      </w:r>
    </w:p>
    <w:p>
      <w:pPr>
        <w:spacing w:after="0" w:line="14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239"/>
          </w:cols>
          <w:pgMar w:left="220" w:top="732"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PLOT PLAN RIDER</w:t>
            </w:r>
          </w:p>
        </w:tc>
        <w:tc>
          <w:tcPr>
            <w:tcW w:w="1000" w:type="dxa"/>
            <w:vAlign w:val="bottom"/>
          </w:tcPr>
          <w:p>
            <w:pPr>
              <w:spacing w:after="0"/>
              <w:rPr>
                <w:sz w:val="13"/>
                <w:szCs w:val="13"/>
                <w:color w:val="auto"/>
              </w:rPr>
            </w:pPr>
          </w:p>
        </w:tc>
      </w:tr>
      <w:tr>
        <w:trPr>
          <w:trHeight w:val="325"/>
        </w:trPr>
        <w:tc>
          <w:tcPr>
            <w:tcW w:w="3060" w:type="dxa"/>
            <w:vAlign w:val="bottom"/>
          </w:tcPr>
          <w:p>
            <w:pPr>
              <w:spacing w:after="0"/>
              <w:rPr>
                <w:sz w:val="20"/>
                <w:szCs w:val="20"/>
                <w:color w:val="auto"/>
              </w:rPr>
            </w:pPr>
            <w:r>
              <w:rPr>
                <w:rFonts w:ascii="Arial" w:cs="Arial" w:eastAsia="Arial" w:hAnsi="Arial"/>
                <w:sz w:val="13"/>
                <w:szCs w:val="13"/>
                <w:color w:val="auto"/>
              </w:rPr>
              <w:t>Date of Second Amendment to Lease:</w:t>
            </w:r>
          </w:p>
        </w:tc>
        <w:tc>
          <w:tcPr>
            <w:tcW w:w="4280" w:type="dxa"/>
            <w:vAlign w:val="bottom"/>
            <w:gridSpan w:val="3"/>
          </w:tcPr>
          <w:p>
            <w:pPr>
              <w:ind w:left="3940"/>
              <w:spacing w:after="0"/>
              <w:rPr>
                <w:sz w:val="20"/>
                <w:szCs w:val="20"/>
                <w:color w:val="auto"/>
              </w:rPr>
            </w:pPr>
            <w:r>
              <w:rPr>
                <w:rFonts w:ascii="Arial" w:cs="Arial" w:eastAsia="Arial" w:hAnsi="Arial"/>
                <w:sz w:val="13"/>
                <w:szCs w:val="13"/>
                <w:color w:val="auto"/>
                <w:w w:val="88"/>
              </w:rPr>
              <w:t>, 2006</w:t>
            </w:r>
          </w:p>
        </w:tc>
      </w:tr>
      <w:tr>
        <w:trPr>
          <w:trHeight w:val="316"/>
        </w:trPr>
        <w:tc>
          <w:tcPr>
            <w:tcW w:w="3060" w:type="dxa"/>
            <w:vAlign w:val="bottom"/>
          </w:tcPr>
          <w:p>
            <w:pPr>
              <w:spacing w:after="0"/>
              <w:rPr>
                <w:sz w:val="20"/>
                <w:szCs w:val="20"/>
                <w:color w:val="auto"/>
              </w:rPr>
            </w:pPr>
            <w:r>
              <w:rPr>
                <w:rFonts w:ascii="Arial" w:cs="Arial" w:eastAsia="Arial" w:hAnsi="Arial"/>
                <w:sz w:val="13"/>
                <w:szCs w:val="13"/>
                <w:color w:val="auto"/>
              </w:rPr>
              <w:t>Landlord:</w:t>
            </w:r>
          </w:p>
        </w:tc>
        <w:tc>
          <w:tcPr>
            <w:tcW w:w="4280" w:type="dxa"/>
            <w:vAlign w:val="bottom"/>
            <w:gridSpan w:val="3"/>
          </w:tcPr>
          <w:p>
            <w:pPr>
              <w:ind w:left="1060"/>
              <w:spacing w:after="0"/>
              <w:rPr>
                <w:sz w:val="20"/>
                <w:szCs w:val="20"/>
                <w:color w:val="auto"/>
              </w:rPr>
            </w:pPr>
            <w:r>
              <w:rPr>
                <w:rFonts w:ascii="Arial" w:cs="Arial" w:eastAsia="Arial" w:hAnsi="Arial"/>
                <w:sz w:val="13"/>
                <w:szCs w:val="13"/>
                <w:color w:val="auto"/>
              </w:rPr>
              <w:t>BTCT Associates, L.L.C.</w:t>
            </w:r>
          </w:p>
        </w:tc>
      </w:tr>
      <w:tr>
        <w:trPr>
          <w:trHeight w:val="316"/>
        </w:trPr>
        <w:tc>
          <w:tcPr>
            <w:tcW w:w="3060" w:type="dxa"/>
            <w:vAlign w:val="bottom"/>
          </w:tcPr>
          <w:p>
            <w:pPr>
              <w:spacing w:after="0"/>
              <w:rPr>
                <w:sz w:val="20"/>
                <w:szCs w:val="20"/>
                <w:color w:val="auto"/>
              </w:rPr>
            </w:pPr>
            <w:r>
              <w:rPr>
                <w:rFonts w:ascii="Arial" w:cs="Arial" w:eastAsia="Arial" w:hAnsi="Arial"/>
                <w:sz w:val="13"/>
                <w:szCs w:val="13"/>
                <w:color w:val="auto"/>
              </w:rPr>
              <w:t>Tenant:</w:t>
            </w:r>
          </w:p>
        </w:tc>
        <w:tc>
          <w:tcPr>
            <w:tcW w:w="4280" w:type="dxa"/>
            <w:vAlign w:val="bottom"/>
            <w:gridSpan w:val="3"/>
          </w:tcPr>
          <w:p>
            <w:pPr>
              <w:ind w:left="1060"/>
              <w:spacing w:after="0"/>
              <w:rPr>
                <w:sz w:val="20"/>
                <w:szCs w:val="20"/>
                <w:color w:val="auto"/>
              </w:rPr>
            </w:pPr>
            <w:r>
              <w:rPr>
                <w:rFonts w:ascii="Arial" w:cs="Arial" w:eastAsia="Arial" w:hAnsi="Arial"/>
                <w:sz w:val="13"/>
                <w:szCs w:val="13"/>
                <w:color w:val="auto"/>
              </w:rPr>
              <w:t>Synchronoss Technologies, Inc.</w:t>
            </w:r>
          </w:p>
        </w:tc>
      </w:tr>
      <w:tr>
        <w:trPr>
          <w:trHeight w:val="309"/>
        </w:trPr>
        <w:tc>
          <w:tcPr>
            <w:tcW w:w="3060" w:type="dxa"/>
            <w:vAlign w:val="bottom"/>
          </w:tcPr>
          <w:p>
            <w:pPr>
              <w:spacing w:after="0"/>
              <w:rPr>
                <w:sz w:val="20"/>
                <w:szCs w:val="20"/>
                <w:color w:val="auto"/>
              </w:rPr>
            </w:pPr>
            <w:r>
              <w:rPr>
                <w:rFonts w:ascii="Arial" w:cs="Arial" w:eastAsia="Arial" w:hAnsi="Arial"/>
                <w:sz w:val="13"/>
                <w:szCs w:val="13"/>
                <w:color w:val="auto"/>
              </w:rPr>
              <w:t>Additional Space:</w:t>
            </w:r>
          </w:p>
        </w:tc>
        <w:tc>
          <w:tcPr>
            <w:tcW w:w="4280" w:type="dxa"/>
            <w:vAlign w:val="bottom"/>
            <w:gridSpan w:val="3"/>
          </w:tcPr>
          <w:p>
            <w:pPr>
              <w:ind w:left="1060"/>
              <w:spacing w:after="0"/>
              <w:rPr>
                <w:sz w:val="20"/>
                <w:szCs w:val="20"/>
                <w:color w:val="auto"/>
              </w:rPr>
            </w:pPr>
            <w:r>
              <w:rPr>
                <w:rFonts w:ascii="Arial" w:cs="Arial" w:eastAsia="Arial" w:hAnsi="Arial"/>
                <w:sz w:val="13"/>
                <w:szCs w:val="13"/>
                <w:color w:val="auto"/>
              </w:rPr>
              <w:t>Portion of Fourth Floor</w:t>
            </w:r>
          </w:p>
        </w:tc>
      </w:tr>
      <w:tr>
        <w:trPr>
          <w:trHeight w:val="158"/>
        </w:trPr>
        <w:tc>
          <w:tcPr>
            <w:tcW w:w="3060" w:type="dxa"/>
            <w:vAlign w:val="bottom"/>
          </w:tcPr>
          <w:p>
            <w:pPr>
              <w:spacing w:after="0"/>
              <w:rPr>
                <w:sz w:val="13"/>
                <w:szCs w:val="13"/>
                <w:color w:val="auto"/>
              </w:rPr>
            </w:pPr>
          </w:p>
        </w:tc>
        <w:tc>
          <w:tcPr>
            <w:tcW w:w="4280" w:type="dxa"/>
            <w:vAlign w:val="bottom"/>
            <w:gridSpan w:val="3"/>
          </w:tcPr>
          <w:p>
            <w:pPr>
              <w:ind w:left="1060"/>
              <w:spacing w:after="0"/>
              <w:rPr>
                <w:sz w:val="20"/>
                <w:szCs w:val="20"/>
                <w:color w:val="auto"/>
              </w:rPr>
            </w:pPr>
            <w:r>
              <w:rPr>
                <w:rFonts w:ascii="Arial" w:cs="Arial" w:eastAsia="Arial" w:hAnsi="Arial"/>
                <w:sz w:val="13"/>
                <w:szCs w:val="13"/>
                <w:color w:val="auto"/>
              </w:rPr>
              <w:t>750 Route 202</w:t>
            </w:r>
          </w:p>
        </w:tc>
      </w:tr>
      <w:tr>
        <w:trPr>
          <w:trHeight w:val="165"/>
        </w:trPr>
        <w:tc>
          <w:tcPr>
            <w:tcW w:w="3060" w:type="dxa"/>
            <w:vAlign w:val="bottom"/>
          </w:tcPr>
          <w:p>
            <w:pPr>
              <w:spacing w:after="0"/>
              <w:rPr>
                <w:sz w:val="14"/>
                <w:szCs w:val="14"/>
                <w:color w:val="auto"/>
              </w:rPr>
            </w:pPr>
          </w:p>
        </w:tc>
        <w:tc>
          <w:tcPr>
            <w:tcW w:w="4280" w:type="dxa"/>
            <w:vAlign w:val="bottom"/>
            <w:gridSpan w:val="3"/>
          </w:tcPr>
          <w:p>
            <w:pPr>
              <w:ind w:left="1060"/>
              <w:spacing w:after="0"/>
              <w:rPr>
                <w:sz w:val="20"/>
                <w:szCs w:val="20"/>
                <w:color w:val="auto"/>
              </w:rPr>
            </w:pPr>
            <w:r>
              <w:rPr>
                <w:rFonts w:ascii="Arial" w:cs="Arial" w:eastAsia="Arial" w:hAnsi="Arial"/>
                <w:sz w:val="13"/>
                <w:szCs w:val="13"/>
                <w:color w:val="auto"/>
              </w:rPr>
              <w:t>Bridgewater, New Jersey</w:t>
            </w:r>
          </w:p>
        </w:tc>
      </w:tr>
    </w:tbl>
    <w:p>
      <w:pPr>
        <w:spacing w:after="0" w:line="151" w:lineRule="exact"/>
        <w:rPr>
          <w:sz w:val="20"/>
          <w:szCs w:val="20"/>
          <w:color w:val="auto"/>
        </w:rPr>
      </w:pPr>
    </w:p>
    <w:p>
      <w:pPr>
        <w:ind w:left="7600"/>
        <w:spacing w:after="0"/>
        <w:rPr>
          <w:sz w:val="20"/>
          <w:szCs w:val="20"/>
          <w:color w:val="auto"/>
        </w:rPr>
      </w:pPr>
      <w:r>
        <w:rPr>
          <w:rFonts w:ascii="Arial" w:cs="Arial" w:eastAsia="Arial" w:hAnsi="Arial"/>
          <w:sz w:val="13"/>
          <w:szCs w:val="13"/>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jc w:val="right"/>
        <w:ind w:right="2119"/>
        <w:spacing w:after="0"/>
        <w:rPr>
          <w:sz w:val="20"/>
          <w:szCs w:val="20"/>
          <w:color w:val="auto"/>
        </w:rPr>
      </w:pPr>
      <w:r>
        <w:rPr>
          <w:rFonts w:ascii="Arial" w:cs="Arial" w:eastAsia="Arial" w:hAnsi="Arial"/>
          <w:sz w:val="13"/>
          <w:szCs w:val="13"/>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174625</wp:posOffset>
            </wp:positionV>
            <wp:extent cx="79121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66" w:lineRule="exact"/>
        <w:rPr>
          <w:sz w:val="20"/>
          <w:szCs w:val="20"/>
          <w:color w:val="auto"/>
        </w:rPr>
      </w:pPr>
    </w:p>
    <w:p>
      <w:pPr>
        <w:ind w:left="7640"/>
        <w:spacing w:after="0"/>
        <w:rPr>
          <w:sz w:val="20"/>
          <w:szCs w:val="20"/>
          <w:color w:val="auto"/>
        </w:rPr>
      </w:pPr>
      <w:r>
        <w:rPr>
          <w:rFonts w:ascii="Arial" w:cs="Arial" w:eastAsia="Arial" w:hAnsi="Arial"/>
          <w:sz w:val="13"/>
          <w:szCs w:val="13"/>
          <w:color w:val="auto"/>
        </w:rPr>
        <w:t>Tenant</w:t>
      </w:r>
    </w:p>
    <w:p>
      <w:pPr>
        <w:spacing w:after="0" w:line="14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39"/>
          </w:cols>
          <w:pgMar w:left="220" w:top="732"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auto"/>
        </w:rPr>
        <w:t>EXHIBIT 10.15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MPLOYMENT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June 15, 2006, by and between </w:t>
      </w:r>
      <w:r>
        <w:rPr>
          <w:rFonts w:ascii="Arial" w:cs="Arial" w:eastAsia="Arial" w:hAnsi="Arial"/>
          <w:sz w:val="13"/>
          <w:szCs w:val="13"/>
          <w:b w:val="1"/>
          <w:bCs w:val="1"/>
          <w:color w:val="auto"/>
        </w:rPr>
        <w:t>C</w:t>
      </w:r>
      <w:r>
        <w:rPr>
          <w:rFonts w:ascii="Arial" w:cs="Arial" w:eastAsia="Arial" w:hAnsi="Arial"/>
          <w:sz w:val="8"/>
          <w:szCs w:val="8"/>
          <w:b w:val="1"/>
          <w:bCs w:val="1"/>
          <w:color w:val="auto"/>
        </w:rPr>
        <w:t>HRIS</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UTNAM</w:t>
      </w:r>
      <w:r>
        <w:rPr>
          <w:rFonts w:ascii="Arial" w:cs="Arial" w:eastAsia="Arial" w:hAnsi="Arial"/>
          <w:sz w:val="13"/>
          <w:szCs w:val="13"/>
          <w:color w:val="auto"/>
        </w:rPr>
        <w:t xml:space="preserve"> (the “Executive”) and Synchronoss Technologies, Inc., a Delaware corporation (the “Company”).</w:t>
      </w:r>
    </w:p>
    <w:p>
      <w:pPr>
        <w:spacing w:after="0" w:line="88" w:lineRule="exact"/>
        <w:rPr>
          <w:sz w:val="20"/>
          <w:szCs w:val="20"/>
          <w:color w:val="auto"/>
        </w:rPr>
      </w:pPr>
    </w:p>
    <w:p>
      <w:pPr>
        <w:ind w:left="300" w:hanging="136"/>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8" w:lineRule="exact"/>
        <w:rPr>
          <w:sz w:val="20"/>
          <w:szCs w:val="20"/>
          <w:color w:val="auto"/>
        </w:rPr>
      </w:pPr>
    </w:p>
    <w:p>
      <w:pPr>
        <w:ind w:right="320" w:firstLine="164"/>
        <w:spacing w:after="0" w:line="286" w:lineRule="auto"/>
        <w:tabs>
          <w:tab w:leader="none" w:pos="344"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of Sales. The Executive shall</w:t>
      </w:r>
      <w:r>
        <w:rPr>
          <w:rFonts w:ascii="Arial" w:cs="Arial" w:eastAsia="Arial" w:hAnsi="Arial"/>
          <w:sz w:val="13"/>
          <w:szCs w:val="13"/>
          <w:b w:val="1"/>
          <w:bCs w:val="1"/>
          <w:color w:val="auto"/>
        </w:rPr>
        <w:t xml:space="preserve"> </w:t>
      </w:r>
      <w:r>
        <w:rPr>
          <w:rFonts w:ascii="Arial" w:cs="Arial" w:eastAsia="Arial" w:hAnsi="Arial"/>
          <w:sz w:val="13"/>
          <w:szCs w:val="13"/>
          <w:color w:val="auto"/>
        </w:rPr>
        <w:t>report to the Company’s Chief Executive Officer.</w:t>
      </w:r>
    </w:p>
    <w:p>
      <w:pPr>
        <w:spacing w:after="0" w:line="39" w:lineRule="exact"/>
        <w:rPr>
          <w:rFonts w:ascii="Arial" w:cs="Arial" w:eastAsia="Arial" w:hAnsi="Arial"/>
          <w:sz w:val="13"/>
          <w:szCs w:val="13"/>
          <w:color w:val="auto"/>
        </w:rPr>
      </w:pPr>
    </w:p>
    <w:p>
      <w:pPr>
        <w:ind w:left="360" w:hanging="196"/>
        <w:spacing w:after="0"/>
        <w:tabs>
          <w:tab w:leader="none" w:pos="360"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Obligations to the Company</w:t>
      </w:r>
      <w:r>
        <w:rPr>
          <w:rFonts w:ascii="Arial" w:cs="Arial" w:eastAsia="Arial" w:hAnsi="Arial"/>
          <w:sz w:val="12"/>
          <w:szCs w:val="12"/>
          <w:color w:val="auto"/>
        </w:rPr>
        <w:t>. During his Employment, the Executive (i) shall devote his full business efforts and time to the Company, (ii) shall not engage in any other employment, consulting or other</w:t>
      </w:r>
    </w:p>
    <w:p>
      <w:pPr>
        <w:spacing w:after="0" w:line="31" w:lineRule="exact"/>
        <w:rPr>
          <w:rFonts w:ascii="Arial" w:cs="Arial" w:eastAsia="Arial" w:hAnsi="Arial"/>
          <w:sz w:val="12"/>
          <w:szCs w:val="12"/>
          <w:color w:val="auto"/>
        </w:rPr>
      </w:pPr>
    </w:p>
    <w:p>
      <w:pPr>
        <w:ind w:right="80"/>
        <w:spacing w:after="0" w:line="267" w:lineRule="auto"/>
        <w:rPr>
          <w:rFonts w:ascii="Arial" w:cs="Arial" w:eastAsia="Arial" w:hAnsi="Arial"/>
          <w:sz w:val="12"/>
          <w:szCs w:val="12"/>
          <w:color w:val="auto"/>
        </w:rPr>
      </w:pP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2"/>
          <w:szCs w:val="12"/>
          <w:color w:val="auto"/>
        </w:rPr>
      </w:pPr>
    </w:p>
    <w:p>
      <w:pPr>
        <w:ind w:right="40" w:firstLine="164"/>
        <w:spacing w:after="0" w:line="264" w:lineRule="auto"/>
        <w:tabs>
          <w:tab w:leader="none" w:pos="344"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right="240" w:firstLine="164"/>
        <w:spacing w:after="0" w:line="286" w:lineRule="auto"/>
        <w:tabs>
          <w:tab w:leader="none" w:pos="351"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June 15, 2006 (the “Commencement</w:t>
      </w:r>
      <w:r>
        <w:rPr>
          <w:rFonts w:ascii="Arial" w:cs="Arial" w:eastAsia="Arial" w:hAnsi="Arial"/>
          <w:sz w:val="13"/>
          <w:szCs w:val="13"/>
          <w:b w:val="1"/>
          <w:bCs w:val="1"/>
          <w:color w:val="auto"/>
        </w:rPr>
        <w:t xml:space="preserve"> </w:t>
      </w:r>
      <w:r>
        <w:rPr>
          <w:rFonts w:ascii="Arial" w:cs="Arial" w:eastAsia="Arial" w:hAnsi="Arial"/>
          <w:sz w:val="13"/>
          <w:szCs w:val="13"/>
          <w:color w:val="auto"/>
        </w:rPr>
        <w:t>Date”).</w:t>
      </w:r>
    </w:p>
    <w:p>
      <w:pPr>
        <w:spacing w:after="0" w:line="39" w:lineRule="exact"/>
        <w:rPr>
          <w:sz w:val="20"/>
          <w:szCs w:val="20"/>
          <w:color w:val="auto"/>
        </w:rPr>
      </w:pPr>
    </w:p>
    <w:p>
      <w:pPr>
        <w:ind w:right="360" w:firstLine="164"/>
        <w:spacing w:after="0" w:line="269" w:lineRule="auto"/>
        <w:tabs>
          <w:tab w:leader="none" w:pos="296"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Salary. </w:t>
      </w:r>
      <w:r>
        <w:rPr>
          <w:rFonts w:ascii="Arial" w:cs="Arial" w:eastAsia="Arial" w:hAnsi="Arial"/>
          <w:sz w:val="13"/>
          <w:szCs w:val="13"/>
          <w:color w:val="auto"/>
        </w:rPr>
        <w:t>The Company shall pay the Executive as compensation for his services a base salary at a gross annual rate of not less than $180,000.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color w:val="auto"/>
        </w:rPr>
      </w:pPr>
    </w:p>
    <w:p>
      <w:pPr>
        <w:ind w:right="140" w:firstLine="164"/>
        <w:spacing w:after="0" w:line="286" w:lineRule="auto"/>
        <w:tabs>
          <w:tab w:leader="none" w:pos="296"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15 vacation days per year. During his Employment, the Executive shall be eligible to participate in the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898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6" w:name="page77"/>
    <w:bookmarkEnd w:id="76"/>
    <w:p>
      <w:pPr>
        <w:spacing w:after="0"/>
        <w:rPr>
          <w:sz w:val="20"/>
          <w:szCs w:val="20"/>
          <w:color w:val="auto"/>
        </w:rPr>
      </w:pPr>
      <w:r>
        <w:rPr>
          <w:rFonts w:ascii="Arial" w:cs="Arial" w:eastAsia="Arial" w:hAnsi="Arial"/>
          <w:sz w:val="12"/>
          <w:szCs w:val="12"/>
          <w:color w:val="auto"/>
        </w:rPr>
        <w:t>maintained by the Company, subject in each case to the generally applicable terms and conditions of the plan in question and to the determinations of any person or committee administering such plan.</w:t>
      </w:r>
    </w:p>
    <w:p>
      <w:pPr>
        <w:spacing w:after="0" w:line="95" w:lineRule="exact"/>
        <w:rPr>
          <w:sz w:val="20"/>
          <w:szCs w:val="20"/>
          <w:color w:val="auto"/>
        </w:rPr>
      </w:pPr>
    </w:p>
    <w:p>
      <w:pPr>
        <w:ind w:right="160" w:firstLine="164"/>
        <w:spacing w:after="0" w:line="375" w:lineRule="auto"/>
        <w:tabs>
          <w:tab w:leader="none" w:pos="296" w:val="left"/>
        </w:tabs>
        <w:numPr>
          <w:ilvl w:val="0"/>
          <w:numId w:val="50"/>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300" w:hanging="136"/>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8" w:lineRule="exact"/>
        <w:rPr>
          <w:sz w:val="20"/>
          <w:szCs w:val="20"/>
          <w:color w:val="auto"/>
        </w:rPr>
      </w:pPr>
    </w:p>
    <w:p>
      <w:pPr>
        <w:ind w:right="80" w:firstLine="164"/>
        <w:spacing w:after="0" w:line="264" w:lineRule="auto"/>
        <w:tabs>
          <w:tab w:leader="none" w:pos="344"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Commencement Date and ending upon the earlier of (i) three (3) years from such date, and (ii) the date Executive’s Employment is terminated in accordance with Subsection 5(b). This Agreement will automatically renew for annual one- year periods </w:t>
      </w:r>
      <w:r>
        <w:rPr>
          <w:rFonts w:ascii="Arial" w:cs="Arial" w:eastAsia="Arial" w:hAnsi="Arial"/>
          <w:sz w:val="13"/>
          <w:szCs w:val="13"/>
          <w:u w:val="single" w:color="auto"/>
          <w:color w:val="auto"/>
        </w:rPr>
        <w:t>unless</w:t>
      </w:r>
      <w:r>
        <w:rPr>
          <w:rFonts w:ascii="Arial" w:cs="Arial" w:eastAsia="Arial" w:hAnsi="Arial"/>
          <w:sz w:val="13"/>
          <w:szCs w:val="13"/>
          <w:color w:val="auto"/>
        </w:rPr>
        <w:t xml:space="preserve"> either party gives to the other written notice on or before May 1, 2007 or May 1 of each succeeding year, of such party’s intent to modify, amend or terminate this Agreement according to the terms hereof.</w:t>
      </w:r>
    </w:p>
    <w:p>
      <w:pPr>
        <w:spacing w:after="0" w:line="54" w:lineRule="exact"/>
        <w:rPr>
          <w:rFonts w:ascii="Arial" w:cs="Arial" w:eastAsia="Arial" w:hAnsi="Arial"/>
          <w:sz w:val="13"/>
          <w:szCs w:val="13"/>
          <w:color w:val="auto"/>
        </w:rPr>
      </w:pPr>
    </w:p>
    <w:p>
      <w:pPr>
        <w:ind w:firstLine="164"/>
        <w:spacing w:after="0" w:line="269" w:lineRule="auto"/>
        <w:tabs>
          <w:tab w:leader="none" w:pos="351"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Termination of Employment</w:t>
      </w:r>
      <w:r>
        <w:rPr>
          <w:rFonts w:ascii="Arial" w:cs="Arial" w:eastAsia="Arial" w:hAnsi="Arial"/>
          <w:sz w:val="13"/>
          <w:szCs w:val="13"/>
          <w:color w:val="auto"/>
        </w:rPr>
        <w:t>. The Company may terminate the Executive’s Employment at any time and for any reason (or no reason), and with or without Cause (as defined below), by giving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30 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firstLine="164"/>
        <w:spacing w:after="0" w:line="261" w:lineRule="auto"/>
        <w:tabs>
          <w:tab w:leader="none" w:pos="344"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57" w:lineRule="exact"/>
        <w:rPr>
          <w:rFonts w:ascii="Arial" w:cs="Arial" w:eastAsia="Arial" w:hAnsi="Arial"/>
          <w:sz w:val="13"/>
          <w:szCs w:val="13"/>
          <w:color w:val="auto"/>
        </w:rPr>
      </w:pPr>
    </w:p>
    <w:p>
      <w:pPr>
        <w:ind w:firstLine="164"/>
        <w:spacing w:after="0" w:line="264" w:lineRule="auto"/>
        <w:tabs>
          <w:tab w:leader="none" w:pos="351"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earned but unpaid sales commissions as of the time his</w:t>
      </w:r>
      <w:r>
        <w:rPr>
          <w:rFonts w:ascii="Arial" w:cs="Arial" w:eastAsia="Arial" w:hAnsi="Arial"/>
          <w:sz w:val="13"/>
          <w:szCs w:val="13"/>
          <w:b w:val="1"/>
          <w:bCs w:val="1"/>
          <w:color w:val="auto"/>
        </w:rPr>
        <w:t xml:space="preserve"> </w:t>
      </w:r>
      <w:r>
        <w:rPr>
          <w:rFonts w:ascii="Arial" w:cs="Arial" w:eastAsia="Arial" w:hAnsi="Arial"/>
          <w:sz w:val="13"/>
          <w:szCs w:val="13"/>
          <w:color w:val="auto"/>
        </w:rPr>
        <w:t>death occurred. If Executive’s Employment ends due to Permanent Disability (as such term is defined below), Executive shall be entitled to receive an amount equal to his earned but unpaid sales commissions as of the time his employment ended and the Consolidated Omnibus Budget Reconciliation Act (“COBRA”) benefits described in the next sentence. If Executive or his personal representative elects to continue health insurance coverage under COBRA for Executive and his dependents following the termination of his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77" w:name="page78"/>
    <w:bookmarkEnd w:id="77"/>
    <w:p>
      <w:pPr>
        <w:ind w:right="620"/>
        <w:spacing w:after="0" w:line="279" w:lineRule="auto"/>
        <w:rPr>
          <w:sz w:val="20"/>
          <w:szCs w:val="20"/>
          <w:color w:val="auto"/>
        </w:rPr>
      </w:pPr>
      <w:r>
        <w:rPr>
          <w:rFonts w:ascii="Arial" w:cs="Arial" w:eastAsia="Arial" w:hAnsi="Arial"/>
          <w:sz w:val="13"/>
          <w:szCs w:val="13"/>
          <w:color w:val="auto"/>
        </w:rPr>
        <w:t>employment,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44" w:lineRule="exact"/>
        <w:rPr>
          <w:sz w:val="20"/>
          <w:szCs w:val="20"/>
          <w:color w:val="auto"/>
        </w:rPr>
      </w:pPr>
    </w:p>
    <w:p>
      <w:pPr>
        <w:ind w:left="300" w:hanging="136"/>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8" w:lineRule="exact"/>
        <w:rPr>
          <w:sz w:val="20"/>
          <w:szCs w:val="20"/>
          <w:color w:val="auto"/>
        </w:rPr>
      </w:pPr>
    </w:p>
    <w:p>
      <w:pPr>
        <w:ind w:left="340" w:hanging="176"/>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600" w:hanging="157"/>
        <w:spacing w:after="0"/>
        <w:tabs>
          <w:tab w:leader="none" w:pos="600" w:val="left"/>
        </w:tabs>
        <w:numPr>
          <w:ilvl w:val="1"/>
          <w:numId w:val="53"/>
        </w:numPr>
        <w:rPr>
          <w:rFonts w:ascii="Arial" w:cs="Arial" w:eastAsia="Arial" w:hAnsi="Arial"/>
          <w:sz w:val="13"/>
          <w:szCs w:val="13"/>
          <w:color w:val="auto"/>
        </w:rPr>
      </w:pPr>
      <w:r>
        <w:rPr>
          <w:rFonts w:ascii="Arial" w:cs="Arial" w:eastAsia="Arial" w:hAnsi="Arial"/>
          <w:sz w:val="13"/>
          <w:szCs w:val="13"/>
          <w:color w:val="auto"/>
        </w:rPr>
        <w:t>Has executed a general release of all claims (in a form prescribed by the Company);</w:t>
      </w:r>
    </w:p>
    <w:p>
      <w:pPr>
        <w:spacing w:after="0" w:line="87" w:lineRule="exact"/>
        <w:rPr>
          <w:rFonts w:ascii="Arial" w:cs="Arial" w:eastAsia="Arial" w:hAnsi="Arial"/>
          <w:sz w:val="13"/>
          <w:szCs w:val="13"/>
          <w:color w:val="auto"/>
        </w:rPr>
      </w:pPr>
    </w:p>
    <w:p>
      <w:pPr>
        <w:ind w:left="640" w:hanging="197"/>
        <w:spacing w:after="0"/>
        <w:tabs>
          <w:tab w:leader="none" w:pos="6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120" w:right="240" w:firstLine="323"/>
        <w:spacing w:after="0" w:line="279" w:lineRule="auto"/>
        <w:tabs>
          <w:tab w:leader="none" w:pos="6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If requested by the board of directors of the Company (the “Board”), has resigned as a member of the Board and as a member of the boards of directors of all subsidiaries of the Company, to the extent applicable.</w:t>
      </w:r>
    </w:p>
    <w:p>
      <w:pPr>
        <w:spacing w:after="0" w:line="43" w:lineRule="exact"/>
        <w:rPr>
          <w:rFonts w:ascii="Arial" w:cs="Arial" w:eastAsia="Arial" w:hAnsi="Arial"/>
          <w:sz w:val="13"/>
          <w:szCs w:val="13"/>
          <w:color w:val="auto"/>
        </w:rPr>
      </w:pPr>
    </w:p>
    <w:p>
      <w:pPr>
        <w:ind w:firstLine="164"/>
        <w:spacing w:after="0" w:line="257" w:lineRule="auto"/>
        <w:tabs>
          <w:tab w:leader="none" w:pos="351"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Severance Pay in the Absence of a Change in Control</w:t>
      </w:r>
      <w:r>
        <w:rPr>
          <w:rFonts w:ascii="Arial" w:cs="Arial" w:eastAsia="Arial" w:hAnsi="Arial"/>
          <w:sz w:val="13"/>
          <w:szCs w:val="13"/>
          <w:color w:val="auto"/>
        </w:rPr>
        <w:t>. If, during the term of this Agreement and prior to the occurrence of a Change in Control or more than 12 months following a Change in Control,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terminates the Executive’s employment with the Company for a reason other than Cause or Permanent Disability (as such terms are defined below), then the Company shall pay the Executive a lump sum severance payment equal to (i) one and one-half times his Base Salary in effect at the time of the termination of Employment and (ii) all unpaid sales commissions earned by the Executive as of the time of the termination of Employment. If, during the term of this Agreement and prior to the occurrence of a Change in Control or more than 12 months following a Change in Control, Executive resigns his Employment for Good Reason (as such term is defined below), then the Company shall pay the Executive a lump sum severance payment equal to (i) one times his Base Salary in effect at the time of the termination of Employment and (ii) all unpaid sales commissions earned by the Executive as of the time of the termination of Employment.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 The severance payments under this Subsection (b) shall in no event commence prior to the earliest date permitted by Section 409A(a)(2) of the Internal Revenue Code of 1986, as amended (the “Code”). If the commencement of such severance payments must be delayed, as determined by the Company, then the deferred installments shall be paid in a lump sum on the earliest practicable date permitted by Section 409A(a)(2) of the Code.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4" w:right="239" w:bottom="1440" w:gutter="0" w:footer="0" w:header="0"/>
        </w:sectPr>
      </w:pPr>
    </w:p>
    <w:bookmarkStart w:id="78" w:name="page79"/>
    <w:bookmarkEnd w:id="78"/>
    <w:p>
      <w:pPr>
        <w:ind w:left="1" w:right="40" w:firstLine="164"/>
        <w:spacing w:after="0" w:line="284" w:lineRule="auto"/>
        <w:tabs>
          <w:tab w:leader="none" w:pos="345" w:val="left"/>
        </w:tabs>
        <w:numPr>
          <w:ilvl w:val="1"/>
          <w:numId w:val="54"/>
        </w:numPr>
        <w:rPr>
          <w:rFonts w:ascii="Arial" w:cs="Arial" w:eastAsia="Arial" w:hAnsi="Arial"/>
          <w:sz w:val="12"/>
          <w:szCs w:val="12"/>
          <w:color w:val="auto"/>
        </w:rPr>
      </w:pPr>
      <w:r>
        <w:rPr>
          <w:rFonts w:ascii="Arial" w:cs="Arial" w:eastAsia="Arial" w:hAnsi="Arial"/>
          <w:sz w:val="12"/>
          <w:szCs w:val="12"/>
          <w:b w:val="1"/>
          <w:bCs w:val="1"/>
          <w:color w:val="auto"/>
        </w:rPr>
        <w:t>Severance Pay in Connection with a Change in Control</w:t>
      </w:r>
      <w:r>
        <w:rPr>
          <w:rFonts w:ascii="Arial" w:cs="Arial" w:eastAsia="Arial" w:hAnsi="Arial"/>
          <w:sz w:val="12"/>
          <w:szCs w:val="12"/>
          <w:color w:val="auto"/>
        </w:rPr>
        <w:t>. If, during the term of this Agreement and within 12 months following a Change in Control, the Company terminates the Executive’s employment with</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for a reason other than Cause or Permanent Disability or the Executive resigns his Employment for Good Reason, then the Company shall pay the Executive a lump sum severance payment equal to</w:t>
      </w:r>
    </w:p>
    <w:p>
      <w:pPr>
        <w:spacing w:after="0" w:line="1" w:lineRule="exact"/>
        <w:rPr>
          <w:rFonts w:ascii="Arial" w:cs="Arial" w:eastAsia="Arial" w:hAnsi="Arial"/>
          <w:sz w:val="12"/>
          <w:szCs w:val="12"/>
          <w:color w:val="auto"/>
        </w:rPr>
      </w:pPr>
    </w:p>
    <w:p>
      <w:pPr>
        <w:ind w:left="1" w:right="160" w:hanging="1"/>
        <w:spacing w:after="0" w:line="257" w:lineRule="auto"/>
        <w:tabs>
          <w:tab w:leader="none" w:pos="158" w:val="left"/>
        </w:tabs>
        <w:numPr>
          <w:ilvl w:val="0"/>
          <w:numId w:val="55"/>
        </w:numPr>
        <w:rPr>
          <w:rFonts w:ascii="Arial" w:cs="Arial" w:eastAsia="Arial" w:hAnsi="Arial"/>
          <w:sz w:val="13"/>
          <w:szCs w:val="13"/>
          <w:color w:val="auto"/>
        </w:rPr>
      </w:pPr>
      <w:r>
        <w:rPr>
          <w:rFonts w:ascii="Arial" w:cs="Arial" w:eastAsia="Arial" w:hAnsi="Arial"/>
          <w:sz w:val="13"/>
          <w:szCs w:val="13"/>
          <w:color w:val="auto"/>
        </w:rPr>
        <w:t>two times his Base Salary in effect at the time of the termination of Employment and (ii) all unpaid sales commissions earned by the Executive as of the time of the termination of Employment.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 The severance payments under this Subsection (c) shall in no event commence prior to the earliest date permitted by Section 409A(a)(2) of the Code. If the commencement of such severance payments must be delayed, as determined by the Company, then the deferred installments shall be paid in a lump sum on the earliest practicable date permitted by Section 409A(a)(2) of the Code.</w:t>
      </w:r>
    </w:p>
    <w:p>
      <w:pPr>
        <w:spacing w:after="0" w:line="58" w:lineRule="exact"/>
        <w:rPr>
          <w:rFonts w:ascii="Arial" w:cs="Arial" w:eastAsia="Arial" w:hAnsi="Arial"/>
          <w:sz w:val="13"/>
          <w:szCs w:val="13"/>
          <w:color w:val="auto"/>
        </w:rPr>
      </w:pPr>
    </w:p>
    <w:p>
      <w:pPr>
        <w:ind w:left="1" w:firstLine="164"/>
        <w:spacing w:after="0" w:line="281" w:lineRule="auto"/>
        <w:tabs>
          <w:tab w:leader="none" w:pos="352" w:val="left"/>
        </w:tabs>
        <w:numPr>
          <w:ilvl w:val="1"/>
          <w:numId w:val="55"/>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Internal Revenue Code of 1986, as amended (the “Code”),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 reduced under the preceding sentences, then the Company will promptly give Executive notice to that effect and a copy of the detailed calculation thereof. Executive may then elect, in his sole discretion, which and how much of the Total Payments are to be eliminated or reduced (as long as after such election no Excise Tax will be payable), and Executive will advise the Company in writing of his election within 10 business days of receipt of notice. If Executive makes no such election within such 10-day period, then the Company may elect which and how much of the Total Payments are to be eliminated or reduced (as long as after such election no Excise Tax will be payable), and it will notify Executive promptly of such election. The fees of the Accounting Firm shall be paid by the Company.</w:t>
      </w:r>
    </w:p>
    <w:p>
      <w:pPr>
        <w:spacing w:after="0" w:line="48" w:lineRule="exact"/>
        <w:rPr>
          <w:rFonts w:ascii="Arial" w:cs="Arial" w:eastAsia="Arial" w:hAnsi="Arial"/>
          <w:sz w:val="12"/>
          <w:szCs w:val="12"/>
          <w:color w:val="auto"/>
        </w:rPr>
      </w:pPr>
    </w:p>
    <w:p>
      <w:pPr>
        <w:ind w:left="341" w:hanging="176"/>
        <w:spacing w:after="0"/>
        <w:tabs>
          <w:tab w:leader="none" w:pos="341" w:val="left"/>
        </w:tabs>
        <w:numPr>
          <w:ilvl w:val="1"/>
          <w:numId w:val="55"/>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601" w:hanging="157"/>
        <w:spacing w:after="0"/>
        <w:tabs>
          <w:tab w:leader="none" w:pos="601" w:val="left"/>
        </w:tabs>
        <w:numPr>
          <w:ilvl w:val="2"/>
          <w:numId w:val="55"/>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641" w:hanging="197"/>
        <w:spacing w:after="0"/>
        <w:tabs>
          <w:tab w:leader="none" w:pos="6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79" w:name="page80"/>
    <w:bookmarkEnd w:id="79"/>
    <w:p>
      <w:pPr>
        <w:ind w:left="620" w:hanging="237"/>
        <w:spacing w:after="0"/>
        <w:tabs>
          <w:tab w:leader="none" w:pos="6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560" w:hanging="177"/>
        <w:spacing w:after="0"/>
        <w:tabs>
          <w:tab w:leader="none" w:pos="5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60" w:right="160" w:firstLine="323"/>
        <w:spacing w:after="0" w:line="279" w:lineRule="auto"/>
        <w:tabs>
          <w:tab w:leader="none" w:pos="649"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260" w:hanging="156"/>
        <w:spacing w:after="0"/>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“Good Reason” exists upon :</w:t>
      </w:r>
    </w:p>
    <w:p>
      <w:pPr>
        <w:spacing w:after="0" w:line="91" w:lineRule="exact"/>
        <w:rPr>
          <w:rFonts w:ascii="Arial" w:cs="Arial" w:eastAsia="Arial" w:hAnsi="Arial"/>
          <w:sz w:val="13"/>
          <w:szCs w:val="13"/>
          <w:color w:val="auto"/>
        </w:rPr>
      </w:pPr>
    </w:p>
    <w:p>
      <w:pPr>
        <w:ind w:left="540" w:hanging="157"/>
        <w:spacing w:after="0"/>
        <w:tabs>
          <w:tab w:leader="none" w:pos="5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87" w:lineRule="exact"/>
        <w:rPr>
          <w:rFonts w:ascii="Arial" w:cs="Arial" w:eastAsia="Arial" w:hAnsi="Arial"/>
          <w:sz w:val="13"/>
          <w:szCs w:val="13"/>
          <w:color w:val="auto"/>
        </w:rPr>
      </w:pPr>
    </w:p>
    <w:p>
      <w:pPr>
        <w:ind w:left="580" w:hanging="197"/>
        <w:spacing w:after="0"/>
        <w:tabs>
          <w:tab w:leader="none" w:pos="58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620" w:hanging="237"/>
        <w:spacing w:after="0"/>
        <w:tabs>
          <w:tab w:leader="none" w:pos="620" w:val="left"/>
        </w:tabs>
        <w:numPr>
          <w:ilvl w:val="1"/>
          <w:numId w:val="57"/>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57"/>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60" w:right="540" w:firstLine="323"/>
        <w:spacing w:after="0" w:line="279" w:lineRule="auto"/>
        <w:tabs>
          <w:tab w:leader="none" w:pos="576" w:val="left"/>
        </w:tabs>
        <w:numPr>
          <w:ilvl w:val="1"/>
          <w:numId w:val="57"/>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3" w:lineRule="exact"/>
        <w:rPr>
          <w:rFonts w:ascii="Arial" w:cs="Arial" w:eastAsia="Arial" w:hAnsi="Arial"/>
          <w:sz w:val="13"/>
          <w:szCs w:val="13"/>
          <w:color w:val="auto"/>
        </w:rPr>
      </w:pPr>
    </w:p>
    <w:p>
      <w:pPr>
        <w:ind w:left="-60" w:firstLine="164"/>
        <w:spacing w:after="0" w:line="286" w:lineRule="auto"/>
        <w:tabs>
          <w:tab w:leader="none" w:pos="291"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 or</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reasonable accommodation, for a period of at least 120 consecutive days because of a physical or mental impairment.</w:t>
      </w:r>
    </w:p>
    <w:p>
      <w:pPr>
        <w:spacing w:after="0" w:line="39" w:lineRule="exact"/>
        <w:rPr>
          <w:sz w:val="20"/>
          <w:szCs w:val="20"/>
          <w:color w:val="auto"/>
        </w:rPr>
      </w:pPr>
    </w:p>
    <w:p>
      <w:pPr>
        <w:ind w:left="240" w:hanging="136"/>
        <w:spacing w:after="0"/>
        <w:tabs>
          <w:tab w:leader="none" w:pos="24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88" w:lineRule="exact"/>
        <w:rPr>
          <w:sz w:val="20"/>
          <w:szCs w:val="20"/>
          <w:color w:val="auto"/>
        </w:rPr>
      </w:pPr>
    </w:p>
    <w:p>
      <w:pPr>
        <w:ind w:left="-60" w:right="180" w:firstLine="164"/>
        <w:spacing w:after="0" w:line="286" w:lineRule="auto"/>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108585</wp:posOffset>
            </wp:positionV>
            <wp:extent cx="728980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40"/>
          </w:cols>
          <w:pgMar w:left="280" w:top="724" w:right="279" w:bottom="1440" w:gutter="0" w:footer="0" w:header="0"/>
        </w:sectPr>
      </w:pPr>
    </w:p>
    <w:bookmarkStart w:id="80" w:name="page81"/>
    <w:bookmarkEnd w:id="80"/>
    <w:p>
      <w:pPr>
        <w:ind w:right="60"/>
        <w:spacing w:after="0" w:line="279" w:lineRule="auto"/>
        <w:rPr>
          <w:sz w:val="20"/>
          <w:szCs w:val="20"/>
          <w:color w:val="auto"/>
        </w:rPr>
      </w:pPr>
      <w:r>
        <w:rPr>
          <w:rFonts w:ascii="Arial" w:cs="Arial" w:eastAsia="Arial" w:hAnsi="Arial"/>
          <w:sz w:val="13"/>
          <w:szCs w:val="13"/>
          <w:color w:val="auto"/>
        </w:rPr>
        <w:t>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w:t>
      </w:r>
    </w:p>
    <w:p>
      <w:pPr>
        <w:spacing w:after="0" w:line="44" w:lineRule="exact"/>
        <w:rPr>
          <w:sz w:val="20"/>
          <w:szCs w:val="20"/>
          <w:color w:val="auto"/>
        </w:rPr>
      </w:pPr>
    </w:p>
    <w:p>
      <w:pPr>
        <w:ind w:firstLine="164"/>
        <w:spacing w:after="0" w:line="286" w:lineRule="auto"/>
        <w:tabs>
          <w:tab w:leader="none" w:pos="351"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 business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right="80" w:firstLine="164"/>
        <w:spacing w:after="0" w:line="260" w:lineRule="auto"/>
        <w:tabs>
          <w:tab w:leader="none" w:pos="344"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right="20" w:firstLine="164"/>
        <w:spacing w:after="0" w:line="261" w:lineRule="auto"/>
        <w:tabs>
          <w:tab w:leader="none" w:pos="351"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81" w:name="page82"/>
    <w:bookmarkEnd w:id="81"/>
    <w:p>
      <w:pPr>
        <w:ind w:left="160" w:right="2240" w:firstLine="4"/>
        <w:spacing w:after="0" w:line="380" w:lineRule="auto"/>
        <w:tabs>
          <w:tab w:leader="none" w:pos="339" w:val="left"/>
        </w:tabs>
        <w:numPr>
          <w:ilvl w:val="0"/>
          <w:numId w:val="61"/>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8. </w:t>
      </w:r>
      <w:r>
        <w:rPr>
          <w:rFonts w:ascii="Arial" w:cs="Arial" w:eastAsia="Arial" w:hAnsi="Arial"/>
          <w:sz w:val="13"/>
          <w:szCs w:val="13"/>
          <w:b w:val="1"/>
          <w:bCs w:val="1"/>
          <w:color w:val="auto"/>
        </w:rPr>
        <w:t>Successors.</w:t>
      </w:r>
    </w:p>
    <w:p>
      <w:pPr>
        <w:spacing w:after="0" w:line="1" w:lineRule="exact"/>
        <w:rPr>
          <w:sz w:val="20"/>
          <w:szCs w:val="20"/>
          <w:color w:val="auto"/>
        </w:rPr>
      </w:pPr>
    </w:p>
    <w:p>
      <w:pPr>
        <w:ind w:right="20" w:firstLine="164"/>
        <w:spacing w:after="0" w:line="375" w:lineRule="auto"/>
        <w:tabs>
          <w:tab w:leader="none" w:pos="344" w:val="left"/>
        </w:tabs>
        <w:numPr>
          <w:ilvl w:val="0"/>
          <w:numId w:val="62"/>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 all</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Company’s business and/or assets. For all purposes under this Agreement, the term “Company” shall include any successor to the Company’s business and/or assets which becomes bound by this Agreement.</w:t>
      </w:r>
    </w:p>
    <w:p>
      <w:pPr>
        <w:ind w:right="20" w:firstLine="164"/>
        <w:spacing w:after="0" w:line="286" w:lineRule="auto"/>
        <w:tabs>
          <w:tab w:leader="none" w:pos="351" w:val="left"/>
        </w:tabs>
        <w:numPr>
          <w:ilvl w:val="0"/>
          <w:numId w:val="62"/>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 administrators,</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successors, heirs, distributees, devisees and legatees.</w:t>
      </w:r>
    </w:p>
    <w:p>
      <w:pPr>
        <w:spacing w:after="0" w:line="39" w:lineRule="exact"/>
        <w:rPr>
          <w:sz w:val="20"/>
          <w:szCs w:val="20"/>
          <w:color w:val="auto"/>
        </w:rPr>
      </w:pPr>
    </w:p>
    <w:p>
      <w:pPr>
        <w:ind w:left="300" w:hanging="136"/>
        <w:spacing w:after="0"/>
        <w:tabs>
          <w:tab w:leader="none" w:pos="300"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8" w:lineRule="exact"/>
        <w:rPr>
          <w:sz w:val="20"/>
          <w:szCs w:val="20"/>
          <w:color w:val="auto"/>
        </w:rPr>
      </w:pPr>
    </w:p>
    <w:p>
      <w:pPr>
        <w:ind w:firstLine="164"/>
        <w:spacing w:after="0" w:line="302" w:lineRule="auto"/>
        <w:tabs>
          <w:tab w:leader="none" w:pos="344"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Notice</w:t>
      </w:r>
      <w:r>
        <w:rPr>
          <w:rFonts w:ascii="Arial" w:cs="Arial" w:eastAsia="Arial" w:hAnsi="Arial"/>
          <w:sz w:val="12"/>
          <w:szCs w:val="12"/>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2"/>
          <w:szCs w:val="12"/>
          <w:b w:val="1"/>
          <w:bCs w:val="1"/>
          <w:color w:val="auto"/>
        </w:rPr>
        <w:t xml:space="preserve"> </w:t>
      </w:r>
      <w:r>
        <w:rPr>
          <w:rFonts w:ascii="Arial" w:cs="Arial" w:eastAsia="Arial" w:hAnsi="Arial"/>
          <w:sz w:val="12"/>
          <w:szCs w:val="12"/>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32" w:lineRule="exact"/>
        <w:rPr>
          <w:rFonts w:ascii="Arial" w:cs="Arial" w:eastAsia="Arial" w:hAnsi="Arial"/>
          <w:sz w:val="12"/>
          <w:szCs w:val="12"/>
          <w:color w:val="auto"/>
        </w:rPr>
      </w:pPr>
    </w:p>
    <w:p>
      <w:pPr>
        <w:ind w:right="100" w:firstLine="164"/>
        <w:spacing w:after="0" w:line="269" w:lineRule="auto"/>
        <w:tabs>
          <w:tab w:leader="none" w:pos="35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 an</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jc w:val="both"/>
        <w:ind w:right="40" w:firstLine="164"/>
        <w:spacing w:after="0" w:line="269" w:lineRule="auto"/>
        <w:tabs>
          <w:tab w:leader="none" w:pos="344"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 entered</w:t>
      </w:r>
      <w:r>
        <w:rPr>
          <w:rFonts w:ascii="Arial" w:cs="Arial" w:eastAsia="Arial" w:hAnsi="Arial"/>
          <w:sz w:val="13"/>
          <w:szCs w:val="13"/>
          <w:b w:val="1"/>
          <w:bCs w:val="1"/>
          <w:color w:val="auto"/>
        </w:rPr>
        <w:t xml:space="preserve"> </w:t>
      </w:r>
      <w:r>
        <w:rPr>
          <w:rFonts w:ascii="Arial" w:cs="Arial" w:eastAsia="Arial" w:hAnsi="Arial"/>
          <w:sz w:val="13"/>
          <w:szCs w:val="13"/>
          <w:color w:val="auto"/>
        </w:rPr>
        <w:t>into by either party with respect to the subject matter hereof. This Agreement and the Proprietary Information and Inventions Agreement contain the entire understanding of the parties with respect to the subject matter hereof.</w:t>
      </w:r>
    </w:p>
    <w:p>
      <w:pPr>
        <w:spacing w:after="0" w:line="51" w:lineRule="exact"/>
        <w:rPr>
          <w:rFonts w:ascii="Arial" w:cs="Arial" w:eastAsia="Arial" w:hAnsi="Arial"/>
          <w:sz w:val="13"/>
          <w:szCs w:val="13"/>
          <w:color w:val="auto"/>
        </w:rPr>
      </w:pPr>
    </w:p>
    <w:p>
      <w:pPr>
        <w:ind w:right="260" w:firstLine="164"/>
        <w:spacing w:after="0" w:line="375" w:lineRule="auto"/>
        <w:tabs>
          <w:tab w:leader="none" w:pos="351" w:val="left"/>
        </w:tabs>
        <w:numPr>
          <w:ilvl w:val="0"/>
          <w:numId w:val="64"/>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left="340" w:hanging="176"/>
        <w:spacing w:after="0"/>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2" w:name="page83"/>
    <w:bookmarkEnd w:id="82"/>
    <w:p>
      <w:pPr>
        <w:ind w:right="60"/>
        <w:spacing w:after="0" w:line="260" w:lineRule="auto"/>
        <w:rPr>
          <w:sz w:val="20"/>
          <w:szCs w:val="20"/>
          <w:color w:val="auto"/>
        </w:rPr>
      </w:pPr>
      <w:r>
        <w:rPr>
          <w:rFonts w:ascii="Arial" w:cs="Arial" w:eastAsia="Arial" w:hAnsi="Arial"/>
          <w:sz w:val="13"/>
          <w:szCs w:val="13"/>
          <w:color w:val="auto"/>
        </w:rPr>
        <w:t>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6" w:lineRule="exact"/>
        <w:rPr>
          <w:sz w:val="20"/>
          <w:szCs w:val="20"/>
          <w:color w:val="auto"/>
        </w:rPr>
      </w:pPr>
    </w:p>
    <w:p>
      <w:pPr>
        <w:ind w:firstLine="164"/>
        <w:spacing w:after="0" w:line="375" w:lineRule="auto"/>
        <w:tabs>
          <w:tab w:leader="none" w:pos="329" w:val="left"/>
        </w:tabs>
        <w:numPr>
          <w:ilvl w:val="0"/>
          <w:numId w:val="65"/>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 may</w:t>
      </w:r>
      <w:r>
        <w:rPr>
          <w:rFonts w:ascii="Arial" w:cs="Arial" w:eastAsia="Arial" w:hAnsi="Arial"/>
          <w:sz w:val="11"/>
          <w:szCs w:val="11"/>
          <w:b w:val="1"/>
          <w:bCs w:val="1"/>
          <w:color w:val="auto"/>
        </w:rPr>
        <w:t xml:space="preserve"> </w:t>
      </w:r>
      <w:r>
        <w:rPr>
          <w:rFonts w:ascii="Arial" w:cs="Arial" w:eastAsia="Arial" w:hAnsi="Arial"/>
          <w:sz w:val="11"/>
          <w:szCs w:val="11"/>
          <w:color w:val="auto"/>
        </w:rPr>
        <w:t>assign its rights under this Agreement to any entity that assumes the Company’s obligations hereunder in connection with any sale or transfer of all or a substantial portion of the Company’s assets to such entity.</w:t>
      </w:r>
    </w:p>
    <w:p>
      <w:pPr>
        <w:ind w:left="360" w:hanging="196"/>
        <w:spacing w:after="0"/>
        <w:tabs>
          <w:tab w:leader="none" w:pos="360"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/s/ Chris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552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55240" cy="635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HRIS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UTNAM</w:t>
      </w:r>
    </w:p>
    <w:p>
      <w:pPr>
        <w:spacing w:after="0" w:line="270"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98" w:lineRule="exact"/>
        <w:rPr>
          <w:sz w:val="20"/>
          <w:szCs w:val="20"/>
          <w:color w:val="auto"/>
        </w:rPr>
      </w:pPr>
    </w:p>
    <w:p>
      <w:pPr>
        <w:ind w:left="6120"/>
        <w:spacing w:after="0"/>
        <w:tabs>
          <w:tab w:leader="none" w:pos="65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10795</wp:posOffset>
            </wp:positionV>
            <wp:extent cx="230441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04415" cy="6350"/>
                    </a:xfrm>
                    <a:prstGeom prst="rect">
                      <a:avLst/>
                    </a:prstGeom>
                    <a:noFill/>
                  </pic:spPr>
                </pic:pic>
              </a:graphicData>
            </a:graphic>
          </wp:anchor>
        </w:drawing>
      </w:r>
    </w:p>
    <w:p>
      <w:pPr>
        <w:spacing w:after="0" w:line="8" w:lineRule="exact"/>
        <w:rPr>
          <w:sz w:val="20"/>
          <w:szCs w:val="20"/>
          <w:color w:val="auto"/>
        </w:rPr>
      </w:pPr>
    </w:p>
    <w:p>
      <w:pPr>
        <w:ind w:left="6120"/>
        <w:spacing w:after="0"/>
        <w:tabs>
          <w:tab w:leader="none" w:pos="65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Chief Executive Officer and President</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60"/>
          </w:cols>
          <w:pgMar w:left="220" w:top="724"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10.16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MPLOYMENT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October 5, 2006, by and between Omar Tellez (the “Executive”) and Synchronoss Technologies, Inc., a Delaware corporation (the “Company”).</w:t>
      </w:r>
    </w:p>
    <w:p>
      <w:pPr>
        <w:spacing w:after="0" w:line="84" w:lineRule="exact"/>
        <w:rPr>
          <w:sz w:val="20"/>
          <w:szCs w:val="20"/>
          <w:color w:val="auto"/>
        </w:rPr>
      </w:pPr>
    </w:p>
    <w:p>
      <w:pPr>
        <w:ind w:left="300" w:hanging="136"/>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8" w:lineRule="exact"/>
        <w:rPr>
          <w:sz w:val="20"/>
          <w:szCs w:val="20"/>
          <w:color w:val="auto"/>
        </w:rPr>
      </w:pPr>
    </w:p>
    <w:p>
      <w:pPr>
        <w:ind w:right="360" w:firstLine="164"/>
        <w:spacing w:after="0" w:line="286" w:lineRule="auto"/>
        <w:tabs>
          <w:tab w:leader="none" w:pos="344"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of Product Management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Service Delivery. The Executive shall report to the Company’s Chief Executive Officer.</w:t>
      </w:r>
    </w:p>
    <w:p>
      <w:pPr>
        <w:spacing w:after="0" w:line="39" w:lineRule="exact"/>
        <w:rPr>
          <w:rFonts w:ascii="Arial" w:cs="Arial" w:eastAsia="Arial" w:hAnsi="Arial"/>
          <w:sz w:val="13"/>
          <w:szCs w:val="13"/>
          <w:color w:val="auto"/>
        </w:rPr>
      </w:pPr>
    </w:p>
    <w:p>
      <w:pPr>
        <w:ind w:left="360" w:hanging="196"/>
        <w:spacing w:after="0"/>
        <w:tabs>
          <w:tab w:leader="none" w:pos="360"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Obligations to the Company</w:t>
      </w:r>
      <w:r>
        <w:rPr>
          <w:rFonts w:ascii="Arial" w:cs="Arial" w:eastAsia="Arial" w:hAnsi="Arial"/>
          <w:sz w:val="12"/>
          <w:szCs w:val="12"/>
          <w:color w:val="auto"/>
        </w:rPr>
        <w:t>. During his Employment, the Executive (i) shall devote his full business efforts and time to the Company, (ii) shall not engage in any other employment, consulting or other</w:t>
      </w:r>
    </w:p>
    <w:p>
      <w:pPr>
        <w:spacing w:after="0" w:line="31" w:lineRule="exact"/>
        <w:rPr>
          <w:rFonts w:ascii="Arial" w:cs="Arial" w:eastAsia="Arial" w:hAnsi="Arial"/>
          <w:sz w:val="12"/>
          <w:szCs w:val="12"/>
          <w:color w:val="auto"/>
        </w:rPr>
      </w:pPr>
    </w:p>
    <w:p>
      <w:pPr>
        <w:ind w:right="80"/>
        <w:spacing w:after="0" w:line="267" w:lineRule="auto"/>
        <w:rPr>
          <w:rFonts w:ascii="Arial" w:cs="Arial" w:eastAsia="Arial" w:hAnsi="Arial"/>
          <w:sz w:val="12"/>
          <w:szCs w:val="12"/>
          <w:color w:val="auto"/>
        </w:rPr>
      </w:pP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2"/>
          <w:szCs w:val="12"/>
          <w:color w:val="auto"/>
        </w:rPr>
      </w:pPr>
    </w:p>
    <w:p>
      <w:pPr>
        <w:ind w:right="40" w:firstLine="164"/>
        <w:spacing w:after="0" w:line="264" w:lineRule="auto"/>
        <w:tabs>
          <w:tab w:leader="none" w:pos="344"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right="340" w:firstLine="164"/>
        <w:spacing w:after="0" w:line="286" w:lineRule="auto"/>
        <w:tabs>
          <w:tab w:leader="none" w:pos="351"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July 3, 2006 (the “Commencement</w:t>
      </w:r>
      <w:r>
        <w:rPr>
          <w:rFonts w:ascii="Arial" w:cs="Arial" w:eastAsia="Arial" w:hAnsi="Arial"/>
          <w:sz w:val="13"/>
          <w:szCs w:val="13"/>
          <w:b w:val="1"/>
          <w:bCs w:val="1"/>
          <w:color w:val="auto"/>
        </w:rPr>
        <w:t xml:space="preserve"> </w:t>
      </w:r>
      <w:r>
        <w:rPr>
          <w:rFonts w:ascii="Arial" w:cs="Arial" w:eastAsia="Arial" w:hAnsi="Arial"/>
          <w:sz w:val="13"/>
          <w:szCs w:val="13"/>
          <w:color w:val="auto"/>
        </w:rPr>
        <w:t>Date”).</w:t>
      </w:r>
    </w:p>
    <w:p>
      <w:pPr>
        <w:spacing w:after="0" w:line="39" w:lineRule="exact"/>
        <w:rPr>
          <w:sz w:val="20"/>
          <w:szCs w:val="20"/>
          <w:color w:val="auto"/>
        </w:rPr>
      </w:pPr>
    </w:p>
    <w:p>
      <w:pPr>
        <w:ind w:left="300" w:hanging="136"/>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Cash and Incentive Compensation.</w:t>
      </w:r>
    </w:p>
    <w:p>
      <w:pPr>
        <w:spacing w:after="0" w:line="88" w:lineRule="exact"/>
        <w:rPr>
          <w:sz w:val="20"/>
          <w:szCs w:val="20"/>
          <w:color w:val="auto"/>
        </w:rPr>
      </w:pPr>
    </w:p>
    <w:p>
      <w:pPr>
        <w:ind w:right="300" w:firstLine="164"/>
        <w:spacing w:after="0" w:line="269" w:lineRule="auto"/>
        <w:tabs>
          <w:tab w:leader="none" w:pos="344"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Salary</w:t>
      </w:r>
      <w:r>
        <w:rPr>
          <w:rFonts w:ascii="Arial" w:cs="Arial" w:eastAsia="Arial" w:hAnsi="Arial"/>
          <w:sz w:val="13"/>
          <w:szCs w:val="13"/>
          <w:color w:val="auto"/>
        </w:rPr>
        <w:t>. The Company shall pay the Executive as compensation for his services a base salary at a gross annual rate of not less than $200,000.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color w:val="auto"/>
        </w:rPr>
      </w:pPr>
    </w:p>
    <w:p>
      <w:pPr>
        <w:ind w:right="400" w:firstLine="164"/>
        <w:spacing w:after="0" w:line="286" w:lineRule="auto"/>
        <w:tabs>
          <w:tab w:leader="none" w:pos="351"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Incentive Bonuses</w:t>
      </w:r>
      <w:r>
        <w:rPr>
          <w:rFonts w:ascii="Arial" w:cs="Arial" w:eastAsia="Arial" w:hAnsi="Arial"/>
          <w:sz w:val="13"/>
          <w:szCs w:val="13"/>
          <w:color w:val="auto"/>
        </w:rPr>
        <w:t>. The Executive shall be eligible for an annual incentive bonus with a target amount equal to 100% of his Base Salary. The Executive’s bonus (if any) shall be awarded based on criteria</w:t>
      </w:r>
      <w:r>
        <w:rPr>
          <w:rFonts w:ascii="Arial" w:cs="Arial" w:eastAsia="Arial" w:hAnsi="Arial"/>
          <w:sz w:val="13"/>
          <w:szCs w:val="13"/>
          <w:b w:val="1"/>
          <w:bCs w:val="1"/>
          <w:color w:val="auto"/>
        </w:rPr>
        <w:t xml:space="preserve"> </w:t>
      </w:r>
      <w:r>
        <w:rPr>
          <w:rFonts w:ascii="Arial" w:cs="Arial" w:eastAsia="Arial" w:hAnsi="Arial"/>
          <w:sz w:val="13"/>
          <w:szCs w:val="13"/>
          <w:color w:val="auto"/>
        </w:rPr>
        <w:t>established in advance by the Company’s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8980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4" w:name="page85"/>
    <w:bookmarkEnd w:id="84"/>
    <w:p>
      <w:pPr>
        <w:ind w:right="20"/>
        <w:spacing w:after="0" w:line="279" w:lineRule="auto"/>
        <w:rPr>
          <w:sz w:val="20"/>
          <w:szCs w:val="20"/>
          <w:color w:val="auto"/>
        </w:rPr>
      </w:pPr>
      <w:r>
        <w:rPr>
          <w:rFonts w:ascii="Arial" w:cs="Arial" w:eastAsia="Arial" w:hAnsi="Arial"/>
          <w:sz w:val="13"/>
          <w:szCs w:val="13"/>
          <w:color w:val="auto"/>
        </w:rPr>
        <w:t>Directors (the “Board”) or its Compensation Committee. The determinations of the Board or its Compensation Committee with respect to such bonus shall be final and binding. The Executive shall not be entitled to an incentive bonus if he is not employed by the Company on the last day of the fiscal year for which such bonus is payable.</w:t>
      </w:r>
    </w:p>
    <w:p>
      <w:pPr>
        <w:spacing w:after="0" w:line="44" w:lineRule="exact"/>
        <w:rPr>
          <w:sz w:val="20"/>
          <w:szCs w:val="20"/>
          <w:color w:val="auto"/>
        </w:rPr>
      </w:pPr>
    </w:p>
    <w:p>
      <w:pPr>
        <w:ind w:right="80" w:firstLine="164"/>
        <w:spacing w:after="0" w:line="269" w:lineRule="auto"/>
        <w:tabs>
          <w:tab w:leader="none" w:pos="296"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15 vacation days per year. During his 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51" w:lineRule="exact"/>
        <w:rPr>
          <w:rFonts w:ascii="Arial" w:cs="Arial" w:eastAsia="Arial" w:hAnsi="Arial"/>
          <w:sz w:val="13"/>
          <w:szCs w:val="13"/>
          <w:color w:val="auto"/>
        </w:rPr>
      </w:pPr>
    </w:p>
    <w:p>
      <w:pPr>
        <w:ind w:right="160" w:firstLine="164"/>
        <w:spacing w:after="0" w:line="375" w:lineRule="auto"/>
        <w:tabs>
          <w:tab w:leader="none" w:pos="296" w:val="left"/>
        </w:tabs>
        <w:numPr>
          <w:ilvl w:val="0"/>
          <w:numId w:val="70"/>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300" w:hanging="136"/>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8" w:lineRule="exact"/>
        <w:rPr>
          <w:sz w:val="20"/>
          <w:szCs w:val="20"/>
          <w:color w:val="auto"/>
        </w:rPr>
      </w:pPr>
    </w:p>
    <w:p>
      <w:pPr>
        <w:ind w:right="80" w:firstLine="164"/>
        <w:spacing w:after="0" w:line="264" w:lineRule="auto"/>
        <w:tabs>
          <w:tab w:leader="none" w:pos="344"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Commencement Date and ending upon the earlier of (i) three (3) years from such date, and (ii) the date Executive’s Employment is terminated in accordance with Subsection 5(b). This Agreement will automatically renew for annual one- year periods </w:t>
      </w:r>
      <w:r>
        <w:rPr>
          <w:rFonts w:ascii="Arial" w:cs="Arial" w:eastAsia="Arial" w:hAnsi="Arial"/>
          <w:sz w:val="13"/>
          <w:szCs w:val="13"/>
          <w:u w:val="single" w:color="auto"/>
          <w:color w:val="auto"/>
        </w:rPr>
        <w:t>unless</w:t>
      </w:r>
      <w:r>
        <w:rPr>
          <w:rFonts w:ascii="Arial" w:cs="Arial" w:eastAsia="Arial" w:hAnsi="Arial"/>
          <w:sz w:val="13"/>
          <w:szCs w:val="13"/>
          <w:color w:val="auto"/>
        </w:rPr>
        <w:t xml:space="preserve"> either party gives to the other written notice on or before May 1, 2009 or May 1 of each succeeding year, of such party’s intent to modify, amend or terminate this Agreement according to the terms hereof.</w:t>
      </w:r>
    </w:p>
    <w:p>
      <w:pPr>
        <w:spacing w:after="0" w:line="54" w:lineRule="exact"/>
        <w:rPr>
          <w:rFonts w:ascii="Arial" w:cs="Arial" w:eastAsia="Arial" w:hAnsi="Arial"/>
          <w:sz w:val="13"/>
          <w:szCs w:val="13"/>
          <w:color w:val="auto"/>
        </w:rPr>
      </w:pPr>
    </w:p>
    <w:p>
      <w:pPr>
        <w:ind w:firstLine="164"/>
        <w:spacing w:after="0" w:line="269" w:lineRule="auto"/>
        <w:tabs>
          <w:tab w:leader="none" w:pos="351"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Termination of Employment</w:t>
      </w:r>
      <w:r>
        <w:rPr>
          <w:rFonts w:ascii="Arial" w:cs="Arial" w:eastAsia="Arial" w:hAnsi="Arial"/>
          <w:sz w:val="13"/>
          <w:szCs w:val="13"/>
          <w:color w:val="auto"/>
        </w:rPr>
        <w:t>. The Company may terminate the Executive’s Employment at any time and for any reason (or no reason), and with or without Cause (as defined below), by giving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30 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firstLine="164"/>
        <w:spacing w:after="0" w:line="261" w:lineRule="auto"/>
        <w:tabs>
          <w:tab w:leader="none" w:pos="344"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85" w:name="page86"/>
    <w:bookmarkEnd w:id="85"/>
    <w:p>
      <w:pPr>
        <w:ind w:firstLine="164"/>
        <w:spacing w:after="0" w:line="316" w:lineRule="auto"/>
        <w:tabs>
          <w:tab w:leader="none" w:pos="351" w:val="left"/>
        </w:tabs>
        <w:numPr>
          <w:ilvl w:val="0"/>
          <w:numId w:val="72"/>
        </w:numPr>
        <w:rPr>
          <w:rFonts w:ascii="Arial" w:cs="Arial" w:eastAsia="Arial" w:hAnsi="Arial"/>
          <w:sz w:val="11"/>
          <w:szCs w:val="11"/>
          <w:color w:val="auto"/>
        </w:rPr>
      </w:pPr>
      <w:r>
        <w:rPr>
          <w:rFonts w:ascii="Arial" w:cs="Arial" w:eastAsia="Arial" w:hAnsi="Arial"/>
          <w:sz w:val="11"/>
          <w:szCs w:val="11"/>
          <w:b w:val="1"/>
          <w:bCs w:val="1"/>
          <w:color w:val="auto"/>
        </w:rPr>
        <w:t>Rights Upon Death or Disability</w:t>
      </w:r>
      <w:r>
        <w:rPr>
          <w:rFonts w:ascii="Arial" w:cs="Arial" w:eastAsia="Arial" w:hAnsi="Arial"/>
          <w:sz w:val="11"/>
          <w:szCs w:val="11"/>
          <w:color w:val="auto"/>
        </w:rPr>
        <w:t>. If Executive’s Employment ends due to death, Executive’s estate shall be entitled to receive an amount equal to his target bonus for the fiscal year in which his death occurred,</w:t>
      </w:r>
      <w:r>
        <w:rPr>
          <w:rFonts w:ascii="Arial" w:cs="Arial" w:eastAsia="Arial" w:hAnsi="Arial"/>
          <w:sz w:val="11"/>
          <w:szCs w:val="11"/>
          <w:b w:val="1"/>
          <w:bCs w:val="1"/>
          <w:color w:val="auto"/>
        </w:rPr>
        <w:t xml:space="preserve"> </w:t>
      </w:r>
      <w:r>
        <w:rPr>
          <w:rFonts w:ascii="Arial" w:cs="Arial" w:eastAsia="Arial" w:hAnsi="Arial"/>
          <w:sz w:val="11"/>
          <w:szCs w:val="11"/>
          <w:color w:val="auto"/>
        </w:rPr>
        <w:t>prorated based on the number of days he was employed by the Company during that fiscal year. If Executive’s Employment ends due to Permanent Disability (as such term is defined below), Executive shall be entitled to receive an amount equal to his target bonus for the fiscal year in which his employment ended, prorated based on the number of days he was employed by the Company during that fiscal year, and the Consolidated Omnibus Budget Reconciliation Act (“COBRA”) benefits described in the next sentence. If Executive or his personal representative elects to continue health insurance coverage under COBRA for Executive and his dependents following the termination of his employment,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29" w:lineRule="exact"/>
        <w:rPr>
          <w:sz w:val="20"/>
          <w:szCs w:val="20"/>
          <w:color w:val="auto"/>
        </w:rPr>
      </w:pPr>
    </w:p>
    <w:p>
      <w:pPr>
        <w:ind w:left="300" w:hanging="136"/>
        <w:spacing w:after="0"/>
        <w:tabs>
          <w:tab w:leader="none" w:pos="300" w:val="left"/>
        </w:tabs>
        <w:numPr>
          <w:ilvl w:val="0"/>
          <w:numId w:val="73"/>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8" w:lineRule="exact"/>
        <w:rPr>
          <w:sz w:val="20"/>
          <w:szCs w:val="20"/>
          <w:color w:val="auto"/>
        </w:rPr>
      </w:pPr>
    </w:p>
    <w:p>
      <w:pPr>
        <w:ind w:left="340" w:hanging="176"/>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600" w:hanging="157"/>
        <w:spacing w:after="0"/>
        <w:tabs>
          <w:tab w:leader="none" w:pos="600" w:val="left"/>
        </w:tabs>
        <w:numPr>
          <w:ilvl w:val="1"/>
          <w:numId w:val="74"/>
        </w:numPr>
        <w:rPr>
          <w:rFonts w:ascii="Arial" w:cs="Arial" w:eastAsia="Arial" w:hAnsi="Arial"/>
          <w:sz w:val="13"/>
          <w:szCs w:val="13"/>
          <w:color w:val="auto"/>
        </w:rPr>
      </w:pPr>
      <w:r>
        <w:rPr>
          <w:rFonts w:ascii="Arial" w:cs="Arial" w:eastAsia="Arial" w:hAnsi="Arial"/>
          <w:sz w:val="13"/>
          <w:szCs w:val="13"/>
          <w:color w:val="auto"/>
        </w:rPr>
        <w:t>Has executed a general release of all claims (in a form prescribed by the Company);</w:t>
      </w:r>
    </w:p>
    <w:p>
      <w:pPr>
        <w:spacing w:after="0" w:line="87" w:lineRule="exact"/>
        <w:rPr>
          <w:rFonts w:ascii="Arial" w:cs="Arial" w:eastAsia="Arial" w:hAnsi="Arial"/>
          <w:sz w:val="13"/>
          <w:szCs w:val="13"/>
          <w:color w:val="auto"/>
        </w:rPr>
      </w:pPr>
    </w:p>
    <w:p>
      <w:pPr>
        <w:ind w:left="640" w:hanging="197"/>
        <w:spacing w:after="0"/>
        <w:tabs>
          <w:tab w:leader="none" w:pos="6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680" w:hanging="237"/>
        <w:spacing w:after="0"/>
        <w:tabs>
          <w:tab w:leader="none" w:pos="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w:t>
      </w:r>
    </w:p>
    <w:p>
      <w:pPr>
        <w:spacing w:after="0" w:line="83" w:lineRule="exact"/>
        <w:rPr>
          <w:rFonts w:ascii="Arial" w:cs="Arial" w:eastAsia="Arial" w:hAnsi="Arial"/>
          <w:sz w:val="13"/>
          <w:szCs w:val="13"/>
          <w:color w:val="auto"/>
        </w:rPr>
      </w:pPr>
    </w:p>
    <w:p>
      <w:pPr>
        <w:ind w:firstLine="164"/>
        <w:spacing w:after="0" w:line="281" w:lineRule="auto"/>
        <w:tabs>
          <w:tab w:leader="none" w:pos="351"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Severance Pay in the Absence of a Change in Control</w:t>
      </w:r>
      <w:r>
        <w:rPr>
          <w:rFonts w:ascii="Arial" w:cs="Arial" w:eastAsia="Arial" w:hAnsi="Arial"/>
          <w:sz w:val="12"/>
          <w:szCs w:val="12"/>
          <w:color w:val="auto"/>
        </w:rPr>
        <w:t>. If, during the term of this Agreement and prior to the occurrence of a Change in Control or more than 12 months following a Change in Control,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terminates the Executive’s employment with the Company for a reason other than Cause or Permanent Disability (as such terms are defined below), then the Company shall pay the Executive a lump sum severance payment equal to one and one-half times (i) his Base Salary in effect at the time of the termination of Employment and (ii) his average bonus received in the immediately preceding two years. If, during the term of this Agreement and prior to the occurrence of a Change in Control or more than 12 months following a Change in Control, Executive resigns his Employment for Good Reason (as such term is defined below), then the Company shall pay the Executive a lump sum severance payment equal to one times (i) his Base Salary in effect at the time of the termination of Employment and (ii) his average bonus received in the immediately preceding two years.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 The severance payments under this Subsection (b) shall in no event commence prior to the earliest date permitted by Section 409A(a)(2) of the Internal Revenue Code of 1986, as amended (the “Code”). If the commencement of such severance payments must be delayed, as determined by the Company, then the deferred installments shall be paid in a lump sum on the earliest practicable date permitted by Section 409A(a)(2)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auto"/>
        </w:rPr>
        <w:t>Code.</w:t>
      </w:r>
    </w:p>
    <w:p>
      <w:pPr>
        <w:spacing w:after="0" w:line="84" w:lineRule="exact"/>
        <w:rPr>
          <w:sz w:val="20"/>
          <w:szCs w:val="20"/>
          <w:color w:val="auto"/>
        </w:rPr>
      </w:pPr>
    </w:p>
    <w:p>
      <w:pPr>
        <w:ind w:right="40" w:firstLine="164"/>
        <w:spacing w:after="0" w:line="259" w:lineRule="auto"/>
        <w:tabs>
          <w:tab w:leader="none" w:pos="344"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Severance Pay in Connection with a Change in Control</w:t>
      </w:r>
      <w:r>
        <w:rPr>
          <w:rFonts w:ascii="Arial" w:cs="Arial" w:eastAsia="Arial" w:hAnsi="Arial"/>
          <w:sz w:val="13"/>
          <w:szCs w:val="13"/>
          <w:color w:val="auto"/>
        </w:rPr>
        <w:t>. If, during the term of this Agreement and within 12 months following a Change in Control, the Company terminates the Executive’s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for a reason other than Cause or Permanent Disability or the Executive resigns his Employment for Good Reason, then the Company shall pay the Executive a lump sum severance payment equal to two times his Base Salary in effect at the time of the termination of Employment plus two times the Executive’s average bonus received in the immediately preceding two years.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 The severance payments under this Subsection (c) shall in no event commence prior to the earliest date permitted by Section 409A(a)(2) of the Code. If the commencement of such severance payments must be delayed, as determined by the Company, then the deferred installments shall be paid in a lump sum on the earliest practicable date permitted by Section 409A(a)(2) of the Code.</w:t>
      </w:r>
    </w:p>
    <w:p>
      <w:pPr>
        <w:spacing w:after="0" w:line="57" w:lineRule="exact"/>
        <w:rPr>
          <w:rFonts w:ascii="Arial" w:cs="Arial" w:eastAsia="Arial" w:hAnsi="Arial"/>
          <w:sz w:val="13"/>
          <w:szCs w:val="13"/>
          <w:color w:val="auto"/>
        </w:rPr>
      </w:pPr>
    </w:p>
    <w:p>
      <w:pPr>
        <w:ind w:firstLine="164"/>
        <w:spacing w:after="0" w:line="281" w:lineRule="auto"/>
        <w:tabs>
          <w:tab w:leader="none" w:pos="351" w:val="left"/>
        </w:tabs>
        <w:numPr>
          <w:ilvl w:val="0"/>
          <w:numId w:val="75"/>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Internal Revenue Code of 1986, as amended (the “Code”),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 reduced under the preceding sentences, then the Company will promptly give Executive notice to that effect and a copy of the detailed calculation thereof. Executive may then elect, in his sole discretion, which and how much of the Total Payments are to be eliminated or reduced (as long as after such election no Excise Tax will be payable), and Executive will advise the Company in writing of his election within 10 business days of receipt of notice. If Executive makes no such election within such 10-day period, then the Company may elect which and how much of the Total Payments are to be eliminated or reduced (as long as after such election no Excise Tax will be payable), and it will notify Executive promptly of such election. The fees of the Accounting Firm shall be paid by the Company.</w:t>
      </w:r>
    </w:p>
    <w:p>
      <w:pPr>
        <w:spacing w:after="0" w:line="48" w:lineRule="exact"/>
        <w:rPr>
          <w:rFonts w:ascii="Arial" w:cs="Arial" w:eastAsia="Arial" w:hAnsi="Arial"/>
          <w:sz w:val="12"/>
          <w:szCs w:val="12"/>
          <w:color w:val="auto"/>
        </w:rPr>
      </w:pPr>
    </w:p>
    <w:p>
      <w:pPr>
        <w:ind w:left="340" w:hanging="176"/>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600" w:hanging="157"/>
        <w:spacing w:after="0"/>
        <w:tabs>
          <w:tab w:leader="none" w:pos="6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640" w:hanging="197"/>
        <w:spacing w:after="0"/>
        <w:tabs>
          <w:tab w:leader="none" w:pos="64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87" w:name="page88"/>
    <w:bookmarkEnd w:id="87"/>
    <w:p>
      <w:pPr>
        <w:ind w:left="620" w:hanging="237"/>
        <w:spacing w:after="0"/>
        <w:tabs>
          <w:tab w:leader="none" w:pos="62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560" w:hanging="177"/>
        <w:spacing w:after="0"/>
        <w:tabs>
          <w:tab w:leader="none" w:pos="56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60" w:right="160" w:firstLine="323"/>
        <w:spacing w:after="0" w:line="279" w:lineRule="auto"/>
        <w:tabs>
          <w:tab w:leader="none" w:pos="649" w:val="left"/>
        </w:tabs>
        <w:numPr>
          <w:ilvl w:val="1"/>
          <w:numId w:val="76"/>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260" w:hanging="156"/>
        <w:spacing w:after="0"/>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“Good Reason” exists upon:</w:t>
      </w:r>
    </w:p>
    <w:p>
      <w:pPr>
        <w:spacing w:after="0" w:line="91" w:lineRule="exact"/>
        <w:rPr>
          <w:rFonts w:ascii="Arial" w:cs="Arial" w:eastAsia="Arial" w:hAnsi="Arial"/>
          <w:sz w:val="13"/>
          <w:szCs w:val="13"/>
          <w:color w:val="auto"/>
        </w:rPr>
      </w:pPr>
    </w:p>
    <w:p>
      <w:pPr>
        <w:ind w:left="540" w:hanging="157"/>
        <w:spacing w:after="0"/>
        <w:tabs>
          <w:tab w:leader="none" w:pos="54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87" w:lineRule="exact"/>
        <w:rPr>
          <w:rFonts w:ascii="Arial" w:cs="Arial" w:eastAsia="Arial" w:hAnsi="Arial"/>
          <w:sz w:val="13"/>
          <w:szCs w:val="13"/>
          <w:color w:val="auto"/>
        </w:rPr>
      </w:pPr>
    </w:p>
    <w:p>
      <w:pPr>
        <w:ind w:left="580" w:hanging="197"/>
        <w:spacing w:after="0"/>
        <w:tabs>
          <w:tab w:leader="none" w:pos="5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620" w:hanging="237"/>
        <w:spacing w:after="0"/>
        <w:tabs>
          <w:tab w:leader="none" w:pos="620" w:val="left"/>
        </w:tabs>
        <w:numPr>
          <w:ilvl w:val="1"/>
          <w:numId w:val="77"/>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600" w:hanging="217"/>
        <w:spacing w:after="0"/>
        <w:tabs>
          <w:tab w:leader="none" w:pos="60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60" w:right="540" w:firstLine="323"/>
        <w:spacing w:after="0" w:line="279" w:lineRule="auto"/>
        <w:tabs>
          <w:tab w:leader="none" w:pos="576"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3" w:lineRule="exact"/>
        <w:rPr>
          <w:rFonts w:ascii="Arial" w:cs="Arial" w:eastAsia="Arial" w:hAnsi="Arial"/>
          <w:sz w:val="13"/>
          <w:szCs w:val="13"/>
          <w:color w:val="auto"/>
        </w:rPr>
      </w:pPr>
    </w:p>
    <w:p>
      <w:pPr>
        <w:ind w:left="-60" w:firstLine="164"/>
        <w:spacing w:after="0" w:line="286" w:lineRule="auto"/>
        <w:tabs>
          <w:tab w:leader="none" w:pos="291"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 or</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reasonable accommodation, for a period of at least 120 consecutive days because of a physical or mental impairment.</w:t>
      </w:r>
    </w:p>
    <w:p>
      <w:pPr>
        <w:spacing w:after="0" w:line="39" w:lineRule="exact"/>
        <w:rPr>
          <w:sz w:val="20"/>
          <w:szCs w:val="20"/>
          <w:color w:val="auto"/>
        </w:rPr>
      </w:pPr>
    </w:p>
    <w:p>
      <w:pPr>
        <w:ind w:left="240" w:hanging="136"/>
        <w:spacing w:after="0"/>
        <w:tabs>
          <w:tab w:leader="none" w:pos="240"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108585</wp:posOffset>
            </wp:positionV>
            <wp:extent cx="728980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40"/>
          </w:cols>
          <w:pgMar w:left="280" w:top="724" w:right="279" w:bottom="1440" w:gutter="0" w:footer="0" w:header="0"/>
        </w:sectPr>
      </w:pPr>
    </w:p>
    <w:bookmarkStart w:id="88" w:name="page89"/>
    <w:bookmarkEnd w:id="88"/>
    <w:p>
      <w:pPr>
        <w:ind w:left="-20" w:right="240" w:firstLine="164"/>
        <w:spacing w:after="0" w:line="269"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w:t>
      </w:r>
    </w:p>
    <w:p>
      <w:pPr>
        <w:spacing w:after="0" w:line="51" w:lineRule="exact"/>
        <w:rPr>
          <w:rFonts w:ascii="Arial" w:cs="Arial" w:eastAsia="Arial" w:hAnsi="Arial"/>
          <w:sz w:val="13"/>
          <w:szCs w:val="13"/>
          <w:color w:val="auto"/>
        </w:rPr>
      </w:pPr>
    </w:p>
    <w:p>
      <w:pPr>
        <w:ind w:left="-20" w:firstLine="164"/>
        <w:spacing w:after="0" w:line="286" w:lineRule="auto"/>
        <w:tabs>
          <w:tab w:leader="none" w:pos="331"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 business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left="-20" w:right="80" w:firstLine="164"/>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left="-20" w:right="20" w:firstLine="164"/>
        <w:spacing w:after="0" w:line="261" w:lineRule="auto"/>
        <w:tabs>
          <w:tab w:leader="none" w:pos="331"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28980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89" w:name="page90"/>
    <w:bookmarkEnd w:id="89"/>
    <w:p>
      <w:pPr>
        <w:ind w:left="160" w:right="2240" w:firstLine="4"/>
        <w:spacing w:after="0" w:line="380" w:lineRule="auto"/>
        <w:tabs>
          <w:tab w:leader="none" w:pos="339"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8. </w:t>
      </w:r>
      <w:r>
        <w:rPr>
          <w:rFonts w:ascii="Arial" w:cs="Arial" w:eastAsia="Arial" w:hAnsi="Arial"/>
          <w:sz w:val="13"/>
          <w:szCs w:val="13"/>
          <w:b w:val="1"/>
          <w:bCs w:val="1"/>
          <w:color w:val="auto"/>
        </w:rPr>
        <w:t>Successors.</w:t>
      </w:r>
    </w:p>
    <w:p>
      <w:pPr>
        <w:spacing w:after="0" w:line="1" w:lineRule="exact"/>
        <w:rPr>
          <w:sz w:val="20"/>
          <w:szCs w:val="20"/>
          <w:color w:val="auto"/>
        </w:rPr>
      </w:pPr>
    </w:p>
    <w:p>
      <w:pPr>
        <w:ind w:right="20" w:firstLine="164"/>
        <w:spacing w:after="0" w:line="375" w:lineRule="auto"/>
        <w:tabs>
          <w:tab w:leader="none" w:pos="344" w:val="left"/>
        </w:tabs>
        <w:numPr>
          <w:ilvl w:val="0"/>
          <w:numId w:val="81"/>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 all</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Company’s business and/or assets. For all purposes under this Agreement, the term “Company” shall include any successor to the Company’s business and/or assets which becomes bound by this Agreement.</w:t>
      </w:r>
    </w:p>
    <w:p>
      <w:pPr>
        <w:ind w:right="20" w:firstLine="164"/>
        <w:spacing w:after="0" w:line="286" w:lineRule="auto"/>
        <w:tabs>
          <w:tab w:leader="none" w:pos="351" w:val="left"/>
        </w:tabs>
        <w:numPr>
          <w:ilvl w:val="0"/>
          <w:numId w:val="81"/>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 administrators,</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successors, heirs, distributees, devisees and legatees.</w:t>
      </w:r>
    </w:p>
    <w:p>
      <w:pPr>
        <w:spacing w:after="0" w:line="39" w:lineRule="exact"/>
        <w:rPr>
          <w:sz w:val="20"/>
          <w:szCs w:val="20"/>
          <w:color w:val="auto"/>
        </w:rPr>
      </w:pPr>
    </w:p>
    <w:p>
      <w:pPr>
        <w:ind w:left="300" w:hanging="136"/>
        <w:spacing w:after="0"/>
        <w:tabs>
          <w:tab w:leader="none" w:pos="300"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8" w:lineRule="exact"/>
        <w:rPr>
          <w:sz w:val="20"/>
          <w:szCs w:val="20"/>
          <w:color w:val="auto"/>
        </w:rPr>
      </w:pPr>
    </w:p>
    <w:p>
      <w:pPr>
        <w:ind w:firstLine="164"/>
        <w:spacing w:after="0" w:line="302" w:lineRule="auto"/>
        <w:tabs>
          <w:tab w:leader="none" w:pos="344"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Notice</w:t>
      </w:r>
      <w:r>
        <w:rPr>
          <w:rFonts w:ascii="Arial" w:cs="Arial" w:eastAsia="Arial" w:hAnsi="Arial"/>
          <w:sz w:val="12"/>
          <w:szCs w:val="12"/>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2"/>
          <w:szCs w:val="12"/>
          <w:b w:val="1"/>
          <w:bCs w:val="1"/>
          <w:color w:val="auto"/>
        </w:rPr>
        <w:t xml:space="preserve"> </w:t>
      </w:r>
      <w:r>
        <w:rPr>
          <w:rFonts w:ascii="Arial" w:cs="Arial" w:eastAsia="Arial" w:hAnsi="Arial"/>
          <w:sz w:val="12"/>
          <w:szCs w:val="12"/>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32" w:lineRule="exact"/>
        <w:rPr>
          <w:rFonts w:ascii="Arial" w:cs="Arial" w:eastAsia="Arial" w:hAnsi="Arial"/>
          <w:sz w:val="12"/>
          <w:szCs w:val="12"/>
          <w:color w:val="auto"/>
        </w:rPr>
      </w:pPr>
    </w:p>
    <w:p>
      <w:pPr>
        <w:ind w:right="100" w:firstLine="164"/>
        <w:spacing w:after="0" w:line="269" w:lineRule="auto"/>
        <w:tabs>
          <w:tab w:leader="none" w:pos="351"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 an</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jc w:val="both"/>
        <w:ind w:right="40" w:firstLine="164"/>
        <w:spacing w:after="0" w:line="269" w:lineRule="auto"/>
        <w:tabs>
          <w:tab w:leader="none" w:pos="344"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 entered</w:t>
      </w:r>
      <w:r>
        <w:rPr>
          <w:rFonts w:ascii="Arial" w:cs="Arial" w:eastAsia="Arial" w:hAnsi="Arial"/>
          <w:sz w:val="13"/>
          <w:szCs w:val="13"/>
          <w:b w:val="1"/>
          <w:bCs w:val="1"/>
          <w:color w:val="auto"/>
        </w:rPr>
        <w:t xml:space="preserve"> </w:t>
      </w:r>
      <w:r>
        <w:rPr>
          <w:rFonts w:ascii="Arial" w:cs="Arial" w:eastAsia="Arial" w:hAnsi="Arial"/>
          <w:sz w:val="13"/>
          <w:szCs w:val="13"/>
          <w:color w:val="auto"/>
        </w:rPr>
        <w:t>into by either party with respect to the subject matter hereof. This Agreement and the Proprietary Information and Inventions Agreement contain the entire understanding of the parties with respect to the subject matter hereof.</w:t>
      </w:r>
    </w:p>
    <w:p>
      <w:pPr>
        <w:spacing w:after="0" w:line="51" w:lineRule="exact"/>
        <w:rPr>
          <w:rFonts w:ascii="Arial" w:cs="Arial" w:eastAsia="Arial" w:hAnsi="Arial"/>
          <w:sz w:val="13"/>
          <w:szCs w:val="13"/>
          <w:color w:val="auto"/>
        </w:rPr>
      </w:pPr>
    </w:p>
    <w:p>
      <w:pPr>
        <w:ind w:right="260" w:firstLine="164"/>
        <w:spacing w:after="0" w:line="375" w:lineRule="auto"/>
        <w:tabs>
          <w:tab w:leader="none" w:pos="351" w:val="left"/>
        </w:tabs>
        <w:numPr>
          <w:ilvl w:val="0"/>
          <w:numId w:val="83"/>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right="380" w:firstLine="164"/>
        <w:spacing w:after="0" w:line="286" w:lineRule="auto"/>
        <w:tabs>
          <w:tab w:leader="none" w:pos="344"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 choice of law). If any provision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becomes or is deemed invalid, illegal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0" w:name="page91"/>
    <w:bookmarkEnd w:id="90"/>
    <w:p>
      <w:pPr>
        <w:jc w:val="both"/>
        <w:spacing w:after="0" w:line="324" w:lineRule="auto"/>
        <w:rPr>
          <w:sz w:val="20"/>
          <w:szCs w:val="20"/>
          <w:color w:val="auto"/>
        </w:rPr>
      </w:pPr>
      <w:r>
        <w:rPr>
          <w:rFonts w:ascii="Arial" w:cs="Arial" w:eastAsia="Arial" w:hAnsi="Arial"/>
          <w:sz w:val="11"/>
          <w:szCs w:val="11"/>
          <w:color w:val="auto"/>
        </w:rPr>
        <w:t>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25" w:lineRule="exact"/>
        <w:rPr>
          <w:sz w:val="20"/>
          <w:szCs w:val="20"/>
          <w:color w:val="auto"/>
        </w:rPr>
      </w:pPr>
    </w:p>
    <w:p>
      <w:pPr>
        <w:ind w:right="80" w:firstLine="164"/>
        <w:spacing w:after="0" w:line="375" w:lineRule="auto"/>
        <w:tabs>
          <w:tab w:leader="none" w:pos="329" w:val="left"/>
        </w:tabs>
        <w:numPr>
          <w:ilvl w:val="0"/>
          <w:numId w:val="84"/>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 may</w:t>
      </w:r>
      <w:r>
        <w:rPr>
          <w:rFonts w:ascii="Arial" w:cs="Arial" w:eastAsia="Arial" w:hAnsi="Arial"/>
          <w:sz w:val="11"/>
          <w:szCs w:val="11"/>
          <w:b w:val="1"/>
          <w:bCs w:val="1"/>
          <w:color w:val="auto"/>
        </w:rPr>
        <w:t xml:space="preserve"> </w:t>
      </w:r>
      <w:r>
        <w:rPr>
          <w:rFonts w:ascii="Arial" w:cs="Arial" w:eastAsia="Arial" w:hAnsi="Arial"/>
          <w:sz w:val="11"/>
          <w:szCs w:val="11"/>
          <w:color w:val="auto"/>
        </w:rPr>
        <w:t>assign its rights under this Agreement to any entity that assumes the Company’s obligations hereunder in connection with any sale or transfer of all or a substantial portion of the Company’s assets to such entity.</w:t>
      </w:r>
    </w:p>
    <w:p>
      <w:pPr>
        <w:ind w:left="360" w:hanging="196"/>
        <w:spacing w:after="0"/>
        <w:tabs>
          <w:tab w:leader="none" w:pos="360"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Counterparts</w:t>
      </w:r>
      <w:r>
        <w:rPr>
          <w:rFonts w:ascii="Arial" w:cs="Arial" w:eastAsia="Arial" w:hAnsi="Arial"/>
          <w:sz w:val="13"/>
          <w:szCs w:val="13"/>
          <w:color w:val="auto"/>
        </w:rPr>
        <w:t>. This Agreement may be executed in two or more counterparts, each of which shall be deemed an original, but all of which together shall constitute one and the same instrument.</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/s/ Omar Tellez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5524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55240" cy="635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MAR</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ELLEZ</w:t>
      </w:r>
    </w:p>
    <w:p>
      <w:pPr>
        <w:spacing w:after="0" w:line="270"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98" w:lineRule="exact"/>
        <w:rPr>
          <w:sz w:val="20"/>
          <w:szCs w:val="20"/>
          <w:color w:val="auto"/>
        </w:rPr>
      </w:pPr>
    </w:p>
    <w:tbl>
      <w:tblPr>
        <w:tblLayout w:type="fixed"/>
        <w:tblInd w:w="612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Stephen G. Waldis</w:t>
            </w:r>
          </w:p>
        </w:tc>
      </w:tr>
      <w:tr>
        <w:trPr>
          <w:trHeight w:val="157"/>
        </w:trPr>
        <w:tc>
          <w:tcPr>
            <w:tcW w:w="400" w:type="dxa"/>
            <w:vAlign w:val="bottom"/>
          </w:tcPr>
          <w:p>
            <w:pPr>
              <w:spacing w:after="0" w:line="148" w:lineRule="exact"/>
              <w:rPr>
                <w:sz w:val="20"/>
                <w:szCs w:val="20"/>
                <w:color w:val="auto"/>
              </w:rPr>
            </w:pPr>
            <w:r>
              <w:rPr>
                <w:rFonts w:ascii="Arial" w:cs="Arial" w:eastAsia="Arial" w:hAnsi="Arial"/>
                <w:sz w:val="13"/>
                <w:szCs w:val="13"/>
                <w:color w:val="auto"/>
              </w:rPr>
              <w:t>Title:</w:t>
            </w:r>
          </w:p>
        </w:tc>
        <w:tc>
          <w:tcPr>
            <w:tcW w:w="362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bl>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40"/>
          </w:cols>
          <w:pgMar w:left="220" w:top="72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CONSENT OF INDEPENDENT REGISTERED PUBLIC ACCOUNTING FIRM</w:t>
      </w:r>
    </w:p>
    <w:p>
      <w:pPr>
        <w:spacing w:after="0" w:line="92" w:lineRule="exact"/>
        <w:rPr>
          <w:sz w:val="20"/>
          <w:szCs w:val="20"/>
          <w:color w:val="auto"/>
        </w:rPr>
      </w:pPr>
    </w:p>
    <w:p>
      <w:pPr>
        <w:ind w:right="200"/>
        <w:spacing w:after="0" w:line="279" w:lineRule="auto"/>
        <w:rPr>
          <w:sz w:val="20"/>
          <w:szCs w:val="20"/>
          <w:color w:val="auto"/>
        </w:rPr>
      </w:pPr>
      <w:r>
        <w:rPr>
          <w:rFonts w:ascii="Arial" w:cs="Arial" w:eastAsia="Arial" w:hAnsi="Arial"/>
          <w:sz w:val="13"/>
          <w:szCs w:val="13"/>
          <w:color w:val="auto"/>
        </w:rPr>
        <w:t>We consent to the incorporation by reference in the Registration Statement (Form S-8 No. 333-136088) pertaining to the 2006 Equity Incentive Plan of Synchronoss Technologies, Inc. of our report dated March 12, 2007 with respect to the financial statements of Synchronoss Technologies, Inc. included in the Annual Report (Form 10-K) for the year ended December 31, 2006.</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/s/ Ernst &amp; Young LLP</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March 16, 2007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60"/>
          </w:cols>
          <w:pgMar w:left="220" w:top="720"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Stephen G. Waldis, certify that:</w:t>
      </w:r>
    </w:p>
    <w:p>
      <w:pPr>
        <w:spacing w:after="0" w:line="88" w:lineRule="exact"/>
        <w:rPr>
          <w:sz w:val="20"/>
          <w:szCs w:val="20"/>
          <w:color w:val="auto"/>
        </w:rPr>
      </w:pPr>
    </w:p>
    <w:p>
      <w:pPr>
        <w:ind w:left="141" w:hanging="141"/>
        <w:spacing w:after="0"/>
        <w:tabs>
          <w:tab w:leader="none" w:pos="141"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w:t>
      </w:r>
    </w:p>
    <w:p>
      <w:pPr>
        <w:spacing w:after="0" w:line="87" w:lineRule="exact"/>
        <w:rPr>
          <w:rFonts w:ascii="Arial" w:cs="Arial" w:eastAsia="Arial" w:hAnsi="Arial"/>
          <w:sz w:val="13"/>
          <w:szCs w:val="13"/>
          <w:color w:val="auto"/>
        </w:rPr>
      </w:pPr>
    </w:p>
    <w:p>
      <w:pPr>
        <w:ind w:left="1" w:right="240" w:hanging="1"/>
        <w:spacing w:after="0" w:line="279" w:lineRule="auto"/>
        <w:tabs>
          <w:tab w:leader="none" w:pos="132"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left="1" w:right="320" w:hanging="1"/>
        <w:spacing w:after="0" w:line="279" w:lineRule="auto"/>
        <w:tabs>
          <w:tab w:leader="none" w:pos="132"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1" w:hanging="1"/>
        <w:spacing w:after="0" w:line="279" w:lineRule="auto"/>
        <w:tabs>
          <w:tab w:leader="none" w:pos="13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ind w:left="1" w:right="60" w:hanging="1"/>
        <w:spacing w:after="0" w:line="279" w:lineRule="auto"/>
        <w:tabs>
          <w:tab w:leader="none" w:pos="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1" w:right="280" w:hanging="1"/>
        <w:spacing w:after="0" w:line="279" w:lineRule="auto"/>
        <w:tabs>
          <w:tab w:leader="none" w:pos="187" w:val="left"/>
        </w:tabs>
        <w:numPr>
          <w:ilvl w:val="0"/>
          <w:numId w:val="8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1" w:right="200" w:hanging="1"/>
        <w:spacing w:after="0" w:line="279" w:lineRule="auto"/>
        <w:tabs>
          <w:tab w:leader="none" w:pos="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1" w:right="240" w:hanging="1"/>
        <w:spacing w:after="0" w:line="279" w:lineRule="auto"/>
        <w:tabs>
          <w:tab w:leader="none" w:pos="187" w:val="left"/>
        </w:tabs>
        <w:numPr>
          <w:ilvl w:val="0"/>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left="1" w:right="240" w:hanging="1"/>
        <w:spacing w:after="0" w:line="279" w:lineRule="auto"/>
        <w:tabs>
          <w:tab w:leader="none" w:pos="13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left="1" w:right="220" w:hanging="1"/>
        <w:spacing w:after="0" w:line="279" w:lineRule="auto"/>
        <w:tabs>
          <w:tab w:leader="none" w:pos="173" w:val="left"/>
        </w:tabs>
        <w:numPr>
          <w:ilvl w:val="0"/>
          <w:numId w:val="8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181" w:hanging="181"/>
        <w:spacing w:after="0"/>
        <w:tabs>
          <w:tab w:leader="none" w:pos="181" w:val="left"/>
        </w:tabs>
        <w:numPr>
          <w:ilvl w:val="0"/>
          <w:numId w:val="8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16, 2007</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91973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19730" cy="6350"/>
                    </a:xfrm>
                    <a:prstGeom prst="rect">
                      <a:avLst/>
                    </a:prstGeom>
                    <a:noFill/>
                  </pic:spPr>
                </pic:pic>
              </a:graphicData>
            </a:graphic>
          </wp:anchor>
        </w:drawing>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Chief Executive Officer and President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61"/>
          </w:cols>
          <w:pgMar w:left="219" w:top="720"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3"/>
          <w:szCs w:val="13"/>
          <w:color w:val="auto"/>
        </w:rPr>
        <w:t>I, Lawrence R. Irving, certify that:</w:t>
      </w:r>
    </w:p>
    <w:p>
      <w:pPr>
        <w:spacing w:after="0" w:line="88" w:lineRule="exact"/>
        <w:rPr>
          <w:sz w:val="20"/>
          <w:szCs w:val="20"/>
          <w:color w:val="auto"/>
        </w:rPr>
      </w:pPr>
    </w:p>
    <w:p>
      <w:pPr>
        <w:ind w:left="141" w:hanging="141"/>
        <w:spacing w:after="0"/>
        <w:tabs>
          <w:tab w:leader="none" w:pos="141" w:val="left"/>
        </w:tabs>
        <w:numPr>
          <w:ilvl w:val="0"/>
          <w:numId w:val="8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w:t>
      </w:r>
    </w:p>
    <w:p>
      <w:pPr>
        <w:spacing w:after="0" w:line="87" w:lineRule="exact"/>
        <w:rPr>
          <w:rFonts w:ascii="Arial" w:cs="Arial" w:eastAsia="Arial" w:hAnsi="Arial"/>
          <w:sz w:val="13"/>
          <w:szCs w:val="13"/>
          <w:color w:val="auto"/>
        </w:rPr>
      </w:pPr>
    </w:p>
    <w:p>
      <w:pPr>
        <w:ind w:left="1" w:right="240" w:hanging="1"/>
        <w:spacing w:after="0" w:line="279" w:lineRule="auto"/>
        <w:tabs>
          <w:tab w:leader="none" w:pos="132"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left="1" w:right="320" w:hanging="1"/>
        <w:spacing w:after="0" w:line="279" w:lineRule="auto"/>
        <w:tabs>
          <w:tab w:leader="none" w:pos="132"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1" w:hanging="1"/>
        <w:spacing w:after="0" w:line="279" w:lineRule="auto"/>
        <w:tabs>
          <w:tab w:leader="none" w:pos="13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ind w:left="1" w:right="60" w:hanging="1"/>
        <w:spacing w:after="0" w:line="279" w:lineRule="auto"/>
        <w:tabs>
          <w:tab w:leader="none" w:pos="1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1" w:right="280" w:hanging="1"/>
        <w:spacing w:after="0" w:line="279" w:lineRule="auto"/>
        <w:tabs>
          <w:tab w:leader="none" w:pos="187" w:val="left"/>
        </w:tabs>
        <w:numPr>
          <w:ilvl w:val="0"/>
          <w:numId w:val="9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1" w:right="200" w:hanging="1"/>
        <w:spacing w:after="0" w:line="279" w:lineRule="auto"/>
        <w:tabs>
          <w:tab w:leader="none" w:pos="1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1" w:right="240" w:hanging="1"/>
        <w:spacing w:after="0" w:line="279" w:lineRule="auto"/>
        <w:tabs>
          <w:tab w:leader="none" w:pos="187" w:val="left"/>
        </w:tabs>
        <w:numPr>
          <w:ilvl w:val="0"/>
          <w:numId w:val="9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left="1" w:right="240" w:hanging="1"/>
        <w:spacing w:after="0" w:line="279" w:lineRule="auto"/>
        <w:tabs>
          <w:tab w:leader="none" w:pos="13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left="1" w:right="220" w:hanging="1"/>
        <w:spacing w:after="0" w:line="279" w:lineRule="auto"/>
        <w:tabs>
          <w:tab w:leader="none" w:pos="173" w:val="left"/>
        </w:tabs>
        <w:numPr>
          <w:ilvl w:val="0"/>
          <w:numId w:val="9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181" w:hanging="181"/>
        <w:spacing w:after="0"/>
        <w:tabs>
          <w:tab w:leader="none" w:pos="181"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16, 2007</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91973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9730" cy="6350"/>
                    </a:xfrm>
                    <a:prstGeom prst="rect">
                      <a:avLst/>
                    </a:prstGeom>
                    <a:noFill/>
                  </pic:spPr>
                </pic:pic>
              </a:graphicData>
            </a:graphic>
          </wp:anchor>
        </w:drawing>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Lawrence R. Irving</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Chief Financial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61"/>
          </w:cols>
          <w:pgMar w:left="219" w:top="720"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3"/>
          <w:szCs w:val="13"/>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200"/>
        <w:spacing w:after="0" w:line="322"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2006 as filed with the Securities and Exchange Commission on the date hereof (the “Report”), I, Steve Waldis,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6"/>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7" w:lineRule="exact"/>
        <w:rPr>
          <w:rFonts w:ascii="Arial" w:cs="Arial" w:eastAsia="Arial" w:hAnsi="Arial"/>
          <w:sz w:val="13"/>
          <w:szCs w:val="13"/>
          <w:color w:val="auto"/>
        </w:rPr>
      </w:pPr>
    </w:p>
    <w:p>
      <w:pPr>
        <w:ind w:left="340" w:hanging="176"/>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91973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19730" cy="63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March 16, 2007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60"/>
          </w:cols>
          <w:pgMar w:left="220" w:top="720"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160"/>
        <w:spacing w:after="0" w:line="322"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2006 as filed with the Securities and Exchange Commission on the date hereof (the “Report”), I, Lawrence Irving,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6"/>
        <w:spacing w:after="0"/>
        <w:tabs>
          <w:tab w:leader="none" w:pos="3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7" w:lineRule="exact"/>
        <w:rPr>
          <w:rFonts w:ascii="Arial" w:cs="Arial" w:eastAsia="Arial" w:hAnsi="Arial"/>
          <w:sz w:val="13"/>
          <w:szCs w:val="13"/>
          <w:color w:val="auto"/>
        </w:rPr>
      </w:pPr>
    </w:p>
    <w:p>
      <w:pPr>
        <w:ind w:left="340" w:hanging="176"/>
        <w:spacing w:after="0"/>
        <w:tabs>
          <w:tab w:leader="none" w:pos="3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91973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9730" cy="63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Lawrence R. Irving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March 16, 2007</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lvl w:ilvl="1">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2"/>
    </w:lvl>
  </w:abstractNum>
  <w:abstractNum w:abstractNumId="14">
    <w:nsid w:val="4F4EF005"/>
    <w:multiLevelType w:val="hybridMultilevel"/>
    <w:lvl w:ilvl="0">
      <w:lvlJc w:val="left"/>
      <w:lvlText w:val="%1."/>
      <w:numFmt w:val="decimal"/>
      <w:start w:val="3"/>
    </w:lvl>
  </w:abstractNum>
  <w:abstractNum w:abstractNumId="15">
    <w:nsid w:val="23F9C13C"/>
    <w:multiLevelType w:val="hybridMultilevel"/>
    <w:lvl w:ilvl="0">
      <w:lvlJc w:val="left"/>
      <w:lvlText w:val="%1."/>
      <w:numFmt w:val="decimal"/>
      <w:start w:val="4"/>
    </w:lvl>
  </w:abstractNum>
  <w:abstractNum w:abstractNumId="16">
    <w:nsid w:val="649BB77C"/>
    <w:multiLevelType w:val="hybridMultilevel"/>
    <w:lvl w:ilvl="0">
      <w:lvlJc w:val="left"/>
      <w:lvlText w:val="%1."/>
      <w:numFmt w:val="decimal"/>
      <w:start w:val="6"/>
    </w:lvl>
  </w:abstractNum>
  <w:abstractNum w:abstractNumId="17">
    <w:nsid w:val="275AC794"/>
    <w:multiLevelType w:val="hybridMultilevel"/>
    <w:lvl w:ilvl="0">
      <w:lvlJc w:val="left"/>
      <w:lvlText w:val="%1."/>
      <w:numFmt w:val="decimal"/>
      <w:start w:val="7"/>
    </w:lvl>
  </w:abstractNum>
  <w:abstractNum w:abstractNumId="18">
    <w:nsid w:val="39386575"/>
    <w:multiLevelType w:val="hybridMultilevel"/>
    <w:lvl w:ilvl="0">
      <w:lvlJc w:val="left"/>
      <w:lvlText w:val="%1."/>
      <w:numFmt w:val="decimal"/>
      <w:start w:val="8"/>
    </w:lvl>
  </w:abstractNum>
  <w:abstractNum w:abstractNumId="19">
    <w:nsid w:val="1CF10FD8"/>
    <w:multiLevelType w:val="hybridMultilevel"/>
    <w:lvl w:ilvl="0">
      <w:lvlJc w:val="left"/>
      <w:lvlText w:val="%1."/>
      <w:numFmt w:val="decimal"/>
      <w:start w:val="9"/>
    </w:lvl>
  </w:abstractNum>
  <w:abstractNum w:abstractNumId="20">
    <w:nsid w:val="180115BE"/>
    <w:multiLevelType w:val="hybridMultilevel"/>
    <w:lvl w:ilvl="0">
      <w:lvlJc w:val="left"/>
      <w:lvlText w:val="%1."/>
      <w:numFmt w:val="decimal"/>
      <w:start w:val="10"/>
    </w:lvl>
  </w:abstractNum>
  <w:abstractNum w:abstractNumId="21">
    <w:nsid w:val="235BA861"/>
    <w:multiLevelType w:val="hybridMultilevel"/>
    <w:lvl w:ilvl="0">
      <w:lvlJc w:val="left"/>
      <w:lvlText w:val="%1."/>
      <w:numFmt w:val="decimal"/>
      <w:start w:val="11"/>
    </w:lvl>
  </w:abstractNum>
  <w:abstractNum w:abstractNumId="22">
    <w:nsid w:val="47398C89"/>
    <w:multiLevelType w:val="hybridMultilevel"/>
    <w:lvl w:ilvl="0">
      <w:lvlJc w:val="left"/>
      <w:lvlText w:val="%1."/>
      <w:numFmt w:val="decimal"/>
      <w:start w:val="12"/>
    </w:lvl>
  </w:abstractNum>
  <w:abstractNum w:abstractNumId="23">
    <w:nsid w:val="354FE9F9"/>
    <w:multiLevelType w:val="hybridMultilevel"/>
    <w:lvl w:ilvl="0">
      <w:lvlJc w:val="left"/>
      <w:lvlText w:val="%1."/>
      <w:numFmt w:val="decimal"/>
      <w:start w:val="13"/>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lowerLetter"/>
      <w:start w:val="2"/>
    </w:lvl>
  </w:abstractNum>
  <w:abstractNum w:abstractNumId="32">
    <w:nsid w:val="579BE4F1"/>
    <w:multiLevelType w:val="hybridMultilevel"/>
    <w:lvl w:ilvl="0">
      <w:lvlJc w:val="left"/>
      <w:lvlText w:val="%1."/>
      <w:numFmt w:val="decimal"/>
      <w:start w:val="2"/>
    </w:lvl>
  </w:abstractNum>
  <w:abstractNum w:abstractNumId="33">
    <w:nsid w:val="310C50B3"/>
    <w:multiLevelType w:val="hybridMultilevel"/>
    <w:lvl w:ilvl="0">
      <w:lvlJc w:val="left"/>
      <w:lvlText w:val="(%1)"/>
      <w:numFmt w:val="lowerLetter"/>
      <w:start w:val="2"/>
    </w:lvl>
  </w:abstractNum>
  <w:abstractNum w:abstractNumId="34">
    <w:nsid w:val="5FF87E05"/>
    <w:multiLevelType w:val="hybridMultilevel"/>
    <w:lvl w:ilvl="0">
      <w:lvlJc w:val="left"/>
      <w:lvlText w:val="%1."/>
      <w:numFmt w:val="decimal"/>
      <w:start w:val="3"/>
    </w:lvl>
  </w:abstractNum>
  <w:abstractNum w:abstractNumId="35">
    <w:nsid w:val="2F305DEF"/>
    <w:multiLevelType w:val="hybridMultilevel"/>
    <w:lvl w:ilvl="0">
      <w:lvlJc w:val="left"/>
      <w:lvlText w:val="(%1)"/>
      <w:numFmt w:val="lowerLetter"/>
      <w:start w:val="2"/>
    </w:lvl>
  </w:abstractNum>
  <w:abstractNum w:abstractNumId="36">
    <w:nsid w:val="25A70BF7"/>
    <w:multiLevelType w:val="hybridMultilevel"/>
    <w:lvl w:ilvl="0">
      <w:lvlJc w:val="left"/>
      <w:lvlText w:val="(%1)"/>
      <w:numFmt w:val="lowerLetter"/>
      <w:start w:val="3"/>
    </w:lvl>
  </w:abstractNum>
  <w:abstractNum w:abstractNumId="37">
    <w:nsid w:val="1DBABF00"/>
    <w:multiLevelType w:val="hybridMultilevel"/>
    <w:lvl w:ilvl="0">
      <w:lvlJc w:val="left"/>
      <w:lvlText w:val="%1."/>
      <w:numFmt w:val="decimal"/>
      <w:start w:val="4"/>
    </w:lvl>
  </w:abstractNum>
  <w:abstractNum w:abstractNumId="38">
    <w:nsid w:val="4AD084E9"/>
    <w:multiLevelType w:val="hybridMultilevel"/>
    <w:lvl w:ilvl="0">
      <w:lvlJc w:val="left"/>
      <w:lvlText w:val="%1."/>
      <w:numFmt w:val="decimal"/>
      <w:start w:val="9"/>
    </w:lvl>
  </w:abstractNum>
  <w:abstractNum w:abstractNumId="39">
    <w:nsid w:val="1F48EAA1"/>
    <w:multiLevelType w:val="hybridMultilevel"/>
    <w:lvl w:ilvl="0">
      <w:lvlJc w:val="left"/>
      <w:lvlText w:val="(%1)"/>
      <w:numFmt w:val="lowerLetter"/>
      <w:start w:val="2"/>
    </w:lvl>
  </w:abstractNum>
  <w:abstractNum w:abstractNumId="40">
    <w:nsid w:val="1381823A"/>
    <w:multiLevelType w:val="hybridMultilevel"/>
    <w:lvl w:ilvl="0">
      <w:lvlJc w:val="left"/>
      <w:lvlText w:val="%1."/>
      <w:numFmt w:val="decimal"/>
      <w:start w:val="13"/>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lowerLetter"/>
      <w:start w:val="2"/>
    </w:lvl>
  </w:abstractNum>
  <w:abstractNum w:abstractNumId="43">
    <w:nsid w:val="6590700B"/>
    <w:multiLevelType w:val="hybridMultilevel"/>
    <w:lvl w:ilvl="0">
      <w:lvlJc w:val="left"/>
      <w:lvlText w:val="%1."/>
      <w:numFmt w:val="decimal"/>
      <w:start w:val="3"/>
    </w:lvl>
    <w:lvl w:ilvl="1">
      <w:lvlJc w:val="left"/>
      <w:lvlText w:val="%2)"/>
      <w:numFmt w:val="decimal"/>
      <w:start w:val="1"/>
    </w:lvl>
  </w:abstractNum>
  <w:abstractNum w:abstractNumId="44">
    <w:nsid w:val="15014ACB"/>
    <w:multiLevelType w:val="hybridMultilevel"/>
    <w:lvl w:ilvl="0">
      <w:lvlJc w:val="left"/>
      <w:lvlText w:val="%1."/>
      <w:numFmt w:val="decimal"/>
      <w:start w:val="5"/>
    </w:lvl>
  </w:abstractNum>
  <w:abstractNum w:abstractNumId="45">
    <w:nsid w:val="5F5E7FD0"/>
    <w:multiLevelType w:val="hybridMultilevel"/>
    <w:lvl w:ilvl="0">
      <w:lvlJc w:val="left"/>
      <w:lvlText w:val="(%1)"/>
      <w:numFmt w:val="lowerLetter"/>
      <w:start w:val="2"/>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lowerLetter"/>
      <w:start w:val="1"/>
    </w:lvl>
  </w:abstractNum>
  <w:abstractNum w:abstractNumId="48">
    <w:nsid w:val="6B94764"/>
    <w:multiLevelType w:val="hybridMultilevel"/>
    <w:lvl w:ilvl="0">
      <w:lvlJc w:val="left"/>
      <w:lvlText w:val="%1."/>
      <w:numFmt w:val="decimal"/>
      <w:start w:val="2"/>
    </w:lvl>
  </w:abstractNum>
  <w:abstractNum w:abstractNumId="49">
    <w:nsid w:val="42C296BD"/>
    <w:multiLevelType w:val="hybridMultilevel"/>
    <w:lvl w:ilvl="0">
      <w:lvlJc w:val="left"/>
      <w:lvlText w:val="%1."/>
      <w:numFmt w:val="decimal"/>
      <w:start w:val="4"/>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decimal"/>
      <w:start w:val="6"/>
    </w:lvl>
  </w:abstractNum>
  <w:abstractNum w:abstractNumId="52">
    <w:nsid w:val="661E3F1E"/>
    <w:multiLevelType w:val="hybridMultilevel"/>
    <w:lvl w:ilvl="0">
      <w:lvlJc w:val="left"/>
      <w:lvlText w:val="(%1)"/>
      <w:numFmt w:val="lowerLetter"/>
      <w:start w:val="1"/>
    </w:lvl>
    <w:lvl w:ilvl="1">
      <w:lvlJc w:val="left"/>
      <w:lvlText w:val="(%2)"/>
      <w:numFmt w:val="lowerRoman"/>
      <w:start w:val="1"/>
    </w:lvl>
  </w:abstractNum>
  <w:abstractNum w:abstractNumId="53">
    <w:nsid w:val="5DC79EA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4">
    <w:nsid w:val="540A471C"/>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55">
    <w:nsid w:val="7BD3EE7B"/>
    <w:multiLevelType w:val="hybridMultilevel"/>
    <w:lvl w:ilvl="0">
      <w:lvlJc w:val="left"/>
      <w:lvlText w:val="%1"/>
      <w:numFmt w:val="lowerLetter"/>
      <w:start w:val="1"/>
    </w:lvl>
    <w:lvl w:ilvl="1">
      <w:lvlJc w:val="left"/>
      <w:lvlText w:val="(%2)"/>
      <w:numFmt w:val="lowerRoman"/>
      <w:start w:val="3"/>
    </w:lvl>
  </w:abstractNum>
  <w:abstractNum w:abstractNumId="56">
    <w:nsid w:val="51D9C564"/>
    <w:multiLevelType w:val="hybridMultilevel"/>
    <w:lvl w:ilvl="0">
      <w:lvlJc w:val="left"/>
      <w:lvlText w:val="(%1)"/>
      <w:numFmt w:val="lowerLetter"/>
      <w:start w:val="6"/>
    </w:lvl>
    <w:lvl w:ilvl="1">
      <w:lvlJc w:val="left"/>
      <w:lvlText w:val="(%2)"/>
      <w:numFmt w:val="lowerRoman"/>
      <w:start w:val="1"/>
    </w:lvl>
  </w:abstractNum>
  <w:abstractNum w:abstractNumId="57">
    <w:nsid w:val="613EFDC5"/>
    <w:multiLevelType w:val="hybridMultilevel"/>
    <w:lvl w:ilvl="0">
      <w:lvlJc w:val="left"/>
      <w:lvlText w:val="%1."/>
      <w:numFmt w:val="decimal"/>
      <w:start w:val="7"/>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2"/>
    </w:lvl>
  </w:abstractNum>
  <w:abstractNum w:abstractNumId="60">
    <w:nsid w:val="42963E5A"/>
    <w:multiLevelType w:val="hybridMultilevel"/>
    <w:lvl w:ilvl="0">
      <w:lvlJc w:val="left"/>
      <w:lvlText w:val="(%1)"/>
      <w:numFmt w:val="lowerLetter"/>
      <w:start w:val="5"/>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decimal"/>
      <w:start w:val="9"/>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6"/>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decimal"/>
      <w:start w:val="3"/>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4"/>
    </w:lvl>
  </w:abstractNum>
  <w:abstractNum w:abstractNumId="72">
    <w:nsid w:val="71EA1109"/>
    <w:multiLevelType w:val="hybridMultilevel"/>
    <w:lvl w:ilvl="0">
      <w:lvlJc w:val="left"/>
      <w:lvlText w:val="%1."/>
      <w:numFmt w:val="decimal"/>
      <w:start w:val="6"/>
    </w:lvl>
  </w:abstractNum>
  <w:abstractNum w:abstractNumId="73">
    <w:nsid w:val="100F59DC"/>
    <w:multiLevelType w:val="hybridMultilevel"/>
    <w:lvl w:ilvl="0">
      <w:lvlJc w:val="left"/>
      <w:lvlText w:val="(%1)"/>
      <w:numFmt w:val="lowerLetter"/>
      <w:start w:val="1"/>
    </w:lvl>
    <w:lvl w:ilvl="1">
      <w:lvlJc w:val="left"/>
      <w:lvlText w:val="(%2)"/>
      <w:numFmt w:val="lowerRoman"/>
      <w:start w:val="1"/>
    </w:lvl>
  </w:abstractNum>
  <w:abstractNum w:abstractNumId="74">
    <w:nsid w:val="7FB7E0AA"/>
    <w:multiLevelType w:val="hybridMultilevel"/>
    <w:lvl w:ilvl="0">
      <w:lvlJc w:val="left"/>
      <w:lvlText w:val="(%1)"/>
      <w:numFmt w:val="lowerLetter"/>
      <w:start w:val="3"/>
    </w:lvl>
    <w:lvl w:ilvl="1">
      <w:lvlJc w:val="left"/>
      <w:lvlText w:val="(%2)"/>
      <w:numFmt w:val="lowerRoman"/>
      <w:start w:val="1"/>
    </w:lvl>
  </w:abstractNum>
  <w:abstractNum w:abstractNumId="75">
    <w:nsid w:val="6EB5BD4"/>
    <w:multiLevelType w:val="hybridMultilevel"/>
    <w:lvl w:ilvl="0">
      <w:lvlJc w:val="left"/>
      <w:lvlText w:val="%1"/>
      <w:numFmt w:val="lowerLetter"/>
      <w:start w:val="1"/>
    </w:lvl>
    <w:lvl w:ilvl="1">
      <w:lvlJc w:val="left"/>
      <w:lvlText w:val="(%2)"/>
      <w:numFmt w:val="lowerRoman"/>
      <w:start w:val="3"/>
    </w:lvl>
  </w:abstractNum>
  <w:abstractNum w:abstractNumId="76">
    <w:nsid w:val="6F6DD9AC"/>
    <w:multiLevelType w:val="hybridMultilevel"/>
    <w:lvl w:ilvl="0">
      <w:lvlJc w:val="left"/>
      <w:lvlText w:val="(%1)"/>
      <w:numFmt w:val="lowerLetter"/>
      <w:start w:val="6"/>
    </w:lvl>
    <w:lvl w:ilvl="1">
      <w:lvlJc w:val="left"/>
      <w:lvlText w:val="(%2)"/>
      <w:numFmt w:val="lowerRoman"/>
      <w:start w:val="1"/>
    </w:lvl>
  </w:abstractNum>
  <w:abstractNum w:abstractNumId="77">
    <w:nsid w:val="94211F2"/>
    <w:multiLevelType w:val="hybridMultilevel"/>
    <w:lvl w:ilvl="0">
      <w:lvlJc w:val="left"/>
      <w:lvlText w:val="%1."/>
      <w:numFmt w:val="decimal"/>
      <w:start w:val="7"/>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5"/>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decimal"/>
      <w:start w:val="9"/>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6"/>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5"/>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5"/>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2019-12-12T02:40:30Z</dcterms:created>
  <dcterms:modified xsi:type="dcterms:W3CDTF">2019-12-12T02:40:30Z</dcterms:modified>
</cp:coreProperties>
</file>