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6" w:lineRule="exact"/>
        <w:rPr>
          <w:sz w:val="24"/>
          <w:szCs w:val="24"/>
          <w:color w:val="auto"/>
        </w:rPr>
      </w:pPr>
    </w:p>
    <w:p>
      <w:pPr>
        <w:ind w:left="1060" w:hanging="575"/>
        <w:spacing w:after="0"/>
        <w:tabs>
          <w:tab w:leader="none" w:pos="1060" w:val="left"/>
        </w:tabs>
        <w:numPr>
          <w:ilvl w:val="0"/>
          <w:numId w:val="1"/>
        </w:numPr>
        <w:rPr>
          <w:rFonts w:ascii="Arial" w:cs="Arial" w:eastAsia="Arial" w:hAnsi="Arial"/>
          <w:sz w:val="29"/>
          <w:szCs w:val="29"/>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1080" w:hanging="620"/>
        <w:spacing w:after="0"/>
        <w:tabs>
          <w:tab w:leader="none" w:pos="10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235" w:lineRule="exact"/>
        <w:rPr>
          <w:sz w:val="24"/>
          <w:szCs w:val="24"/>
          <w:color w:val="auto"/>
        </w:rPr>
      </w:pPr>
    </w:p>
    <w:p>
      <w:pPr>
        <w:ind w:left="4400"/>
        <w:spacing w:after="0"/>
        <w:tabs>
          <w:tab w:leader="none" w:pos="6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420"/>
          </w:cols>
          <w:pgMar w:left="240" w:top="233" w:right="239" w:bottom="1440" w:gutter="0" w:footer="0" w:header="0"/>
          <w:type w:val="continuous"/>
        </w:sect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6100" w:type="dxa"/>
            <w:vAlign w:val="bottom"/>
          </w:tcPr>
          <w:p>
            <w:pPr>
              <w:jc w:val="center"/>
              <w:ind w:right="3459"/>
              <w:spacing w:after="0"/>
              <w:rPr>
                <w:sz w:val="20"/>
                <w:szCs w:val="20"/>
                <w:color w:val="auto"/>
              </w:rPr>
            </w:pPr>
            <w:r>
              <w:rPr>
                <w:rFonts w:ascii="Arial" w:cs="Arial" w:eastAsia="Arial" w:hAnsi="Arial"/>
                <w:sz w:val="16"/>
                <w:szCs w:val="16"/>
                <w:b w:val="1"/>
                <w:bCs w:val="1"/>
                <w:color w:val="auto"/>
                <w:w w:val="91"/>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r>
      <w:tr>
        <w:trPr>
          <w:trHeight w:val="253"/>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4"/>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505"/>
        </w:trPr>
        <w:tc>
          <w:tcPr>
            <w:tcW w:w="6100" w:type="dxa"/>
            <w:vAlign w:val="bottom"/>
          </w:tcPr>
          <w:p>
            <w:pPr>
              <w:jc w:val="center"/>
              <w:ind w:right="3479"/>
              <w:spacing w:after="0"/>
              <w:rPr>
                <w:sz w:val="20"/>
                <w:szCs w:val="20"/>
                <w:color w:val="auto"/>
              </w:rPr>
            </w:pPr>
            <w:r>
              <w:rPr>
                <w:rFonts w:ascii="Arial" w:cs="Arial" w:eastAsia="Arial" w:hAnsi="Arial"/>
                <w:sz w:val="16"/>
                <w:szCs w:val="16"/>
                <w:b w:val="1"/>
                <w:bCs w:val="1"/>
                <w:color w:val="auto"/>
                <w:w w:val="91"/>
              </w:rPr>
              <w:t>200 Crossing Boulevard, 8th Floor</w:t>
            </w:r>
          </w:p>
        </w:tc>
        <w:tc>
          <w:tcPr>
            <w:tcW w:w="1480" w:type="dxa"/>
            <w:vAlign w:val="bottom"/>
          </w:tcPr>
          <w:p>
            <w:pPr>
              <w:spacing w:after="0"/>
              <w:rPr>
                <w:sz w:val="24"/>
                <w:szCs w:val="24"/>
                <w:color w:val="auto"/>
              </w:rPr>
            </w:pPr>
          </w:p>
        </w:tc>
      </w:tr>
      <w:tr>
        <w:trPr>
          <w:trHeight w:val="210"/>
        </w:trPr>
        <w:tc>
          <w:tcPr>
            <w:tcW w:w="6100" w:type="dxa"/>
            <w:vAlign w:val="bottom"/>
          </w:tcPr>
          <w:p>
            <w:pPr>
              <w:jc w:val="center"/>
              <w:ind w:right="3459"/>
              <w:spacing w:after="0"/>
              <w:rPr>
                <w:sz w:val="20"/>
                <w:szCs w:val="20"/>
                <w:color w:val="auto"/>
              </w:rPr>
            </w:pPr>
            <w:r>
              <w:rPr>
                <w:rFonts w:ascii="Arial" w:cs="Arial" w:eastAsia="Arial" w:hAnsi="Arial"/>
                <w:sz w:val="16"/>
                <w:szCs w:val="16"/>
                <w:b w:val="1"/>
                <w:bCs w:val="1"/>
                <w:color w:val="auto"/>
                <w:w w:val="90"/>
              </w:rPr>
              <w:t>Bridgewater, New Jersey</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08807</w:t>
            </w:r>
          </w:p>
        </w:tc>
      </w:tr>
      <w:tr>
        <w:trPr>
          <w:trHeight w:val="257"/>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3"/>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r>
        <w:trPr>
          <w:trHeight w:val="401"/>
        </w:trPr>
        <w:tc>
          <w:tcPr>
            <w:tcW w:w="6100" w:type="dxa"/>
            <w:vAlign w:val="bottom"/>
          </w:tcPr>
          <w:p>
            <w:pPr>
              <w:jc w:val="right"/>
              <w:ind w:right="1379"/>
              <w:spacing w:after="0"/>
              <w:rPr>
                <w:sz w:val="20"/>
                <w:szCs w:val="20"/>
                <w:color w:val="auto"/>
              </w:rPr>
            </w:pPr>
            <w:r>
              <w:rPr>
                <w:rFonts w:ascii="Arial" w:cs="Arial" w:eastAsia="Arial" w:hAnsi="Arial"/>
                <w:sz w:val="16"/>
                <w:szCs w:val="16"/>
                <w:b w:val="1"/>
                <w:bCs w:val="1"/>
                <w:color w:val="auto"/>
              </w:rPr>
              <w:t>(866) 620-3940</w:t>
            </w:r>
          </w:p>
        </w:tc>
        <w:tc>
          <w:tcPr>
            <w:tcW w:w="1480" w:type="dxa"/>
            <w:vAlign w:val="bottom"/>
          </w:tcPr>
          <w:p>
            <w:pPr>
              <w:spacing w:after="0"/>
              <w:rPr>
                <w:sz w:val="24"/>
                <w:szCs w:val="24"/>
                <w:color w:val="auto"/>
              </w:rPr>
            </w:pPr>
          </w:p>
        </w:tc>
      </w:tr>
      <w:tr>
        <w:trPr>
          <w:trHeight w:val="206"/>
        </w:trPr>
        <w:tc>
          <w:tcPr>
            <w:tcW w:w="6100" w:type="dxa"/>
            <w:vAlign w:val="bottom"/>
          </w:tcPr>
          <w:p>
            <w:pPr>
              <w:jc w:val="center"/>
              <w:ind w:left="2039"/>
              <w:spacing w:after="0"/>
              <w:rPr>
                <w:sz w:val="20"/>
                <w:szCs w:val="20"/>
                <w:color w:val="auto"/>
              </w:rPr>
            </w:pPr>
            <w:r>
              <w:rPr>
                <w:rFonts w:ascii="Arial" w:cs="Arial" w:eastAsia="Arial" w:hAnsi="Arial"/>
                <w:sz w:val="16"/>
                <w:szCs w:val="16"/>
                <w:color w:val="auto"/>
                <w:w w:val="90"/>
              </w:rPr>
              <w:t>(Registrant’s telephone number, including area code)</w:t>
            </w:r>
          </w:p>
        </w:tc>
        <w:tc>
          <w:tcPr>
            <w:tcW w:w="1480" w:type="dxa"/>
            <w:vAlign w:val="bottom"/>
          </w:tcPr>
          <w:p>
            <w:pPr>
              <w:spacing w:after="0"/>
              <w:rPr>
                <w:sz w:val="17"/>
                <w:szCs w:val="17"/>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right="20"/>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8" w:lineRule="exact"/>
        <w:rPr>
          <w:sz w:val="24"/>
          <w:szCs w:val="24"/>
          <w:color w:val="auto"/>
        </w:rPr>
      </w:pPr>
    </w:p>
    <w:p>
      <w:pPr>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175"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89"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2"/>
              </w:rPr>
              <w:t>Large accelerated filer</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jc w:val="center"/>
              <w:ind w:left="2119"/>
              <w:spacing w:after="0"/>
              <w:rPr>
                <w:sz w:val="20"/>
                <w:szCs w:val="20"/>
                <w:color w:val="auto"/>
              </w:rPr>
            </w:pPr>
            <w:r>
              <w:rPr>
                <w:rFonts w:ascii="Arial" w:cs="Arial" w:eastAsia="Arial" w:hAnsi="Arial"/>
                <w:sz w:val="16"/>
                <w:szCs w:val="16"/>
                <w:color w:val="auto"/>
                <w:w w:val="94"/>
              </w:rPr>
              <w:t>Accelerated filer</w:t>
            </w:r>
          </w:p>
        </w:tc>
        <w:tc>
          <w:tcPr>
            <w:tcW w:w="520" w:type="dxa"/>
            <w:vAlign w:val="bottom"/>
          </w:tcPr>
          <w:p>
            <w:pPr>
              <w:jc w:val="center"/>
              <w:ind w:left="283"/>
              <w:spacing w:after="0"/>
              <w:rPr>
                <w:sz w:val="20"/>
                <w:szCs w:val="20"/>
                <w:color w:val="auto"/>
              </w:rPr>
            </w:pPr>
            <w:r>
              <w:rPr>
                <w:rFonts w:ascii="Arial" w:cs="Arial" w:eastAsia="Arial" w:hAnsi="Arial"/>
                <w:sz w:val="14"/>
                <w:szCs w:val="14"/>
                <w:color w:val="auto"/>
              </w:rPr>
              <w:t>x</w:t>
            </w:r>
          </w:p>
        </w:tc>
      </w:tr>
      <w:tr>
        <w:trPr>
          <w:trHeight w:val="26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Non-accelerated filer</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jc w:val="center"/>
              <w:ind w:left="2139"/>
              <w:spacing w:after="0"/>
              <w:rPr>
                <w:sz w:val="20"/>
                <w:szCs w:val="20"/>
                <w:color w:val="auto"/>
              </w:rPr>
            </w:pPr>
            <w:r>
              <w:rPr>
                <w:rFonts w:ascii="Arial" w:cs="Arial" w:eastAsia="Arial" w:hAnsi="Arial"/>
                <w:sz w:val="16"/>
                <w:szCs w:val="16"/>
                <w:color w:val="auto"/>
                <w:w w:val="92"/>
              </w:rPr>
              <w:t>Smaller Reporting Company</w:t>
            </w:r>
          </w:p>
        </w:tc>
        <w:tc>
          <w:tcPr>
            <w:tcW w:w="520" w:type="dxa"/>
            <w:vAlign w:val="bottom"/>
          </w:tcPr>
          <w:p>
            <w:pPr>
              <w:jc w:val="center"/>
              <w:ind w:left="283"/>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70"/>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Emerging growth company</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440" w:type="dxa"/>
            <w:vAlign w:val="bottom"/>
          </w:tcPr>
          <w:p>
            <w:pPr>
              <w:jc w:val="center"/>
              <w:ind w:left="179"/>
              <w:spacing w:after="0"/>
              <w:rPr>
                <w:sz w:val="20"/>
                <w:szCs w:val="20"/>
                <w:color w:val="auto"/>
              </w:rPr>
            </w:pPr>
            <w:r>
              <w:rPr>
                <w:rFonts w:ascii="Arial" w:cs="Arial" w:eastAsia="Arial" w:hAnsi="Arial"/>
                <w:sz w:val="16"/>
                <w:szCs w:val="16"/>
                <w:color w:val="auto"/>
                <w:w w:val="92"/>
              </w:rPr>
              <w:t>Title of each class</w:t>
            </w:r>
          </w:p>
        </w:tc>
        <w:tc>
          <w:tcPr>
            <w:tcW w:w="2560" w:type="dxa"/>
            <w:vAlign w:val="bottom"/>
          </w:tcPr>
          <w:p>
            <w:pPr>
              <w:jc w:val="center"/>
              <w:spacing w:after="0"/>
              <w:rPr>
                <w:sz w:val="20"/>
                <w:szCs w:val="20"/>
                <w:color w:val="auto"/>
              </w:rPr>
            </w:pPr>
            <w:r>
              <w:rPr>
                <w:rFonts w:ascii="Arial" w:cs="Arial" w:eastAsia="Arial" w:hAnsi="Arial"/>
                <w:sz w:val="16"/>
                <w:szCs w:val="16"/>
                <w:color w:val="auto"/>
                <w:w w:val="94"/>
              </w:rPr>
              <w:t>Trading Symbol(s)</w:t>
            </w:r>
          </w:p>
        </w:tc>
        <w:tc>
          <w:tcPr>
            <w:tcW w:w="4420" w:type="dxa"/>
            <w:vAlign w:val="bottom"/>
          </w:tcPr>
          <w:p>
            <w:pPr>
              <w:jc w:val="center"/>
              <w:ind w:right="17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4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jc w:val="center"/>
              <w:ind w:left="179"/>
              <w:spacing w:after="0"/>
              <w:rPr>
                <w:sz w:val="20"/>
                <w:szCs w:val="20"/>
                <w:color w:val="auto"/>
              </w:rPr>
            </w:pPr>
            <w:r>
              <w:rPr>
                <w:rFonts w:ascii="Arial" w:cs="Arial" w:eastAsia="Arial" w:hAnsi="Arial"/>
                <w:sz w:val="16"/>
                <w:szCs w:val="16"/>
                <w:color w:val="auto"/>
                <w:w w:val="91"/>
              </w:rPr>
              <w:t>Common Stock, par value $.0001 par value</w:t>
            </w:r>
          </w:p>
        </w:tc>
        <w:tc>
          <w:tcPr>
            <w:tcW w:w="2560" w:type="dxa"/>
            <w:vAlign w:val="bottom"/>
            <w:vMerge w:val="restart"/>
          </w:tcPr>
          <w:p>
            <w:pPr>
              <w:jc w:val="center"/>
              <w:spacing w:after="0"/>
              <w:rPr>
                <w:sz w:val="20"/>
                <w:szCs w:val="20"/>
                <w:color w:val="auto"/>
              </w:rPr>
            </w:pPr>
            <w:r>
              <w:rPr>
                <w:rFonts w:ascii="Arial" w:cs="Arial" w:eastAsia="Arial" w:hAnsi="Arial"/>
                <w:sz w:val="16"/>
                <w:szCs w:val="16"/>
                <w:color w:val="auto"/>
                <w:w w:val="96"/>
              </w:rPr>
              <w:t>SNCR</w:t>
            </w:r>
          </w:p>
        </w:tc>
        <w:tc>
          <w:tcPr>
            <w:tcW w:w="4420" w:type="dxa"/>
            <w:vAlign w:val="bottom"/>
          </w:tcPr>
          <w:p>
            <w:pPr>
              <w:jc w:val="center"/>
              <w:ind w:right="179"/>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As of May 6, 2019, there were 42,790,173 shares of common stock issued and outstanding.</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9"/>
          </w:tcPr>
          <w:p>
            <w:pPr>
              <w:jc w:val="center"/>
              <w:ind w:right="1720"/>
              <w:spacing w:after="0"/>
              <w:rPr>
                <w:sz w:val="20"/>
                <w:szCs w:val="20"/>
                <w:color w:val="auto"/>
              </w:rPr>
            </w:pPr>
            <w:r>
              <w:rPr>
                <w:rFonts w:ascii="Arial" w:cs="Arial" w:eastAsia="Arial" w:hAnsi="Arial"/>
                <w:sz w:val="18"/>
                <w:szCs w:val="18"/>
                <w:b w:val="1"/>
                <w:bCs w:val="1"/>
                <w:color w:val="auto"/>
                <w:w w:val="99"/>
              </w:rPr>
              <w:t>SYNCHRONOSS TECHNOLOGIES,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7"/>
          </w:tcPr>
          <w:p>
            <w:pPr>
              <w:jc w:val="center"/>
              <w:ind w:right="3500"/>
              <w:spacing w:after="0"/>
              <w:rPr>
                <w:sz w:val="20"/>
                <w:szCs w:val="20"/>
                <w:color w:val="auto"/>
              </w:rPr>
            </w:pPr>
            <w:r>
              <w:rPr>
                <w:rFonts w:ascii="Arial" w:cs="Arial" w:eastAsia="Arial" w:hAnsi="Arial"/>
                <w:sz w:val="18"/>
                <w:szCs w:val="18"/>
                <w:b w:val="1"/>
                <w:bCs w:val="1"/>
                <w:color w:val="auto"/>
              </w:rPr>
              <w:t>FORM 10-Q INDEX</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80" w:type="dxa"/>
            <w:vAlign w:val="bottom"/>
            <w:gridSpan w:val="2"/>
          </w:tcPr>
          <w:p>
            <w:pPr>
              <w:spacing w:after="0" w:line="17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PART I.</w:t>
              </w:r>
            </w:hyperlink>
          </w:p>
        </w:tc>
        <w:tc>
          <w:tcPr>
            <w:tcW w:w="520" w:type="dxa"/>
            <w:vAlign w:val="bottom"/>
            <w:gridSpan w:val="2"/>
          </w:tcPr>
          <w:p>
            <w:pPr>
              <w:spacing w:after="0"/>
              <w:rPr>
                <w:sz w:val="15"/>
                <w:szCs w:val="15"/>
                <w:color w:val="auto"/>
              </w:rPr>
            </w:pPr>
          </w:p>
        </w:tc>
        <w:tc>
          <w:tcPr>
            <w:tcW w:w="9260" w:type="dxa"/>
            <w:vAlign w:val="bottom"/>
            <w:gridSpan w:val="17"/>
            <w:vMerge w:val="continue"/>
          </w:tcPr>
          <w:p>
            <w:pPr>
              <w:spacing w:after="0"/>
              <w:rPr>
                <w:sz w:val="15"/>
                <w:szCs w:val="15"/>
                <w:color w:val="auto"/>
              </w:rPr>
            </w:pPr>
          </w:p>
        </w:tc>
        <w:tc>
          <w:tcPr>
            <w:tcW w:w="560" w:type="dxa"/>
            <w:vAlign w:val="bottom"/>
            <w:gridSpan w:val="2"/>
          </w:tcPr>
          <w:p>
            <w:pPr>
              <w:jc w:val="center"/>
              <w:ind w:left="370"/>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0000EE"/>
            </w:tcBorders>
          </w:tcPr>
          <w:p>
            <w:pPr>
              <w:spacing w:after="0"/>
              <w:rPr>
                <w:sz w:val="2"/>
                <w:szCs w:val="2"/>
                <w:color w:val="auto"/>
              </w:rPr>
            </w:pPr>
          </w:p>
        </w:tc>
        <w:tc>
          <w:tcPr>
            <w:tcW w:w="540" w:type="dxa"/>
            <w:vAlign w:val="bottom"/>
            <w:gridSpan w:val="2"/>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520" w:type="dxa"/>
            <w:vAlign w:val="bottom"/>
            <w:gridSpan w:val="2"/>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and Notes</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Borders>
              <w:top w:val="single" w:sz="8" w:color="0000EE"/>
            </w:tcBorders>
            <w:gridSpan w:val="10"/>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Balance Sheets (unaudited)</w:t>
              </w:r>
            </w:hyperlink>
          </w:p>
        </w:tc>
        <w:tc>
          <w:tcPr>
            <w:tcW w:w="52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Income (Loss) (unaudited)</w:t>
              </w:r>
            </w:hyperlink>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406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92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26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80" w:type="dxa"/>
            <w:vAlign w:val="bottom"/>
            <w:tcBorders>
              <w:left w:val="single" w:sz="8" w:color="0000EE"/>
            </w:tcBorders>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92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PART II.</w:t>
              </w:r>
            </w:hyperlink>
          </w:p>
        </w:tc>
        <w:tc>
          <w:tcPr>
            <w:tcW w:w="46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OTHER INFORMATION</w:t>
              </w:r>
            </w:hyperlink>
          </w:p>
        </w:tc>
        <w:tc>
          <w:tcPr>
            <w:tcW w:w="7440" w:type="dxa"/>
            <w:vAlign w:val="bottom"/>
            <w:gridSpan w:val="11"/>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46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7440" w:type="dxa"/>
            <w:vAlign w:val="bottom"/>
            <w:gridSpan w:val="11"/>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1A.</w:t>
              </w:r>
            </w:hyperlink>
          </w:p>
        </w:tc>
        <w:tc>
          <w:tcPr>
            <w:tcW w:w="46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w w:val="81"/>
              </w:rPr>
            </w:pPr>
            <w:hyperlink w:anchor="page41">
              <w:r>
                <w:rPr>
                  <w:rFonts w:ascii="Arial" w:cs="Arial" w:eastAsia="Arial" w:hAnsi="Arial"/>
                  <w:sz w:val="18"/>
                  <w:szCs w:val="18"/>
                  <w:color w:val="0000EE"/>
                  <w:w w:val="81"/>
                </w:rPr>
                <w:t>Risk Factors</w:t>
              </w:r>
            </w:hyperlink>
          </w:p>
        </w:tc>
        <w:tc>
          <w:tcPr>
            <w:tcW w:w="8420" w:type="dxa"/>
            <w:vAlign w:val="bottom"/>
            <w:gridSpan w:val="14"/>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2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2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w:t>
              </w:r>
            </w:hyperlink>
          </w:p>
        </w:tc>
        <w:tc>
          <w:tcPr>
            <w:tcW w:w="92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926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SIGNATURES</w:t>
              </w:r>
            </w:hyperlink>
          </w:p>
        </w:tc>
        <w:tc>
          <w:tcPr>
            <w:tcW w:w="9260" w:type="dxa"/>
            <w:vAlign w:val="bottom"/>
            <w:gridSpan w:val="17"/>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7720" w:type="dxa"/>
            <w:vAlign w:val="bottom"/>
            <w:vMerge w:val="restart"/>
          </w:tcPr>
          <w:p>
            <w:pPr>
              <w:ind w:left="52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18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103,771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6,089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Marketable securities, current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28,230</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Accounts receivable, net of allowances of $5,139 and $4,599 at March 31, 2019 and December 31, 2018,</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108,939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102,798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45,058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8,508</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270,884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294,454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Marketable securities, non-current</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67,937</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64,747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224,899</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92,759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98,706</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8,982</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Equity method investment</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703,255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13,576</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52,875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59,545</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Deferred revenues, current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57,101</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Short-term convertible debt, net of debt issuance costs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97,205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113,542</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234,111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243,764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Lease financing obligation</w:t>
            </w:r>
          </w:p>
        </w:tc>
        <w:tc>
          <w:tcPr>
            <w:tcW w:w="24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9,494</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Deferred revenues,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59,841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7,504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10,797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Series A Convertible Participating Perpetual Preferred Stock, $0.0001 par value; 10,000 shares authorized; 195</w:t>
            </w:r>
          </w:p>
        </w:tc>
        <w:tc>
          <w:tcPr>
            <w:tcW w:w="24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177,065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176,603</w:t>
            </w:r>
          </w:p>
        </w:tc>
        <w:tc>
          <w:tcPr>
            <w:tcW w:w="0" w:type="dxa"/>
            <w:vAlign w:val="bottom"/>
          </w:tcPr>
          <w:p>
            <w:pPr>
              <w:spacing w:after="0"/>
              <w:rPr>
                <w:sz w:val="1"/>
                <w:szCs w:val="1"/>
                <w:color w:val="auto"/>
              </w:rPr>
            </w:pPr>
          </w:p>
        </w:tc>
      </w:tr>
      <w:tr>
        <w:trPr>
          <w:trHeight w:val="98"/>
        </w:trPr>
        <w:tc>
          <w:tcPr>
            <w:tcW w:w="180" w:type="dxa"/>
            <w:vAlign w:val="bottom"/>
            <w:shd w:val="clear" w:color="auto" w:fill="CCEEFF"/>
          </w:tcPr>
          <w:p>
            <w:pPr>
              <w:spacing w:after="0"/>
              <w:rPr>
                <w:sz w:val="8"/>
                <w:szCs w:val="8"/>
                <w:color w:val="auto"/>
              </w:rPr>
            </w:pPr>
          </w:p>
        </w:tc>
        <w:tc>
          <w:tcPr>
            <w:tcW w:w="77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at March 31, 2019</w:t>
            </w:r>
          </w:p>
        </w:tc>
        <w:tc>
          <w:tcPr>
            <w:tcW w:w="24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Borders>
              <w:bottom w:val="single" w:sz="8" w:color="CCEEFF"/>
            </w:tcBorders>
            <w:shd w:val="clear" w:color="auto" w:fill="CCEEFF"/>
          </w:tcPr>
          <w:p>
            <w:pPr>
              <w:spacing w:after="0"/>
              <w:rPr>
                <w:sz w:val="10"/>
                <w:szCs w:val="10"/>
                <w:color w:val="auto"/>
              </w:rPr>
            </w:pPr>
          </w:p>
        </w:tc>
        <w:tc>
          <w:tcPr>
            <w:tcW w:w="772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Common stock, $0.0001 par value; 100,000 shares authorized, 49,908 and 49,836 shares issued; 42,746 and 42,674</w:t>
            </w:r>
          </w:p>
        </w:tc>
        <w:tc>
          <w:tcPr>
            <w:tcW w:w="24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8"/>
        </w:trPr>
        <w:tc>
          <w:tcPr>
            <w:tcW w:w="180" w:type="dxa"/>
            <w:vAlign w:val="bottom"/>
            <w:shd w:val="clear" w:color="auto" w:fill="CCEEFF"/>
          </w:tcPr>
          <w:p>
            <w:pPr>
              <w:spacing w:after="0"/>
              <w:rPr>
                <w:sz w:val="8"/>
                <w:szCs w:val="8"/>
                <w:color w:val="auto"/>
              </w:rPr>
            </w:pPr>
          </w:p>
        </w:tc>
        <w:tc>
          <w:tcPr>
            <w:tcW w:w="77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outstanding at March 31, 2019 and December 31, 2018, respectively</w:t>
            </w:r>
          </w:p>
        </w:tc>
        <w:tc>
          <w:tcPr>
            <w:tcW w:w="24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Borders>
              <w:bottom w:val="single" w:sz="8" w:color="CCEEFF"/>
            </w:tcBorders>
            <w:shd w:val="clear" w:color="auto" w:fill="CCEEFF"/>
          </w:tcPr>
          <w:p>
            <w:pPr>
              <w:spacing w:after="0"/>
              <w:rPr>
                <w:sz w:val="10"/>
                <w:szCs w:val="10"/>
                <w:color w:val="auto"/>
              </w:rPr>
            </w:pPr>
          </w:p>
        </w:tc>
        <w:tc>
          <w:tcPr>
            <w:tcW w:w="772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Treasury stock, at cost (7,162 and 7,162 shares at March 31, 2019 and December 31, 2018, respectively)</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(82,087)</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534,673</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(31,966)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(30,383)</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(233,299)</w:t>
            </w:r>
          </w:p>
        </w:tc>
        <w:tc>
          <w:tcPr>
            <w:tcW w:w="0" w:type="dxa"/>
            <w:vAlign w:val="bottom"/>
          </w:tcPr>
          <w:p>
            <w:pPr>
              <w:spacing w:after="0"/>
              <w:rPr>
                <w:sz w:val="1"/>
                <w:szCs w:val="1"/>
                <w:color w:val="auto"/>
              </w:rPr>
            </w:pPr>
          </w:p>
        </w:tc>
      </w:tr>
      <w:tr>
        <w:trPr>
          <w:trHeight w:val="21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169,400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188,909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703,255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720" w:type="dxa"/>
            <w:vAlign w:val="bottom"/>
          </w:tcPr>
          <w:p>
            <w:pPr>
              <w:ind w:left="16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8"/>
                <w:szCs w:val="18"/>
                <w:i w:val="1"/>
                <w:iCs w:val="1"/>
                <w:color w:val="auto"/>
              </w:rPr>
              <w:t>2. Basis of Presentation and Consolidation</w:t>
            </w:r>
            <w:r>
              <w:rPr>
                <w:rFonts w:ascii="Arial" w:cs="Arial" w:eastAsia="Arial" w:hAnsi="Arial"/>
                <w:sz w:val="16"/>
                <w:szCs w:val="16"/>
                <w:color w:val="auto"/>
              </w:rPr>
              <w:t xml:space="preserve"> </w:t>
            </w:r>
            <w:r>
              <w:rPr>
                <w:rFonts w:ascii="Arial" w:cs="Arial" w:eastAsia="Arial" w:hAnsi="Arial"/>
                <w:sz w:val="18"/>
                <w:szCs w:val="18"/>
                <w:color w:val="auto"/>
              </w:rPr>
              <w:t>for restricted cash details.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360" w:right="3140" w:hanging="3352"/>
        <w:spacing w:after="0" w:line="572" w:lineRule="auto"/>
        <w:tabs>
          <w:tab w:leader="none" w:pos="341"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6"/>
          <w:szCs w:val="16"/>
          <w:i w:val="1"/>
          <w:iCs w:val="1"/>
          <w:color w:val="auto"/>
        </w:rPr>
        <w:t>6. Investments in Affiliates and Related Transactions</w:t>
      </w:r>
      <w:r>
        <w:rPr>
          <w:rFonts w:ascii="Arial" w:cs="Arial" w:eastAsia="Arial" w:hAnsi="Arial"/>
          <w:sz w:val="14"/>
          <w:szCs w:val="14"/>
          <w:color w:val="auto"/>
        </w:rPr>
        <w:t xml:space="preserve"> for related party transactions reflected in this account. See accompanying notes to condensed consolidated financial statements.</w:t>
      </w:r>
    </w:p>
    <w:p>
      <w:pPr>
        <w:sectPr>
          <w:pgSz w:w="11900" w:h="16838" w:orient="portrait"/>
          <w:cols w:equalWidth="0" w:num="1">
            <w:col w:w="11420"/>
          </w:cols>
          <w:pgMar w:left="240" w:top="125" w:right="239" w:bottom="678"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7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83"/>
        </w:trPr>
        <w:tc>
          <w:tcPr>
            <w:tcW w:w="8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83,709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44,549</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19,681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20,905</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38,110</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23,271</w:t>
            </w:r>
          </w:p>
        </w:tc>
        <w:tc>
          <w:tcPr>
            <w:tcW w:w="0" w:type="dxa"/>
            <w:vAlign w:val="bottom"/>
          </w:tcPr>
          <w:p>
            <w:pPr>
              <w:spacing w:after="0"/>
              <w:rPr>
                <w:sz w:val="1"/>
                <w:szCs w:val="1"/>
                <w:color w:val="auto"/>
              </w:rPr>
            </w:pP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108,444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127,943</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(44,234)</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Gain on extinguishment of debt</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Equity method investment loss, net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 before taxes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(37,852)</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(37,977)</w:t>
            </w:r>
          </w:p>
        </w:tc>
        <w:tc>
          <w:tcPr>
            <w:tcW w:w="0" w:type="dxa"/>
            <w:vAlign w:val="bottom"/>
          </w:tcPr>
          <w:p>
            <w:pPr>
              <w:spacing w:after="0"/>
              <w:rPr>
                <w:sz w:val="1"/>
                <w:szCs w:val="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Net (income) loss attributable to redeemable noncontrolling interests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dividend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28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Synchronoss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(27,587)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(40,045)</w:t>
            </w: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42,181</w:t>
            </w:r>
          </w:p>
        </w:tc>
        <w:tc>
          <w:tcPr>
            <w:tcW w:w="0" w:type="dxa"/>
            <w:vAlign w:val="bottom"/>
          </w:tcPr>
          <w:p>
            <w:pPr>
              <w:spacing w:after="0"/>
              <w:rPr>
                <w:sz w:val="1"/>
                <w:szCs w:val="1"/>
                <w:color w:val="auto"/>
              </w:rPr>
            </w:pPr>
          </w:p>
        </w:tc>
      </w:tr>
      <w:tr>
        <w:trPr>
          <w:trHeight w:val="244"/>
        </w:trPr>
        <w:tc>
          <w:tcPr>
            <w:tcW w:w="8360" w:type="dxa"/>
            <w:vAlign w:val="bottom"/>
          </w:tcPr>
          <w:p>
            <w:pPr>
              <w:ind w:left="28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40,320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42,181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5000" w:right="2080" w:hanging="2903"/>
        <w:spacing w:after="0" w:line="313"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561"/>
              <w:spacing w:after="0"/>
              <w:rPr>
                <w:sz w:val="20"/>
                <w:szCs w:val="20"/>
                <w:color w:val="auto"/>
              </w:rPr>
            </w:pPr>
            <w:r>
              <w:rPr>
                <w:rFonts w:ascii="Arial" w:cs="Arial" w:eastAsia="Arial" w:hAnsi="Arial"/>
                <w:sz w:val="13"/>
                <w:szCs w:val="13"/>
                <w:b w:val="1"/>
                <w:bCs w:val="1"/>
                <w:color w:val="auto"/>
              </w:rPr>
              <w:t>Three Months Ended</w:t>
            </w:r>
          </w:p>
        </w:tc>
      </w:tr>
      <w:tr>
        <w:trPr>
          <w:trHeight w:val="174"/>
        </w:trPr>
        <w:tc>
          <w:tcPr>
            <w:tcW w:w="8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3"/>
                <w:szCs w:val="13"/>
                <w:b w:val="1"/>
                <w:bCs w:val="1"/>
                <w:color w:val="auto"/>
              </w:rPr>
              <w:t>March 31,</w:t>
            </w:r>
          </w:p>
        </w:tc>
        <w:tc>
          <w:tcPr>
            <w:tcW w:w="840" w:type="dxa"/>
            <w:vAlign w:val="bottom"/>
            <w:tcBorders>
              <w:bottom w:val="single" w:sz="8" w:color="auto"/>
            </w:tcBorders>
          </w:tcPr>
          <w:p>
            <w:pPr>
              <w:spacing w:after="0"/>
              <w:rPr>
                <w:sz w:val="15"/>
                <w:szCs w:val="15"/>
                <w:color w:val="auto"/>
              </w:rPr>
            </w:pPr>
          </w:p>
        </w:tc>
      </w:tr>
      <w:tr>
        <w:trPr>
          <w:trHeight w:val="264"/>
        </w:trPr>
        <w:tc>
          <w:tcPr>
            <w:tcW w:w="8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2018</w:t>
            </w:r>
          </w:p>
        </w:tc>
      </w:tr>
      <w:tr>
        <w:trPr>
          <w:trHeight w:val="23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(37,977)</w:t>
            </w:r>
          </w:p>
        </w:tc>
      </w:tr>
      <w:tr>
        <w:trPr>
          <w:trHeight w:val="237"/>
        </w:trPr>
        <w:tc>
          <w:tcPr>
            <w:tcW w:w="8820" w:type="dxa"/>
            <w:vAlign w:val="bottom"/>
          </w:tcPr>
          <w:p>
            <w:pPr>
              <w:ind w:left="180"/>
              <w:spacing w:after="0"/>
              <w:rPr>
                <w:sz w:val="20"/>
                <w:szCs w:val="20"/>
                <w:color w:val="auto"/>
              </w:rPr>
            </w:pPr>
            <w:r>
              <w:rPr>
                <w:rFonts w:ascii="Arial" w:cs="Arial" w:eastAsia="Arial" w:hAnsi="Arial"/>
                <w:sz w:val="16"/>
                <w:szCs w:val="16"/>
                <w:color w:val="auto"/>
              </w:rPr>
              <w:t>Other comprehensive (loss) income, net of tax:</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2,872</w:t>
            </w:r>
          </w:p>
        </w:tc>
      </w:tr>
      <w:tr>
        <w:trPr>
          <w:trHeight w:val="237"/>
        </w:trPr>
        <w:tc>
          <w:tcPr>
            <w:tcW w:w="8820" w:type="dxa"/>
            <w:vAlign w:val="bottom"/>
          </w:tcPr>
          <w:p>
            <w:pPr>
              <w:ind w:left="280"/>
              <w:spacing w:after="0"/>
              <w:rPr>
                <w:sz w:val="20"/>
                <w:szCs w:val="20"/>
                <w:color w:val="auto"/>
              </w:rPr>
            </w:pPr>
            <w:r>
              <w:rPr>
                <w:rFonts w:ascii="Arial" w:cs="Arial" w:eastAsia="Arial" w:hAnsi="Arial"/>
                <w:sz w:val="16"/>
                <w:szCs w:val="16"/>
                <w:color w:val="auto"/>
              </w:rPr>
              <w:t>Unrealized loss on available for sale securities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on intra-entity foreign currency transactions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829</w:t>
            </w:r>
          </w:p>
        </w:tc>
      </w:tr>
      <w:tr>
        <w:trPr>
          <w:trHeight w:val="217"/>
        </w:trPr>
        <w:tc>
          <w:tcPr>
            <w:tcW w:w="8820" w:type="dxa"/>
            <w:vAlign w:val="bottom"/>
          </w:tcPr>
          <w:p>
            <w:pPr>
              <w:ind w:left="40"/>
              <w:spacing w:after="0"/>
              <w:rPr>
                <w:sz w:val="20"/>
                <w:szCs w:val="20"/>
                <w:color w:val="auto"/>
              </w:rPr>
            </w:pPr>
            <w:r>
              <w:rPr>
                <w:rFonts w:ascii="Arial" w:cs="Arial" w:eastAsia="Arial" w:hAnsi="Arial"/>
                <w:sz w:val="16"/>
                <w:szCs w:val="16"/>
                <w:color w:val="auto"/>
              </w:rPr>
              <w:t>Total other comprehensive (loss) income</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3,680</w:t>
            </w:r>
          </w:p>
        </w:tc>
      </w:tr>
      <w:tr>
        <w:trPr>
          <w:trHeight w:val="33"/>
        </w:trPr>
        <w:tc>
          <w:tcPr>
            <w:tcW w:w="8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(34,297)</w:t>
            </w:r>
          </w:p>
        </w:tc>
      </w:tr>
      <w:tr>
        <w:trPr>
          <w:trHeight w:val="237"/>
        </w:trPr>
        <w:tc>
          <w:tcPr>
            <w:tcW w:w="8820" w:type="dxa"/>
            <w:vAlign w:val="bottom"/>
          </w:tcPr>
          <w:p>
            <w:pPr>
              <w:ind w:left="280"/>
              <w:spacing w:after="0"/>
              <w:rPr>
                <w:sz w:val="20"/>
                <w:szCs w:val="20"/>
                <w:color w:val="auto"/>
              </w:rPr>
            </w:pPr>
            <w:r>
              <w:rPr>
                <w:rFonts w:ascii="Arial" w:cs="Arial" w:eastAsia="Arial" w:hAnsi="Arial"/>
                <w:sz w:val="16"/>
                <w:szCs w:val="16"/>
                <w:color w:val="auto"/>
              </w:rPr>
              <w:t>Comprehensive (income) loss attributable to redeemable noncontrolling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1,285</w:t>
            </w:r>
          </w:p>
        </w:tc>
      </w:tr>
      <w:tr>
        <w:trPr>
          <w:trHeight w:val="33"/>
        </w:trPr>
        <w:tc>
          <w:tcPr>
            <w:tcW w:w="8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Synchronoss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(33,012)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tcPr>
          <w:p>
            <w:pPr>
              <w:ind w:left="200"/>
              <w:spacing w:after="0"/>
              <w:rPr>
                <w:sz w:val="20"/>
                <w:szCs w:val="20"/>
                <w:color w:val="auto"/>
              </w:rPr>
            </w:pPr>
            <w:r>
              <w:rPr>
                <w:rFonts w:ascii="Arial" w:cs="Arial" w:eastAsia="Arial" w:hAnsi="Arial"/>
                <w:sz w:val="9"/>
                <w:szCs w:val="9"/>
                <w:b w:val="1"/>
                <w:bCs w:val="1"/>
                <w:color w:val="auto"/>
              </w:rPr>
              <w:t>Three Months Ended March 31, 2019</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2018</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49,836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534,673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(30,383)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(233,299)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188,909</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5,779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(7,075)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(462)</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(20,050)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(20,050)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313</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(1,583)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(1,583)</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ASC 842 lease standard implementation impact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3,573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3,573</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March 31, 2019</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49,908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533,224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(31,966)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(249,776)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169,400</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3"/>
        </w:trPr>
        <w:tc>
          <w:tcPr>
            <w:tcW w:w="4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200"/>
              <w:spacing w:after="0"/>
              <w:rPr>
                <w:sz w:val="20"/>
                <w:szCs w:val="20"/>
                <w:color w:val="auto"/>
              </w:rPr>
            </w:pPr>
            <w:r>
              <w:rPr>
                <w:rFonts w:ascii="Arial" w:cs="Arial" w:eastAsia="Arial" w:hAnsi="Arial"/>
                <w:sz w:val="9"/>
                <w:szCs w:val="9"/>
                <w:b w:val="1"/>
                <w:bCs w:val="1"/>
                <w:color w:val="auto"/>
              </w:rPr>
              <w:t>Three Months Ended March 31, 2018</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2017</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52,028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(5,060)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w w:val="97"/>
              </w:rPr>
              <w:t>(105,584)</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597,553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(23,373)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(5,014)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463,587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7,186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246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(3,353)</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(86)</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shares received in connection with PIPE Purchase Agreement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(5,995)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(44,830)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(44,830)</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(36,692)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(36,692)</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11,496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3,647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3,647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ASC 606 revenue recognition implementation impact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(10,130)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(10,097)</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(39)</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2018</w:t>
            </w:r>
          </w:p>
        </w:tc>
        <w:tc>
          <w:tcPr>
            <w:tcW w:w="8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52,274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(11,055)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(150,414)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612,758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(19,693)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(51,837)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390,819</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23,272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Change in fair value of financial instruments</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(3,849)</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(Gain) loss on extinguishment of debt</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PIK interest*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(Earnings) loss from equity method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bond premium</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191</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interest on leased facility</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7,184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Accounts receivable, net of allowance for doubtful accounts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(6,141)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36,153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9,402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8,646</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(10,780)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(10,873)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(39,514)</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for operating activities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Purchases of capitalized software</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(7,047)</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securities available for sale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(6,676)</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Maturity of marketable securities available for sale</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1,450</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for) investing activities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(13,366)</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compensation-related proceeds, net of taxes paid on withholding shares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Extinguishment of outstanding Convertible Senior Notes</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(16,106)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preferred stock</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86,220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Preferred dividend payment</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capital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cash (used for) provided by financing activities</w:t>
            </w:r>
          </w:p>
        </w:tc>
        <w:tc>
          <w:tcPr>
            <w:tcW w:w="2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86,114</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2,253</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decrease in cash, restricted cash and cash equivalents</w:t>
            </w:r>
          </w:p>
        </w:tc>
        <w:tc>
          <w:tcPr>
            <w:tcW w:w="2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65,612</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restricted cash and cash equivalents,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109,860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246,126</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restricted 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90,294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311,738</w:t>
            </w:r>
          </w:p>
        </w:tc>
      </w:tr>
      <w:tr>
        <w:trPr>
          <w:trHeight w:val="116"/>
        </w:trPr>
        <w:tc>
          <w:tcPr>
            <w:tcW w:w="8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Cash and cash equivalents per the Condensed Consolidated Balance Sheets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88,768</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310,426</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 per the Condensed Consolidated Balance Sheets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1,312</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90,294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311,738</w:t>
            </w:r>
          </w:p>
        </w:tc>
      </w:tr>
      <w:tr>
        <w:trPr>
          <w:trHeight w:val="116"/>
        </w:trPr>
        <w:tc>
          <w:tcPr>
            <w:tcW w:w="8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dividends on Series A Convertible Participating Perpetual Preferred Stock</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3,353</w:t>
            </w:r>
          </w:p>
        </w:tc>
      </w:tr>
    </w:tbl>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6. Investments in Affiliates and Related Transactions</w:t>
      </w:r>
      <w:r>
        <w:rPr>
          <w:rFonts w:ascii="Arial" w:cs="Arial" w:eastAsia="Arial" w:hAnsi="Arial"/>
          <w:sz w:val="18"/>
          <w:szCs w:val="18"/>
          <w:color w:val="auto"/>
        </w:rPr>
        <w:t xml:space="preserve"> for related party transactions reflected in this account.</w:t>
      </w:r>
    </w:p>
    <w:p>
      <w:pPr>
        <w:spacing w:after="0" w:line="215" w:lineRule="exact"/>
        <w:rPr>
          <w:rFonts w:ascii="Arial" w:cs="Arial" w:eastAsia="Arial" w:hAnsi="Arial"/>
          <w:sz w:val="18"/>
          <w:szCs w:val="18"/>
          <w:color w:val="auto"/>
        </w:rPr>
      </w:pPr>
    </w:p>
    <w:p>
      <w:pPr>
        <w:ind w:left="3380"/>
        <w:spacing w:after="0"/>
        <w:rPr>
          <w:rFonts w:ascii="Arial" w:cs="Arial" w:eastAsia="Arial" w:hAnsi="Arial"/>
          <w:sz w:val="18"/>
          <w:szCs w:val="18"/>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5" w:right="239" w:bottom="107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07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144" w:lineRule="exact"/>
        <w:rPr>
          <w:sz w:val="20"/>
          <w:szCs w:val="20"/>
          <w:color w:val="auto"/>
        </w:rPr>
      </w:pPr>
    </w:p>
    <w:p>
      <w:pPr>
        <w:ind w:left="980" w:right="2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Automotive and more</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platforms are designed and built to be Operator-grade, secure, flexible and scalable and easy to deploy and use - enabling multiple converged communications, commerce and applications and devices - deployed across multiple distribution channels including e-commerce, m-commerce, telesales, retail stores, care and call centers, self-service, indirect and other outlets.</w:t>
      </w:r>
    </w:p>
    <w:p>
      <w:pPr>
        <w:spacing w:after="0" w:line="10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Synchronoss Digital Experience Platform (“DXP”) is a purpose-built experience management toolset that sits between the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carrier’s customers to protect, engage with and manage their personal content and gives the Company’s Operator customers the ability to increase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2018. The results of operations for the three months ended March 31, 2019 are not necessarily indicative of the results to be expected for the year ending December 31, 2019.</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includes amounts related to various deposits, escrows and other cash collateral that are restricted by contractual obligation. As of March 31, 2019, the restricted cash amounts were primarily attributed to cash held in transit, and operating cash held by the Company’s consolidated joint venture Zentry, LLC (“Zentry”), which cannot be used to fulfill the obligations of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6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47"/>
        </w:trPr>
        <w:tc>
          <w:tcPr>
            <w:tcW w:w="19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Update 2018-07—</w:t>
            </w:r>
          </w:p>
        </w:tc>
        <w:tc>
          <w:tcPr>
            <w:tcW w:w="6360" w:type="dxa"/>
            <w:vAlign w:val="bottom"/>
          </w:tcPr>
          <w:p>
            <w:pPr>
              <w:ind w:left="100"/>
              <w:spacing w:after="0"/>
              <w:rPr>
                <w:sz w:val="20"/>
                <w:szCs w:val="20"/>
                <w:color w:val="auto"/>
              </w:rPr>
            </w:pPr>
            <w:r>
              <w:rPr>
                <w:rFonts w:ascii="Arial" w:cs="Arial" w:eastAsia="Arial" w:hAnsi="Arial"/>
                <w:sz w:val="16"/>
                <w:szCs w:val="16"/>
                <w:color w:val="auto"/>
                <w:w w:val="98"/>
              </w:rPr>
              <w:t>In June 2018, the FASB issued ASU 2018-07, regarding ASC Topic 718 “Compensation -</w:t>
            </w:r>
          </w:p>
        </w:tc>
        <w:tc>
          <w:tcPr>
            <w:tcW w:w="3020" w:type="dxa"/>
            <w:vAlign w:val="bottom"/>
          </w:tcPr>
          <w:p>
            <w:pPr>
              <w:ind w:left="80"/>
              <w:spacing w:after="0"/>
              <w:rPr>
                <w:sz w:val="20"/>
                <w:szCs w:val="20"/>
                <w:color w:val="auto"/>
              </w:rPr>
            </w:pPr>
            <w:r>
              <w:rPr>
                <w:rFonts w:ascii="Arial" w:cs="Arial" w:eastAsia="Arial" w:hAnsi="Arial"/>
                <w:sz w:val="16"/>
                <w:szCs w:val="16"/>
                <w:color w:val="auto"/>
                <w:w w:val="93"/>
              </w:rPr>
              <w:t>The adoption of this standard does not have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Compensation—Stock</w:t>
            </w: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Stock Compensation,” which largely aligns the accounting for share-based compensation for</w:t>
            </w:r>
          </w:p>
        </w:tc>
        <w:tc>
          <w:tcPr>
            <w:tcW w:w="3020" w:type="dxa"/>
            <w:vAlign w:val="bottom"/>
          </w:tcPr>
          <w:p>
            <w:pPr>
              <w:ind w:left="80"/>
              <w:spacing w:after="0"/>
              <w:rPr>
                <w:sz w:val="20"/>
                <w:szCs w:val="20"/>
                <w:color w:val="auto"/>
              </w:rPr>
            </w:pPr>
            <w:r>
              <w:rPr>
                <w:rFonts w:ascii="Arial" w:cs="Arial" w:eastAsia="Arial" w:hAnsi="Arial"/>
                <w:sz w:val="16"/>
                <w:szCs w:val="16"/>
                <w:color w:val="auto"/>
              </w:rPr>
              <w:t>a material effect on the Company’s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 (Topic 718):</w:t>
            </w:r>
          </w:p>
        </w:tc>
        <w:tc>
          <w:tcPr>
            <w:tcW w:w="6360" w:type="dxa"/>
            <w:vAlign w:val="bottom"/>
          </w:tcPr>
          <w:p>
            <w:pPr>
              <w:ind w:left="100"/>
              <w:spacing w:after="0"/>
              <w:rPr>
                <w:sz w:val="20"/>
                <w:szCs w:val="20"/>
                <w:color w:val="auto"/>
              </w:rPr>
            </w:pPr>
            <w:r>
              <w:rPr>
                <w:rFonts w:ascii="Arial" w:cs="Arial" w:eastAsia="Arial" w:hAnsi="Arial"/>
                <w:sz w:val="16"/>
                <w:szCs w:val="16"/>
                <w:color w:val="auto"/>
                <w:w w:val="93"/>
              </w:rPr>
              <w:t>non-employees with employees. The amendments in this ASU are effective for public business</w:t>
            </w:r>
          </w:p>
        </w:tc>
        <w:tc>
          <w:tcPr>
            <w:tcW w:w="3020" w:type="dxa"/>
            <w:vAlign w:val="bottom"/>
          </w:tcPr>
          <w:p>
            <w:pPr>
              <w:ind w:left="80"/>
              <w:spacing w:after="0"/>
              <w:rPr>
                <w:sz w:val="20"/>
                <w:szCs w:val="20"/>
                <w:color w:val="auto"/>
              </w:rPr>
            </w:pPr>
            <w:r>
              <w:rPr>
                <w:rFonts w:ascii="Arial" w:cs="Arial" w:eastAsia="Arial" w:hAnsi="Arial"/>
                <w:sz w:val="16"/>
                <w:szCs w:val="16"/>
                <w:color w:val="auto"/>
              </w:rPr>
              <w:t>condensed consolidated financial</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Improvements to Non-</w:t>
            </w:r>
          </w:p>
        </w:tc>
        <w:tc>
          <w:tcPr>
            <w:tcW w:w="6360" w:type="dxa"/>
            <w:vAlign w:val="bottom"/>
          </w:tcPr>
          <w:p>
            <w:pPr>
              <w:ind w:left="100"/>
              <w:spacing w:after="0"/>
              <w:rPr>
                <w:sz w:val="20"/>
                <w:szCs w:val="20"/>
                <w:color w:val="auto"/>
              </w:rPr>
            </w:pPr>
            <w:r>
              <w:rPr>
                <w:rFonts w:ascii="Arial" w:cs="Arial" w:eastAsia="Arial" w:hAnsi="Arial"/>
                <w:sz w:val="16"/>
                <w:szCs w:val="16"/>
                <w:color w:val="auto"/>
                <w:w w:val="97"/>
              </w:rPr>
              <w:t>entities for fiscal years beginning after December 15, 2018, including interim periods within</w:t>
            </w:r>
          </w:p>
        </w:tc>
        <w:tc>
          <w:tcPr>
            <w:tcW w:w="302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employee Share-Based</w:t>
            </w: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that fiscal year. For all other entities, the amendments are effective for fiscal years beginning</w:t>
            </w:r>
          </w:p>
        </w:tc>
        <w:tc>
          <w:tcPr>
            <w:tcW w:w="3020" w:type="dxa"/>
            <w:vAlign w:val="bottom"/>
          </w:tcPr>
          <w:p>
            <w:pPr>
              <w:spacing w:after="0"/>
              <w:rPr>
                <w:sz w:val="17"/>
                <w:szCs w:val="17"/>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Payment Accounting</w:t>
            </w:r>
          </w:p>
        </w:tc>
        <w:tc>
          <w:tcPr>
            <w:tcW w:w="6360" w:type="dxa"/>
            <w:vAlign w:val="bottom"/>
          </w:tcPr>
          <w:p>
            <w:pPr>
              <w:ind w:left="100"/>
              <w:spacing w:after="0"/>
              <w:rPr>
                <w:sz w:val="20"/>
                <w:szCs w:val="20"/>
                <w:color w:val="auto"/>
              </w:rPr>
            </w:pPr>
            <w:r>
              <w:rPr>
                <w:rFonts w:ascii="Arial" w:cs="Arial" w:eastAsia="Arial" w:hAnsi="Arial"/>
                <w:sz w:val="16"/>
                <w:szCs w:val="16"/>
                <w:color w:val="auto"/>
                <w:w w:val="93"/>
              </w:rPr>
              <w:t>after December 15, 2019, and interim periods within fiscal years beginning after December 15,</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6"/>
              </w:rPr>
              <w:t>2020. Early adoption is permitted, but no earlier than an entity’s adoption date of Topic 606.</w:t>
            </w:r>
          </w:p>
        </w:tc>
        <w:tc>
          <w:tcPr>
            <w:tcW w:w="302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2019.</w:t>
            </w:r>
          </w:p>
        </w:tc>
        <w:tc>
          <w:tcPr>
            <w:tcW w:w="6360" w:type="dxa"/>
            <w:vAlign w:val="bottom"/>
          </w:tcPr>
          <w:p>
            <w:pPr>
              <w:spacing w:after="0"/>
              <w:rPr>
                <w:sz w:val="17"/>
                <w:szCs w:val="17"/>
                <w:color w:val="auto"/>
              </w:rPr>
            </w:pPr>
          </w:p>
        </w:tc>
        <w:tc>
          <w:tcPr>
            <w:tcW w:w="3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ASU 2018-15 Intangibles -</w:t>
      </w:r>
      <w:r>
        <w:rPr>
          <w:sz w:val="20"/>
          <w:szCs w:val="20"/>
          <w:color w:val="auto"/>
        </w:rPr>
        <w:tab/>
      </w:r>
      <w:r>
        <w:rPr>
          <w:rFonts w:ascii="Arial" w:cs="Arial" w:eastAsia="Arial" w:hAnsi="Arial"/>
          <w:sz w:val="14"/>
          <w:szCs w:val="14"/>
          <w:color w:val="auto"/>
        </w:rPr>
        <w:t>In August 2018, the FASB issued final guidance requiring a customer in a cloud computing</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Goodwill and Other -</w:t>
      </w:r>
      <w:r>
        <w:rPr>
          <w:sz w:val="20"/>
          <w:szCs w:val="20"/>
          <w:color w:val="auto"/>
        </w:rPr>
        <w:tab/>
      </w:r>
      <w:r>
        <w:rPr>
          <w:rFonts w:ascii="Arial" w:cs="Arial" w:eastAsia="Arial" w:hAnsi="Arial"/>
          <w:sz w:val="14"/>
          <w:szCs w:val="14"/>
          <w:color w:val="auto"/>
        </w:rPr>
        <w:t>arrangement that is a service contract to follow the internal use software guidance in</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Internal Use Software</w:t>
      </w:r>
      <w:r>
        <w:rPr>
          <w:sz w:val="20"/>
          <w:szCs w:val="20"/>
          <w:color w:val="auto"/>
        </w:rPr>
        <w:tab/>
      </w:r>
      <w:r>
        <w:rPr>
          <w:rFonts w:ascii="Arial" w:cs="Arial" w:eastAsia="Arial" w:hAnsi="Arial"/>
          <w:sz w:val="15"/>
          <w:szCs w:val="15"/>
          <w:color w:val="auto"/>
        </w:rPr>
        <w:t>Accounting Standards Codification (“ASC”) 350-402 Intangibles - Goodwill and Other -</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(Subtopic 350-40): Cloud</w:t>
      </w:r>
      <w:r>
        <w:rPr>
          <w:sz w:val="20"/>
          <w:szCs w:val="20"/>
          <w:color w:val="auto"/>
        </w:rPr>
        <w:tab/>
      </w:r>
      <w:r>
        <w:rPr>
          <w:rFonts w:ascii="Arial" w:cs="Arial" w:eastAsia="Arial" w:hAnsi="Arial"/>
          <w:sz w:val="14"/>
          <w:szCs w:val="14"/>
          <w:color w:val="auto"/>
        </w:rPr>
        <w:t>Internal Use Software (Subtopic 350-40) to determine which implementation costs to</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Computing Arrangements</w:t>
      </w:r>
      <w:r>
        <w:rPr>
          <w:sz w:val="20"/>
          <w:szCs w:val="20"/>
          <w:color w:val="auto"/>
        </w:rPr>
        <w:tab/>
      </w:r>
      <w:r>
        <w:rPr>
          <w:rFonts w:ascii="Arial" w:cs="Arial" w:eastAsia="Arial" w:hAnsi="Arial"/>
          <w:sz w:val="14"/>
          <w:szCs w:val="14"/>
          <w:color w:val="auto"/>
        </w:rPr>
        <w:t>capitalize as assets. The amendments in this ASU are effective for fiscal years beginning after</w:t>
      </w:r>
    </w:p>
    <w:p>
      <w:pPr>
        <w:spacing w:after="0" w:line="19" w:lineRule="exact"/>
        <w:rPr>
          <w:sz w:val="20"/>
          <w:szCs w:val="20"/>
          <w:color w:val="auto"/>
        </w:rPr>
      </w:pPr>
    </w:p>
    <w:p>
      <w:pPr>
        <w:ind w:left="2120"/>
        <w:spacing w:after="0" w:line="302" w:lineRule="auto"/>
        <w:rPr>
          <w:sz w:val="20"/>
          <w:szCs w:val="20"/>
          <w:color w:val="auto"/>
        </w:rPr>
      </w:pPr>
      <w:r>
        <w:rPr>
          <w:rFonts w:ascii="Arial" w:cs="Arial" w:eastAsia="Arial" w:hAnsi="Arial"/>
          <w:sz w:val="15"/>
          <w:szCs w:val="15"/>
          <w:color w:val="auto"/>
        </w:rPr>
        <w:t>December 15, 2019. Early adoption of the amendments is permitted, including adoption in any interim period, for all entities and should be applied either retrospectively or prospectively to all implementation costs incurred after the date of adoption.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adoption of this standard does not have a material effect on the Company’s condensed consolidated financial statements.</w:t>
      </w:r>
    </w:p>
    <w:p>
      <w:pPr>
        <w:spacing w:after="0" w:line="1427" w:lineRule="exact"/>
        <w:rPr>
          <w:sz w:val="20"/>
          <w:szCs w:val="20"/>
          <w:color w:val="auto"/>
        </w:rPr>
      </w:pPr>
    </w:p>
    <w:p>
      <w:pPr>
        <w:sectPr>
          <w:pgSz w:w="11900" w:h="16838" w:orient="portrait"/>
          <w:cols w:equalWidth="0" w:num="2">
            <w:col w:w="8260" w:space="200"/>
            <w:col w:w="2960"/>
          </w:cols>
          <w:pgMar w:left="240" w:top="125" w:right="239" w:bottom="1440" w:gutter="0" w:footer="0" w:header="0"/>
          <w:type w:val="continuous"/>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adopted Accounting Standards Codification Topic 842, Leases (ASC 842) on January 1, 2019. For further discussion of the adoption, refer to the “Recent Accounting Pronouncements Adopted or Otherwise Effective as of March 31, 2019” section below. ASC 842 applies to a number of arrangements to which the Company is party whereby the Company acts as a lessee.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lease, the Company must then determine:</w:t>
      </w:r>
    </w:p>
    <w:p>
      <w:pPr>
        <w:spacing w:after="0" w:line="252" w:lineRule="exact"/>
        <w:rPr>
          <w:sz w:val="20"/>
          <w:szCs w:val="20"/>
          <w:color w:val="auto"/>
        </w:rPr>
      </w:pPr>
    </w:p>
    <w:p>
      <w:pPr>
        <w:jc w:val="both"/>
        <w:ind w:left="660" w:firstLine="320"/>
        <w:spacing w:after="0" w:line="311" w:lineRule="auto"/>
        <w:tabs>
          <w:tab w:leader="none" w:pos="1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181" w:lineRule="exact"/>
        <w:rPr>
          <w:rFonts w:ascii="Arial" w:cs="Arial" w:eastAsia="Arial" w:hAnsi="Arial"/>
          <w:sz w:val="18"/>
          <w:szCs w:val="18"/>
          <w:color w:val="auto"/>
        </w:rPr>
      </w:pPr>
    </w:p>
    <w:p>
      <w:pPr>
        <w:ind w:left="1360" w:hanging="380"/>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present value of lease payments is calculated based on:</w:t>
      </w:r>
    </w:p>
    <w:p>
      <w:pPr>
        <w:spacing w:after="0" w:line="265" w:lineRule="exact"/>
        <w:rPr>
          <w:rFonts w:ascii="Arial" w:cs="Arial" w:eastAsia="Arial" w:hAnsi="Arial"/>
          <w:sz w:val="18"/>
          <w:szCs w:val="18"/>
          <w:color w:val="auto"/>
        </w:rPr>
      </w:pPr>
    </w:p>
    <w:p>
      <w:pPr>
        <w:jc w:val="both"/>
        <w:ind w:left="1300" w:firstLine="324"/>
        <w:spacing w:after="0" w:line="325" w:lineRule="auto"/>
        <w:rPr>
          <w:rFonts w:ascii="Arial" w:cs="Arial" w:eastAsia="Arial" w:hAnsi="Arial"/>
          <w:sz w:val="18"/>
          <w:szCs w:val="18"/>
          <w:color w:val="auto"/>
        </w:rPr>
      </w:pPr>
      <w:r>
        <w:rPr>
          <w:rFonts w:ascii="Arial" w:cs="Arial" w:eastAsia="Arial" w:hAnsi="Arial"/>
          <w:sz w:val="17"/>
          <w:szCs w:val="17"/>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175" w:lineRule="exact"/>
        <w:rPr>
          <w:rFonts w:ascii="Arial" w:cs="Arial" w:eastAsia="Arial" w:hAnsi="Arial"/>
          <w:sz w:val="18"/>
          <w:szCs w:val="18"/>
          <w:color w:val="auto"/>
        </w:rPr>
      </w:pPr>
    </w:p>
    <w:p>
      <w:pPr>
        <w:jc w:val="both"/>
        <w:ind w:left="1300" w:firstLine="324"/>
        <w:spacing w:after="0" w:line="354" w:lineRule="auto"/>
        <w:rPr>
          <w:rFonts w:ascii="Arial" w:cs="Arial" w:eastAsia="Arial" w:hAnsi="Arial"/>
          <w:sz w:val="18"/>
          <w:szCs w:val="18"/>
          <w:color w:val="auto"/>
        </w:rPr>
      </w:pPr>
      <w:r>
        <w:rPr>
          <w:rFonts w:ascii="Arial" w:cs="Arial" w:eastAsia="Arial" w:hAnsi="Arial"/>
          <w:sz w:val="16"/>
          <w:szCs w:val="16"/>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156" w:lineRule="exact"/>
        <w:rPr>
          <w:rFonts w:ascii="Arial" w:cs="Arial" w:eastAsia="Arial" w:hAnsi="Arial"/>
          <w:sz w:val="18"/>
          <w:szCs w:val="18"/>
          <w:color w:val="auto"/>
        </w:rPr>
      </w:pPr>
    </w:p>
    <w:p>
      <w:pPr>
        <w:jc w:val="both"/>
        <w:ind w:left="660" w:firstLine="320"/>
        <w:spacing w:after="0" w:line="336" w:lineRule="auto"/>
        <w:tabs>
          <w:tab w:leader="none" w:pos="1371" w:val="left"/>
        </w:tabs>
        <w:numPr>
          <w:ilvl w:val="0"/>
          <w:numId w:val="7"/>
        </w:numPr>
        <w:rPr>
          <w:rFonts w:ascii="Arial" w:cs="Arial" w:eastAsia="Arial" w:hAnsi="Arial"/>
          <w:sz w:val="17"/>
          <w:szCs w:val="17"/>
          <w:color w:val="auto"/>
        </w:rPr>
      </w:pPr>
      <w:r>
        <w:rPr>
          <w:rFonts w:ascii="Arial" w:cs="Arial" w:eastAsia="Arial" w:hAnsi="Arial"/>
          <w:sz w:val="17"/>
          <w:szCs w:val="17"/>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lease liability, together with the following, if applicable: (i) initial direct costs and (ii) lease payments made, net of lease incentives received, prior to lease commencement.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Over the lease term, the Company generally increases it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finance leases, amortization expense and interest expense are recognized separately in the Condensed Consolidated Statements of Operations, with amortization expense generally recorded on a straight-line basis and interest expense recorded using the effective interest method. For operating leases, a single lease cost is generally recognized in the Condensed Consolidated Statements of Operations on a straight-line basis over the lease term. Lease costs for short-term leases not recognized in the Condensed Consolidated Balance Sheets are recognized in the Condensed Consolidated Statements of Operations on a straight-line basis over the lease term. Variable lease costs not initially included in the lease liability and ROU asset impairment charges are expensed as incurred.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No. 2016-02, “Leases (Topic 842)” (ASU 2016-02). In July 2018, the FASB issued ASU No. 2018-10, “Codification Improvements to Topic 842, Leases” (ASU 2018-10), which provides narrow amendments to clarify how to apply certain aspects of the new lease standard, and ASU No. 2018-11, “Leases (Topic 842) - Targeted Improvements” (ASU 2018-11), which addresses implementation issues related to the new lease standard. These and certain other lease-related ASUs have generally been codified in ASC 842. ASC 842 supersedes the lease accounting requirements in Accounting Standards Codification Topic 840, Leases (ASC 840), and requires lessees to, among other things, recognize a lease liability, which represents the discounted obligation to make future minimum lease payments, and a corresponding right-of-use asset on the balance sheet for most leases.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adopted ASC 842 on January 1, 2019 for leases that existed on that date. The Company has elected to apply the provisions of ASC 842 modified retrospectively at January 1, 2019 through a cumulative-effect adjustment. Prior period results continue to be presented under ASC 840 based on the accounting standards originally in effect for such periods.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elected certain practical expedients permitted under the transition guidance within ASC 842 to leases that commenced before January 1, 2019, including the package of practical expedients. Due to the Company's election of the package of practical expedients, the Company has carried forward certain historical conclusions for expired or existing contracts, including conclusions relating to initial direct costs and to the existence and classification of leases.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January 1, 2019, as a result of adopting ASC 842, the Company recorded a net decrease of $3.6 million million to its Accumulated deficit.</w:t>
      </w:r>
    </w:p>
    <w:p>
      <w:pPr>
        <w:spacing w:after="0" w:line="2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adoption of ASC 842 did not have a material effect on the Company's Loss from continuing operations or Net loss, or the related per-share amounts, during the three months ended March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80" w:type="dxa"/>
            <w:vAlign w:val="bottom"/>
          </w:tcPr>
          <w:p>
            <w:pPr>
              <w:ind w:left="12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10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Update 2018-17-</w:t>
            </w:r>
          </w:p>
        </w:tc>
        <w:tc>
          <w:tcPr>
            <w:tcW w:w="6380" w:type="dxa"/>
            <w:vAlign w:val="bottom"/>
          </w:tcPr>
          <w:p>
            <w:pPr>
              <w:ind w:left="120"/>
              <w:spacing w:after="0"/>
              <w:rPr>
                <w:sz w:val="20"/>
                <w:szCs w:val="20"/>
                <w:color w:val="auto"/>
              </w:rPr>
            </w:pPr>
            <w:r>
              <w:rPr>
                <w:rFonts w:ascii="Arial" w:cs="Arial" w:eastAsia="Arial" w:hAnsi="Arial"/>
                <w:sz w:val="16"/>
                <w:szCs w:val="16"/>
                <w:color w:val="auto"/>
                <w:w w:val="98"/>
              </w:rPr>
              <w:t>For entities other than private companies, the amendments in this Update are effective for</w:t>
            </w:r>
          </w:p>
        </w:tc>
        <w:tc>
          <w:tcPr>
            <w:tcW w:w="3020" w:type="dxa"/>
            <w:vAlign w:val="bottom"/>
          </w:tcPr>
          <w:p>
            <w:pPr>
              <w:ind w:left="10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Consolidation (Topic 810):</w:t>
            </w:r>
          </w:p>
        </w:tc>
        <w:tc>
          <w:tcPr>
            <w:tcW w:w="6380" w:type="dxa"/>
            <w:vAlign w:val="bottom"/>
          </w:tcPr>
          <w:p>
            <w:pPr>
              <w:ind w:left="120"/>
              <w:spacing w:after="0"/>
              <w:rPr>
                <w:sz w:val="20"/>
                <w:szCs w:val="20"/>
                <w:color w:val="auto"/>
              </w:rPr>
            </w:pPr>
            <w:r>
              <w:rPr>
                <w:rFonts w:ascii="Arial" w:cs="Arial" w:eastAsia="Arial" w:hAnsi="Arial"/>
                <w:sz w:val="16"/>
                <w:szCs w:val="16"/>
                <w:color w:val="auto"/>
                <w:w w:val="94"/>
              </w:rPr>
              <w:t>fiscal years beginning after December 15, 2019, and interim periods within those fiscal years.</w:t>
            </w:r>
          </w:p>
        </w:tc>
        <w:tc>
          <w:tcPr>
            <w:tcW w:w="3020" w:type="dxa"/>
            <w:vAlign w:val="bottom"/>
          </w:tcPr>
          <w:p>
            <w:pPr>
              <w:ind w:left="100"/>
              <w:spacing w:after="0"/>
              <w:rPr>
                <w:sz w:val="20"/>
                <w:szCs w:val="20"/>
                <w:color w:val="auto"/>
              </w:rPr>
            </w:pPr>
            <w:r>
              <w:rPr>
                <w:rFonts w:ascii="Arial" w:cs="Arial" w:eastAsia="Arial" w:hAnsi="Arial"/>
                <w:sz w:val="16"/>
                <w:szCs w:val="16"/>
                <w:color w:val="auto"/>
              </w:rPr>
              <w:t>impact of the adoption of this ASU on its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Targeted Improvements to</w:t>
            </w:r>
          </w:p>
        </w:tc>
        <w:tc>
          <w:tcPr>
            <w:tcW w:w="6380" w:type="dxa"/>
            <w:vAlign w:val="bottom"/>
          </w:tcPr>
          <w:p>
            <w:pPr>
              <w:ind w:left="120"/>
              <w:spacing w:after="0"/>
              <w:rPr>
                <w:sz w:val="20"/>
                <w:szCs w:val="20"/>
                <w:color w:val="auto"/>
              </w:rPr>
            </w:pPr>
            <w:r>
              <w:rPr>
                <w:rFonts w:ascii="Arial" w:cs="Arial" w:eastAsia="Arial" w:hAnsi="Arial"/>
                <w:sz w:val="16"/>
                <w:szCs w:val="16"/>
                <w:color w:val="auto"/>
                <w:w w:val="94"/>
              </w:rPr>
              <w:t>The amendments in this Update are effective for a private company for fiscal years beginning</w:t>
            </w:r>
          </w:p>
        </w:tc>
        <w:tc>
          <w:tcPr>
            <w:tcW w:w="3020" w:type="dxa"/>
            <w:vAlign w:val="bottom"/>
          </w:tcPr>
          <w:p>
            <w:pPr>
              <w:ind w:left="100"/>
              <w:spacing w:after="0"/>
              <w:rPr>
                <w:sz w:val="20"/>
                <w:szCs w:val="20"/>
                <w:color w:val="auto"/>
              </w:rPr>
            </w:pPr>
            <w:r>
              <w:rPr>
                <w:rFonts w:ascii="Arial" w:cs="Arial" w:eastAsia="Arial" w:hAnsi="Arial"/>
                <w:sz w:val="16"/>
                <w:szCs w:val="16"/>
                <w:color w:val="auto"/>
              </w:rPr>
              <w:t>condensed consolidated financial</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Related Party Guidance for</w:t>
            </w:r>
          </w:p>
        </w:tc>
        <w:tc>
          <w:tcPr>
            <w:tcW w:w="6380" w:type="dxa"/>
            <w:vAlign w:val="bottom"/>
          </w:tcPr>
          <w:p>
            <w:pPr>
              <w:ind w:left="120"/>
              <w:spacing w:after="0"/>
              <w:rPr>
                <w:sz w:val="20"/>
                <w:szCs w:val="20"/>
                <w:color w:val="auto"/>
              </w:rPr>
            </w:pPr>
            <w:r>
              <w:rPr>
                <w:rFonts w:ascii="Arial" w:cs="Arial" w:eastAsia="Arial" w:hAnsi="Arial"/>
                <w:sz w:val="16"/>
                <w:szCs w:val="16"/>
                <w:color w:val="auto"/>
                <w:w w:val="93"/>
              </w:rPr>
              <w:t>after December 15, 2020, and interim periods within fiscal years beginning after December 15,</w:t>
            </w:r>
          </w:p>
        </w:tc>
        <w:tc>
          <w:tcPr>
            <w:tcW w:w="3020" w:type="dxa"/>
            <w:vAlign w:val="bottom"/>
          </w:tcPr>
          <w:p>
            <w:pPr>
              <w:ind w:left="100"/>
              <w:spacing w:after="0"/>
              <w:rPr>
                <w:sz w:val="20"/>
                <w:szCs w:val="20"/>
                <w:color w:val="auto"/>
              </w:rPr>
            </w:pPr>
            <w:r>
              <w:rPr>
                <w:rFonts w:ascii="Arial" w:cs="Arial" w:eastAsia="Arial" w:hAnsi="Arial"/>
                <w:sz w:val="16"/>
                <w:szCs w:val="16"/>
                <w:color w:val="auto"/>
              </w:rPr>
              <w:t>statements.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Variable Interest Entities</w:t>
            </w:r>
          </w:p>
        </w:tc>
        <w:tc>
          <w:tcPr>
            <w:tcW w:w="6380" w:type="dxa"/>
            <w:vAlign w:val="bottom"/>
          </w:tcPr>
          <w:p>
            <w:pPr>
              <w:ind w:left="120"/>
              <w:spacing w:after="0"/>
              <w:rPr>
                <w:sz w:val="20"/>
                <w:szCs w:val="20"/>
                <w:color w:val="auto"/>
              </w:rPr>
            </w:pPr>
            <w:r>
              <w:rPr>
                <w:rFonts w:ascii="Arial" w:cs="Arial" w:eastAsia="Arial" w:hAnsi="Arial"/>
                <w:sz w:val="16"/>
                <w:szCs w:val="16"/>
                <w:color w:val="auto"/>
                <w:w w:val="96"/>
              </w:rPr>
              <w:t>2021. All entities are required to apply the amendments in this Update retrospectively with a</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cumulative-effect adjustment to retained earnings at the beginning of the earliest period</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presented. Early adoption is permitted.</w:t>
            </w:r>
          </w:p>
        </w:tc>
        <w:tc>
          <w:tcPr>
            <w:tcW w:w="302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8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2020.</w:t>
            </w:r>
          </w:p>
        </w:tc>
        <w:tc>
          <w:tcPr>
            <w:tcW w:w="6380" w:type="dxa"/>
            <w:vAlign w:val="bottom"/>
          </w:tcPr>
          <w:p>
            <w:pPr>
              <w:spacing w:after="0"/>
              <w:rPr>
                <w:sz w:val="17"/>
                <w:szCs w:val="17"/>
                <w:color w:val="auto"/>
              </w:rPr>
            </w:pPr>
          </w:p>
        </w:tc>
        <w:tc>
          <w:tcPr>
            <w:tcW w:w="3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40" w:right="100"/>
        <w:spacing w:after="0" w:line="318" w:lineRule="auto"/>
        <w:rPr>
          <w:sz w:val="20"/>
          <w:szCs w:val="20"/>
          <w:color w:val="auto"/>
        </w:rPr>
      </w:pPr>
      <w:r>
        <w:rPr>
          <w:rFonts w:ascii="Arial" w:cs="Arial" w:eastAsia="Arial" w:hAnsi="Arial"/>
          <w:sz w:val="14"/>
          <w:szCs w:val="14"/>
          <w:color w:val="auto"/>
        </w:rPr>
        <w:t>ASU 2016-13 Financial Instruments-Credit Losses (Topic 326): Measurement of Credit Losses on Financial Instruments</w:t>
      </w:r>
    </w:p>
    <w:p>
      <w:pPr>
        <w:spacing w:after="0" w:line="203"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Date of adoption: January 1, 2020.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June 2016, the FASB issued ASU 2016-13 which replaces the incurred loss impairment methodology in current U.S. GAAP with a methodology that reflects expected credit losses and requires consideration of a broader range of reasonable and supportable information to inform credit loss estimates. The ASU is effective for public companies in annual periods beginning after December 15, 2019, and interim periods within those years. Early adoption is permitted beginning after December 15, 2018 and interim periods within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290195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The Company is currently evaluating the impact of the adoption of this ASU on its condensed consolidated financial statements.</w:t>
      </w:r>
    </w:p>
    <w:p>
      <w:pPr>
        <w:spacing w:after="0" w:line="1081" w:lineRule="exact"/>
        <w:rPr>
          <w:sz w:val="20"/>
          <w:szCs w:val="20"/>
          <w:color w:val="auto"/>
        </w:rPr>
      </w:pPr>
    </w:p>
    <w:p>
      <w:pPr>
        <w:sectPr>
          <w:pgSz w:w="11900" w:h="16838" w:orient="portrait"/>
          <w:cols w:equalWidth="0" w:num="3">
            <w:col w:w="1880" w:space="240"/>
            <w:col w:w="6200" w:space="160"/>
            <w:col w:w="2940"/>
          </w:cols>
          <w:pgMar w:left="240" w:top="125" w:right="2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EMEA, and APAC. The majority of the Company’s revenue is from the Technology, Media and Telecom (collectively, “TMT”) sector.</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6"/>
              </w:rPr>
              <w:t>Three Months Ended March 31, 2019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Three Months Ended March 31, 2018</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auto"/>
              </w:rPr>
              <w:t>Cloud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40" w:type="dxa"/>
            <w:vAlign w:val="bottom"/>
          </w:tcPr>
          <w:p>
            <w:pPr>
              <w:spacing w:after="0"/>
              <w:rPr>
                <w:sz w:val="22"/>
                <w:szCs w:val="22"/>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60" w:type="dxa"/>
            <w:vAlign w:val="bottom"/>
          </w:tcPr>
          <w:p>
            <w:pPr>
              <w:jc w:val="right"/>
              <w:ind w:right="200"/>
              <w:spacing w:after="0"/>
              <w:rPr>
                <w:sz w:val="20"/>
                <w:szCs w:val="20"/>
                <w:color w:val="auto"/>
              </w:rPr>
            </w:pPr>
            <w:r>
              <w:rPr>
                <w:rFonts w:ascii="Arial" w:cs="Arial" w:eastAsia="Arial" w:hAnsi="Arial"/>
                <w:sz w:val="14"/>
                <w:szCs w:val="14"/>
                <w:b w:val="1"/>
                <w:bCs w:val="1"/>
                <w:color w:val="auto"/>
              </w:rPr>
              <w:t>Cloud</w:t>
            </w:r>
          </w:p>
        </w:tc>
        <w:tc>
          <w:tcPr>
            <w:tcW w:w="36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Digital</w:t>
            </w:r>
          </w:p>
        </w:tc>
        <w:tc>
          <w:tcPr>
            <w:tcW w:w="240" w:type="dxa"/>
            <w:vAlign w:val="bottom"/>
          </w:tcPr>
          <w:p>
            <w:pPr>
              <w:spacing w:after="0"/>
              <w:rPr>
                <w:sz w:val="22"/>
                <w:szCs w:val="22"/>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w w:val="91"/>
              </w:rPr>
              <w:t>Messaging</w:t>
            </w:r>
          </w:p>
        </w:tc>
        <w:tc>
          <w:tcPr>
            <w:tcW w:w="220" w:type="dxa"/>
            <w:vAlign w:val="bottom"/>
          </w:tcPr>
          <w:p>
            <w:pPr>
              <w:spacing w:after="0"/>
              <w:rPr>
                <w:sz w:val="22"/>
                <w:szCs w:val="22"/>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400" w:type="dxa"/>
            <w:vAlign w:val="bottom"/>
          </w:tcPr>
          <w:p>
            <w:pPr>
              <w:ind w:left="28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38,914</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20,764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61,742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35,860</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20,879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2,611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59,350</w:t>
            </w:r>
          </w:p>
        </w:tc>
      </w:tr>
      <w:tr>
        <w:trPr>
          <w:trHeight w:val="33"/>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APAC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1,684</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15,923</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17,607</w:t>
            </w:r>
          </w:p>
        </w:tc>
      </w:tr>
      <w:tr>
        <w:trPr>
          <w:trHeight w:val="237"/>
        </w:trPr>
        <w:tc>
          <w:tcPr>
            <w:tcW w:w="2400" w:type="dxa"/>
            <w:vAlign w:val="bottom"/>
          </w:tcPr>
          <w:p>
            <w:pPr>
              <w:ind w:left="280"/>
              <w:spacing w:after="0"/>
              <w:rPr>
                <w:sz w:val="20"/>
                <w:szCs w:val="20"/>
                <w:color w:val="auto"/>
              </w:rPr>
            </w:pPr>
            <w:r>
              <w:rPr>
                <w:rFonts w:ascii="Arial" w:cs="Arial" w:eastAsia="Arial" w:hAnsi="Arial"/>
                <w:sz w:val="16"/>
                <w:szCs w:val="16"/>
                <w:color w:val="auto"/>
              </w:rPr>
              <w:t>EMEA</w:t>
            </w: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2,444</w:t>
            </w:r>
          </w:p>
        </w:tc>
        <w:tc>
          <w:tcPr>
            <w:tcW w:w="3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448</w:t>
            </w:r>
          </w:p>
        </w:tc>
        <w:tc>
          <w:tcPr>
            <w:tcW w:w="24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3,860</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6,752</w:t>
            </w:r>
          </w:p>
        </w:tc>
      </w:tr>
      <w:tr>
        <w:trPr>
          <w:trHeight w:val="33"/>
        </w:trPr>
        <w:tc>
          <w:tcPr>
            <w:tcW w:w="2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40,710</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38,304</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22,394</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83,709</w:t>
            </w:r>
          </w:p>
        </w:tc>
      </w:tr>
      <w:tr>
        <w:trPr>
          <w:trHeight w:val="324"/>
        </w:trPr>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tcPr>
          <w:p>
            <w:pPr>
              <w:ind w:left="28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3,718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12,015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19,981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3,444</w:t>
            </w: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5,708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4,559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13,711</w:t>
            </w:r>
          </w:p>
        </w:tc>
      </w:tr>
      <w:tr>
        <w:trPr>
          <w:trHeight w:val="33"/>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Transaction Services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1,779</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4,122</w:t>
            </w:r>
          </w:p>
        </w:tc>
      </w:tr>
      <w:tr>
        <w:trPr>
          <w:trHeight w:val="237"/>
        </w:trPr>
        <w:tc>
          <w:tcPr>
            <w:tcW w:w="2400" w:type="dxa"/>
            <w:vAlign w:val="bottom"/>
          </w:tcPr>
          <w:p>
            <w:pPr>
              <w:ind w:left="28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35,489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60,415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32,129</w:t>
            </w:r>
          </w:p>
        </w:tc>
        <w:tc>
          <w:tcPr>
            <w:tcW w:w="3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15,077</w:t>
            </w:r>
          </w:p>
        </w:tc>
        <w:tc>
          <w:tcPr>
            <w:tcW w:w="24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8,779</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55,985</w:t>
            </w:r>
          </w:p>
        </w:tc>
      </w:tr>
      <w:tr>
        <w:trPr>
          <w:trHeight w:val="33"/>
        </w:trPr>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9,056</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9,891</w:t>
            </w:r>
          </w:p>
        </w:tc>
      </w:tr>
      <w:tr>
        <w:trPr>
          <w:trHeight w:val="231"/>
        </w:trPr>
        <w:tc>
          <w:tcPr>
            <w:tcW w:w="24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40,710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24,544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88,105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38,304</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23,011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22,394</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83,709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its right to consideration in exchange for deliverables as either a receivable or a contract asset. A receivable is a right to consideration that is unconditional (i.e. only the passage of time is required before payment is due).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its records revenue on a professional services engagement but are not entitled to bill until the Company achieves specified milestones. Contract asset balance at March 31, 2019 is $3.7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The Company’s contract assets and liabilities are reported in a net position on a customer basis at the end of each reporting period.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96"/>
              </w:rPr>
              <w:t>Significant changes in the contract liabilities balance (current and noncurrent) during the period are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20" w:type="dxa"/>
            <w:vAlign w:val="bottom"/>
          </w:tcPr>
          <w:p>
            <w:pPr>
              <w:spacing w:after="0"/>
              <w:rPr>
                <w:sz w:val="20"/>
                <w:szCs w:val="20"/>
                <w:color w:val="auto"/>
              </w:rPr>
            </w:pPr>
          </w:p>
        </w:tc>
        <w:tc>
          <w:tcPr>
            <w:tcW w:w="9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Balance - January 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116,942</w:t>
            </w: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 recognized in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(76,737)</w:t>
            </w:r>
          </w:p>
        </w:tc>
      </w:tr>
      <w:tr>
        <w:trPr>
          <w:trHeight w:val="243"/>
        </w:trPr>
        <w:tc>
          <w:tcPr>
            <w:tcW w:w="20" w:type="dxa"/>
            <w:vAlign w:val="bottom"/>
          </w:tcPr>
          <w:p>
            <w:pPr>
              <w:spacing w:after="0"/>
              <w:rPr>
                <w:sz w:val="21"/>
                <w:szCs w:val="21"/>
                <w:color w:val="auto"/>
              </w:rPr>
            </w:pPr>
          </w:p>
        </w:tc>
        <w:tc>
          <w:tcPr>
            <w:tcW w:w="9920" w:type="dxa"/>
            <w:vAlign w:val="bottom"/>
          </w:tcPr>
          <w:p>
            <w:pPr>
              <w:ind w:left="160"/>
              <w:spacing w:after="0"/>
              <w:rPr>
                <w:sz w:val="20"/>
                <w:szCs w:val="20"/>
                <w:color w:val="auto"/>
              </w:rPr>
            </w:pPr>
            <w:r>
              <w:rPr>
                <w:rFonts w:ascii="Arial" w:cs="Arial" w:eastAsia="Arial" w:hAnsi="Arial"/>
                <w:sz w:val="18"/>
                <w:szCs w:val="18"/>
                <w:color w:val="auto"/>
              </w:rPr>
              <w:t>Amounts billed but not recognized as revenue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71,578</w:t>
            </w:r>
          </w:p>
        </w:tc>
      </w:tr>
      <w:tr>
        <w:trPr>
          <w:trHeight w:val="27"/>
        </w:trPr>
        <w:tc>
          <w:tcPr>
            <w:tcW w:w="20" w:type="dxa"/>
            <w:vAlign w:val="bottom"/>
          </w:tcPr>
          <w:p>
            <w:pPr>
              <w:spacing w:after="0"/>
              <w:rPr>
                <w:sz w:val="2"/>
                <w:szCs w:val="2"/>
                <w:color w:val="auto"/>
              </w:rPr>
            </w:pPr>
          </w:p>
        </w:tc>
        <w:tc>
          <w:tcPr>
            <w:tcW w:w="9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111,783</w:t>
            </w:r>
          </w:p>
        </w:tc>
      </w:tr>
      <w:tr>
        <w:trPr>
          <w:trHeight w:val="202"/>
        </w:trPr>
        <w:tc>
          <w:tcPr>
            <w:tcW w:w="20" w:type="dxa"/>
            <w:vAlign w:val="bottom"/>
          </w:tcPr>
          <w:p>
            <w:pPr>
              <w:spacing w:after="0"/>
              <w:rPr>
                <w:sz w:val="17"/>
                <w:szCs w:val="17"/>
                <w:color w:val="auto"/>
              </w:rPr>
            </w:pPr>
          </w:p>
        </w:tc>
        <w:tc>
          <w:tcPr>
            <w:tcW w:w="9920" w:type="dxa"/>
            <w:vAlign w:val="bottom"/>
          </w:tcPr>
          <w:p>
            <w:pPr>
              <w:spacing w:after="0" w:line="201" w:lineRule="exact"/>
              <w:rPr>
                <w:sz w:val="20"/>
                <w:szCs w:val="20"/>
                <w:color w:val="auto"/>
              </w:rPr>
            </w:pPr>
            <w:r>
              <w:rPr>
                <w:rFonts w:ascii="Arial" w:cs="Arial" w:eastAsia="Arial" w:hAnsi="Arial"/>
                <w:sz w:val="18"/>
                <w:szCs w:val="18"/>
                <w:color w:val="auto"/>
              </w:rPr>
              <w:t>________________________________</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   Comprised of Deferred Revenue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Topic 606 requires that the Company disclose the aggregate amount of transaction price that is allocated to performance obligations that have not yet been satisfied as of March 31, 2019. The Company has elected not to disclose transaction price allocated to remaining performance obligations for:</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remaining performance obligations, all of which will be resolved in the period in which amounts are known:</w:t>
      </w:r>
    </w:p>
    <w:p>
      <w:pPr>
        <w:spacing w:after="0" w:line="22" w:lineRule="exact"/>
        <w:rPr>
          <w:sz w:val="20"/>
          <w:szCs w:val="20"/>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31, 2019, the aggregate amount of transaction price allocated to remaining performance obligations, other than those meeting the exclusion criteria above, was $313.8 million, of which approximately 95.9% is expected to be recognized as revenues within 2 years, and the remainder thereafter.</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ind w:left="54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90,294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90,294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110,337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90,294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20,043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6060" w:type="dxa"/>
            <w:vAlign w:val="bottom"/>
          </w:tcPr>
          <w:p>
            <w:pPr>
              <w:ind w:left="28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109,860</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28,230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28,230</w:t>
            </w:r>
          </w:p>
        </w:tc>
        <w:tc>
          <w:tcPr>
            <w:tcW w:w="0" w:type="dxa"/>
            <w:vAlign w:val="bottom"/>
          </w:tcPr>
          <w:p>
            <w:pPr>
              <w:spacing w:after="0"/>
              <w:rPr>
                <w:sz w:val="1"/>
                <w:szCs w:val="1"/>
                <w:color w:val="auto"/>
              </w:rPr>
            </w:pPr>
          </w:p>
        </w:tc>
      </w:tr>
      <w:tr>
        <w:trPr>
          <w:trHeight w:val="257"/>
        </w:trPr>
        <w:tc>
          <w:tcPr>
            <w:tcW w:w="606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144,748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34,888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60" w:type="dxa"/>
            <w:vAlign w:val="bottom"/>
          </w:tcPr>
          <w:p>
            <w:pPr>
              <w:ind w:left="28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-339725</wp:posOffset>
            </wp:positionV>
            <wp:extent cx="340487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340" w:hanging="332"/>
        <w:spacing w:after="0" w:line="183"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Cash equivalents primarily included money market funds.</w:t>
      </w:r>
    </w:p>
    <w:p>
      <w:pPr>
        <w:spacing w:after="0" w:line="2" w:lineRule="exact"/>
        <w:rPr>
          <w:rFonts w:ascii="Arial" w:cs="Arial" w:eastAsia="Arial" w:hAnsi="Arial"/>
          <w:sz w:val="25"/>
          <w:szCs w:val="25"/>
          <w:color w:val="auto"/>
          <w:vertAlign w:val="superscript"/>
        </w:rPr>
      </w:pPr>
    </w:p>
    <w:p>
      <w:pPr>
        <w:ind w:left="340" w:hanging="332"/>
        <w:spacing w:after="0" w:line="203"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Marketable securities are comprised of municipal bonds, certificates of deposit. corporate bonds, treasury bonds, and mutual funds.</w:t>
      </w:r>
    </w:p>
    <w:p>
      <w:pPr>
        <w:spacing w:after="0" w:line="2"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Put arrangements held by the noncontrolling interests in certain of the Company’s joint ventures.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89"/>
        <w:spacing w:after="0"/>
        <w:rPr>
          <w:sz w:val="20"/>
          <w:szCs w:val="20"/>
          <w:color w:val="auto"/>
        </w:rPr>
      </w:pP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36" w:lineRule="exact"/>
        <w:rPr>
          <w:sz w:val="20"/>
          <w:szCs w:val="20"/>
          <w:color w:val="auto"/>
        </w:rPr>
      </w:pPr>
    </w:p>
    <w:p>
      <w:pPr>
        <w:ind w:left="949" w:hanging="949"/>
        <w:spacing w:after="0"/>
        <w:tabs>
          <w:tab w:leader="none" w:pos="9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949" w:hanging="949"/>
        <w:spacing w:after="0"/>
        <w:tabs>
          <w:tab w:leader="none" w:pos="9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54" w:lineRule="exact"/>
        <w:rPr>
          <w:sz w:val="20"/>
          <w:szCs w:val="20"/>
          <w:color w:val="auto"/>
        </w:rPr>
      </w:pPr>
    </w:p>
    <w:p>
      <w:pPr>
        <w:ind w:left="629" w:hanging="62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12,500</w:t>
      </w:r>
    </w:p>
    <w:p>
      <w:pPr>
        <w:spacing w:after="0" w:line="99" w:lineRule="exact"/>
        <w:rPr>
          <w:rFonts w:ascii="Arial" w:cs="Arial" w:eastAsia="Arial" w:hAnsi="Arial"/>
          <w:sz w:val="16"/>
          <w:szCs w:val="16"/>
          <w:color w:val="auto"/>
        </w:rPr>
      </w:pPr>
    </w:p>
    <w:p>
      <w:pPr>
        <w:ind w:left="629" w:hanging="62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8" w:lineRule="exact"/>
        <w:rPr>
          <w:sz w:val="20"/>
          <w:szCs w:val="20"/>
          <w:color w:val="auto"/>
        </w:rPr>
      </w:pPr>
    </w:p>
    <w:p>
      <w:pPr>
        <w:sectPr>
          <w:pgSz w:w="11900" w:h="16838" w:orient="portrait"/>
          <w:cols w:equalWidth="0" w:num="2">
            <w:col w:w="10060" w:space="131"/>
            <w:col w:w="1229"/>
          </w:cols>
          <w:pgMar w:left="240" w:top="125" w:right="239" w:bottom="1440" w:gutter="0" w:footer="0" w:header="0"/>
          <w:type w:val="continuous"/>
        </w:sect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three months ended March 31, 2019.</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marketable debt securities, unrealized gains and losses are reported as a component of accumulated other comprehensive income in stockholders’ equity. The cost of securities sold is based on the specific identification method. The Company evaluates investments with unrealized losses to determine if the losses are other than temporary. The Company has determined that the gross unrealized losses at March 31, 2019 and 2018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marketable equity securities are mutual funds measured at fair value and classified within Level 2 in the fair value hierarchy. Unrealized gains and losses related to our marketable equity securities were recognized in other income (expense), net.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and December 31, 2018, the estimated fair value of investments in marketable debt securities,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60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color w:val="auto"/>
              </w:rPr>
              <w:t>Marketable securities - debt:</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Treasury bonds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12,403</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the aggregate related fair value of investment with unrealized losses was approximately $1.2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Marketable securities - debt:</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Treasury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aggregate related fair value of investment with unrealized losses was approximately $14.9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marketable debt securities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8"/>
                <w:szCs w:val="18"/>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28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within one year</w:t>
            </w:r>
          </w:p>
        </w:tc>
        <w:tc>
          <w:tcPr>
            <w:tcW w:w="4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Due after 1 year through 5 years</w:t>
            </w:r>
          </w:p>
        </w:tc>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after 5 years through 10 years</w:t>
            </w:r>
          </w:p>
        </w:tc>
        <w:tc>
          <w:tcPr>
            <w:tcW w:w="4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Due after 10 years</w:t>
            </w:r>
          </w:p>
        </w:tc>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debt</w:t>
            </w:r>
          </w:p>
        </w:tc>
        <w:tc>
          <w:tcPr>
            <w:tcW w:w="4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12,403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and December 31, 2018, the estimated fair value of investments in marketable equity securities,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4,161</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Mutual funds purchases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3,479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gains (losses)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7,640</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three months ended March 31,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entered into contracts with third parties to lease a variety of assets, including certain real estate, equipment, automobiles and other assets. Our leases frequently allow for lease payments that could vary based on factors such as inflation or the degree of utilization of the underlying asset. For example, certain of our real estate leases could require us to make payments that vary based on common area maintenance charges, insurance and other charges. Our lease agreements do not contain any material residual value guarantees or material restrictive covenants.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The Company does not have material sublease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March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ROU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180"/>
              <w:spacing w:after="0"/>
              <w:rPr>
                <w:sz w:val="20"/>
                <w:szCs w:val="20"/>
                <w:color w:val="auto"/>
              </w:rPr>
            </w:pPr>
            <w:r>
              <w:rPr>
                <w:rFonts w:ascii="Arial" w:cs="Arial" w:eastAsia="Arial" w:hAnsi="Arial"/>
                <w:sz w:val="18"/>
                <w:szCs w:val="18"/>
                <w:color w:val="auto"/>
              </w:rPr>
              <w:t>Non-current operating lease ROU assets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64,747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Operating lease liabilities: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66,559</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73,789</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20" w:type="dxa"/>
            <w:vAlign w:val="bottom"/>
          </w:tcPr>
          <w:p>
            <w:pPr>
              <w:spacing w:after="0"/>
              <w:rPr>
                <w:sz w:val="20"/>
                <w:szCs w:val="20"/>
                <w:color w:val="auto"/>
              </w:rPr>
            </w:pPr>
            <w:r>
              <w:rPr>
                <w:rFonts w:ascii="Arial" w:cs="Arial" w:eastAsia="Arial" w:hAnsi="Arial"/>
                <w:sz w:val="18"/>
                <w:szCs w:val="18"/>
                <w:color w:val="auto"/>
              </w:rPr>
              <w:t>*   Amounts are included in Accrued Expenses on Condensed Consolidated Balance Sheets.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20" w:type="dxa"/>
            <w:vAlign w:val="bottom"/>
          </w:tcPr>
          <w:p>
            <w:pPr>
              <w:ind w:left="562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lease expense and sublease income for the three months ended March 31, 2019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lease costs and income:</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Sublease income*</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82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net lease cost</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March 31, 2019 for each of the five years subsequent to December 31, 2018 and thereafter, as well as a reconciliation of such undiscounted cash flows to our lease liabilities at March 31, 2019 (in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1"/>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13,448</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12,111</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43,646</w:t>
            </w:r>
          </w:p>
        </w:tc>
      </w:tr>
      <w:tr>
        <w:trPr>
          <w:trHeight w:val="27"/>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future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101,373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(27,584)</w:t>
            </w:r>
          </w:p>
        </w:tc>
      </w:tr>
      <w:tr>
        <w:trPr>
          <w:trHeight w:val="27"/>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future lease payments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73,789</w:t>
            </w: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weighted-average remaining lease term and weighted-average discount rates for our leases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ind w:left="18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8.23</w:t>
            </w:r>
          </w:p>
        </w:tc>
      </w:tr>
      <w:tr>
        <w:trPr>
          <w:trHeight w:val="27"/>
        </w:trPr>
        <w:tc>
          <w:tcPr>
            <w:tcW w:w="93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three months ended March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3,068</w:t>
            </w:r>
          </w:p>
        </w:tc>
      </w:tr>
      <w:tr>
        <w:trPr>
          <w:trHeight w:val="27"/>
        </w:trPr>
        <w:tc>
          <w:tcPr>
            <w:tcW w:w="75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arising from obtaining right-of-use assets</w:t>
            </w:r>
          </w:p>
        </w:tc>
        <w:tc>
          <w:tcPr>
            <w:tcW w:w="2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48"/>
        </w:trPr>
        <w:tc>
          <w:tcPr>
            <w:tcW w:w="7540" w:type="dxa"/>
            <w:vAlign w:val="bottom"/>
          </w:tcPr>
          <w:p>
            <w:pPr>
              <w:spacing w:after="0"/>
              <w:rPr>
                <w:sz w:val="20"/>
                <w:szCs w:val="20"/>
                <w:color w:val="auto"/>
              </w:rPr>
            </w:pPr>
            <w:r>
              <w:rPr>
                <w:rFonts w:ascii="Arial" w:cs="Arial" w:eastAsia="Arial" w:hAnsi="Arial"/>
                <w:sz w:val="18"/>
                <w:szCs w:val="18"/>
                <w:b w:val="1"/>
                <w:bCs w:val="1"/>
                <w:color w:val="auto"/>
              </w:rPr>
              <w:t>6. Investments in Affiliates and Related Transactions</w:t>
            </w:r>
          </w:p>
        </w:tc>
        <w:tc>
          <w:tcPr>
            <w:tcW w:w="2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tc>
        <w:tc>
          <w:tcPr>
            <w:tcW w:w="28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divestiture of the exception handling business of the Company, Synchronoss entered into a three-year Cloud Telephony and Support services agreement to grant Sequential Technology International, LLC (“STIN”) access to certain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Synchronoss software and private branch exchange systems to facilitate exception handling operations required to support STIN customers.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2019 and 2018, the Company recognized $6.4 million and $6.4 million, respectively in revenue related to Cloud Telephony and Support services, and $0.0 million and $0.5 million, respectively, in revenue related to all other services.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STIN affiliate accounts receivable balances in the Condensed Consolidated Balance Sheet as of March 31, 2019 and December 31, 2018, were $30.5 million and $27.5 million, respectively. These amounts principally included revenues generated from the Cloud and Telephony Support Services agreement and pass-through of vendor expenses incurred during the transition and assignment of vendor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113,980</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Unamortized debt issuance cost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carrying value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113,542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Total short-term debt, carrying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97,205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113,542</w:t>
            </w:r>
          </w:p>
        </w:tc>
      </w:tr>
      <w:tr>
        <w:trPr>
          <w:trHeight w:val="239"/>
        </w:trPr>
        <w:tc>
          <w:tcPr>
            <w:tcW w:w="744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340" w:hanging="332"/>
        <w:spacing w:after="0" w:line="183"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Unamortized debt issuance cost is related to Convertible Senior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March 31, 2019, none of these conditions existed with respect to the 2019 Notes.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Notes are the Company’s direct senior unsecured obligations and rank equal in right of payment to all of the Company’s existing and future unsecured and unsubordinated indebtedness.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2019, the carrying amount of the liability was $97.2 million and the outstanding principal of the 2019 Notes was $97.4 million, with an effective interest rate of approximately 1.37%. The fair value of the 2019 Notes was $95.9 million at March 31, 2019.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required to meet all SEC filing requirements and deadlines to be compliant with the 2019 Notes. In the event that the Company does not meet the filing requirements, the Company will be in default under the 2019 Notes unless it elects to pay the noteholders additional interest of 0.25% up to 180 days from the date of the notice of default and 0.50% thereafter up to 360 days. The Company may agree to pay additional interest to the holders by notifying holders and the trustee within 90 days from the notice of default. If the Company decides to pay the additional interest but has not remedied its failure to meet all SEC filing requirements within 360 days from the notice of default, it will be in default. If the Company fails to elect to pay the additional interest, it will be in default if it does not remedy its failure to meet all SEC filing requirements within the 90 days from the notice of default.</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Company received a notice of default from holders of more than 25% of the outstanding principal amount of the 2019 Notes on October 13, 2017. In accordance with the terms of the 2019 Notes, the Company elected to begin paying additional interest starting January 11, 2018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Company’s receipt of the notice of default). As a result of the Company regaining compliance with its SEC filing requirements, the Company was no longer required to pay the additional interest as of July 9, 2018. The Company was required to record a derivative related to this contingent interest as a liability and expense in its financial statements due to the late filings of the Company’s quarterly reports on Form 10-Q in 2017. At March 31, 2019, the recorded contingent interest derivative liability within accrued expenses was zero as a result of Company regaining compliance with its SEC filing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Convertible Senior Notes</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Amortization of debt issuance costs</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Additional interest on default</w:t>
            </w:r>
          </w:p>
        </w:tc>
        <w:tc>
          <w:tcPr>
            <w:tcW w:w="1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1,247</w:t>
            </w: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three months ended March 31, 2019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1620" w:type="dxa"/>
            <w:vAlign w:val="bottom"/>
            <w:gridSpan w:val="3"/>
          </w:tcPr>
          <w:p>
            <w:pPr>
              <w:ind w:left="80"/>
              <w:spacing w:after="0"/>
              <w:rPr>
                <w:sz w:val="20"/>
                <w:szCs w:val="20"/>
                <w:color w:val="auto"/>
              </w:rPr>
            </w:pPr>
            <w:r>
              <w:rPr>
                <w:rFonts w:ascii="Arial" w:cs="Arial" w:eastAsia="Arial" w:hAnsi="Arial"/>
                <w:sz w:val="13"/>
                <w:szCs w:val="13"/>
                <w:b w:val="1"/>
                <w:bCs w:val="1"/>
                <w:color w:val="auto"/>
                <w:w w:val="99"/>
              </w:rPr>
              <w:t>Balance at December 31,</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ind w:right="91"/>
              <w:spacing w:after="0"/>
              <w:rPr>
                <w:sz w:val="20"/>
                <w:szCs w:val="20"/>
                <w:color w:val="auto"/>
              </w:rPr>
            </w:pPr>
            <w:r>
              <w:rPr>
                <w:rFonts w:ascii="Arial" w:cs="Arial" w:eastAsia="Arial" w:hAnsi="Arial"/>
                <w:sz w:val="13"/>
                <w:szCs w:val="13"/>
                <w:b w:val="1"/>
                <w:bCs w:val="1"/>
                <w:color w:val="auto"/>
                <w:w w:val="90"/>
              </w:rPr>
              <w:t>Balance at March 31,</w:t>
            </w:r>
          </w:p>
        </w:tc>
      </w:tr>
      <w:tr>
        <w:trPr>
          <w:trHeight w:val="174"/>
        </w:trPr>
        <w:tc>
          <w:tcPr>
            <w:tcW w:w="5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Other comprehensive loss</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Tax effect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2019</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(26,436)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91"/>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Unrealized loss on intra-entity foreign currency transactions</w:t>
            </w: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(3,906)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(4,289)</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holding losses on marketable debt securities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(30,383)</w:t>
            </w:r>
          </w:p>
        </w:tc>
        <w:tc>
          <w:tcPr>
            <w:tcW w:w="120" w:type="dxa"/>
            <w:vAlign w:val="bottom"/>
          </w:tcPr>
          <w:p>
            <w:pPr>
              <w:spacing w:after="0"/>
              <w:rPr>
                <w:sz w:val="22"/>
                <w:szCs w:val="22"/>
                <w:color w:val="auto"/>
              </w:rPr>
            </w:pPr>
          </w:p>
        </w:tc>
        <w:tc>
          <w:tcPr>
            <w:tcW w:w="54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(1,738)</w:t>
            </w:r>
          </w:p>
        </w:tc>
        <w:tc>
          <w:tcPr>
            <w:tcW w:w="120" w:type="dxa"/>
            <w:vAlign w:val="bottom"/>
          </w:tcPr>
          <w:p>
            <w:pPr>
              <w:spacing w:after="0"/>
              <w:rPr>
                <w:sz w:val="22"/>
                <w:szCs w:val="22"/>
                <w:color w:val="auto"/>
              </w:rPr>
            </w:pPr>
          </w:p>
        </w:tc>
        <w:tc>
          <w:tcPr>
            <w:tcW w:w="1060" w:type="dxa"/>
            <w:vAlign w:val="bottom"/>
          </w:tcPr>
          <w:p>
            <w:pPr>
              <w:jc w:val="right"/>
              <w:ind w:right="891"/>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(31,966)</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to Company’s authorized capital stock and preferred stock during the three months ended March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2019, there were 195,181 shares of Series A Preferred Stock outstanding, including the initial issuance of 185,000 shares of Series A Preferred Stock and the issuance of 10,181 shares of Series A Preferred Stock as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March 31, 2019, the Liquidation Value and Redemption Value of the Preferred Shares was $243.1 million.</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summary of the Company’s Series A Convertible Participating Perpetual Preferred Stock balance at March 31, 2019 and changes during the three months ended March 31, 2019, are presented below:</w:t>
      </w:r>
    </w:p>
    <w:p>
      <w:pPr>
        <w:spacing w:after="0" w:line="1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r>
      <w:tr>
        <w:trPr>
          <w:trHeight w:val="236"/>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176,603</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Issuance of preferred stock</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Initial discount and issuance costs related to preferred stock</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Amortization of preferred stock issuance costs</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462</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preferred PIK dividend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Balance at March 31, 2019</w:t>
            </w:r>
          </w:p>
        </w:tc>
        <w:tc>
          <w:tcPr>
            <w:tcW w:w="10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177,065</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months ended March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to the Company’s Stock Plans during the three months ended March 31, 2019. As of March 31, 2019, there were zero shares available for the grant or award under the Company’s 2015 Plan and 0.3 million shares available for the grant or award under the Company’s new hire equity incentive plan.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months ended March 31, 2019, the Company granted awards to purchase an aggregate of insignificant number of shares under the Company’s 2015 Plan, none of which awards are vested as of March 31, 2019. If there is an insufficient number of shares available under the 2015 Plan for issuance upon vesting and subsequent exercise of such awards, the Company intends to settle such awards for cash. These awards as well as the Company’s performance cash awards granted to executives under the 2019-2021 LTI Plan have been accounted for as liability awards, due to the Company’s intent and the ability to settle such awards in cash upon vesting and has reflected such awards in accrued expenses. As of March 31, 2019, the liability for such awards is approximately $0.2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1,225</w:t>
            </w:r>
          </w:p>
        </w:tc>
        <w:tc>
          <w:tcPr>
            <w:tcW w:w="4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1,540</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3,644</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4,534</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5,555</w:t>
            </w:r>
          </w:p>
        </w:tc>
        <w:tc>
          <w:tcPr>
            <w:tcW w:w="4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7,186</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5"/>
          </w:tcPr>
          <w:p>
            <w:pPr>
              <w:jc w:val="right"/>
              <w:ind w:right="31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5,426</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stock-based compensation before taxes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5,555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7,186</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March 31, 2019 was approximately $34.6 million. The expense is expected to be recognized over a weighted-average period of approximately 2.23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months ended March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220" w:type="dxa"/>
            <w:vAlign w:val="bottom"/>
            <w:gridSpan w:val="5"/>
          </w:tcPr>
          <w:p>
            <w:pPr>
              <w:jc w:val="right"/>
              <w:ind w:right="39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8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3"/>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 (in years)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(grant date) of the options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4.17</w:t>
            </w:r>
          </w:p>
        </w:tc>
      </w:tr>
      <w:tr>
        <w:trPr>
          <w:trHeight w:val="27"/>
        </w:trPr>
        <w:tc>
          <w:tcPr>
            <w:tcW w:w="8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March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Options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Term (Years)</w:t>
            </w:r>
          </w:p>
        </w:tc>
        <w:tc>
          <w:tcPr>
            <w:tcW w:w="280" w:type="dxa"/>
            <w:vAlign w:val="bottom"/>
          </w:tcPr>
          <w:p>
            <w:pPr>
              <w:spacing w:after="0"/>
              <w:rPr>
                <w:sz w:val="18"/>
                <w:szCs w:val="18"/>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March 31, 2019</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intrinsic value for stock options exercisable at March 31, 2019 and 2018 was nil for both periods. The total intrinsic value of stock options exercised for the three months ended March 31, 2019 and 2018 was nil for both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months ended March 31, 2019 from December 31, 2018.</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unvested restricted stock at March 31, 2019, and changes during the three months ended March 31, 2019,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Restricted Stock</w:t>
            </w: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0"/>
        </w:trPr>
        <w:tc>
          <w:tcPr>
            <w:tcW w:w="81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(1)</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Unvested at March 31, 2019 </w:t>
            </w:r>
            <w:r>
              <w:rPr>
                <w:rFonts w:ascii="Arial" w:cs="Arial" w:eastAsia="Arial" w:hAnsi="Arial"/>
                <w:sz w:val="25"/>
                <w:szCs w:val="25"/>
                <w:color w:val="auto"/>
                <w:vertAlign w:val="superscript"/>
              </w:rPr>
              <w:t>(2)</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Includes 31 performance-based cash units.</w:t>
      </w:r>
    </w:p>
    <w:p>
      <w:pPr>
        <w:spacing w:after="0" w:line="2" w:lineRule="exact"/>
        <w:rPr>
          <w:rFonts w:ascii="Arial" w:cs="Arial" w:eastAsia="Arial" w:hAnsi="Arial"/>
          <w:sz w:val="21"/>
          <w:szCs w:val="21"/>
          <w:color w:val="auto"/>
          <w:vertAlign w:val="superscript"/>
        </w:rPr>
      </w:pPr>
    </w:p>
    <w:p>
      <w:pPr>
        <w:ind w:left="340" w:hanging="332"/>
        <w:spacing w:after="0" w:line="186"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Includes 102 performance-based cash units.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recognized approximately $1.4 million in related income tax benefit and $0.1 million in related tax provision during the three months ended March 31, 2019 and 2018, respectively. The effective tax rate was approximately 6.6% for the three months ended March 31, 2019, which was lower than the U.S. federal statutory rate primarily due to the valuation allowances recorded in domestic and foreign jurisdictions offset by certain jurisdictions projecting current tax expense.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three months ended March 31, 2019.</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Throughout 2017 and in 2018, the Company initiated a work-force reduction as part of a corporate restructuring, with reductions occurring across all levels and departments within the Company, primarily to reduce costs subsequent to an acquisition or divestiture. As part of these efforts, the Company continues to identify workforce optimization opportunities to better align the Company’s resources with its key strategic priorities.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restructuring accrual at March 31, 2019 and changes during the three months ended March 31, 2019,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December 31,</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6"/>
              <w:spacing w:after="0"/>
              <w:rPr>
                <w:sz w:val="20"/>
                <w:szCs w:val="20"/>
                <w:color w:val="auto"/>
              </w:rPr>
            </w:pPr>
            <w:r>
              <w:rPr>
                <w:rFonts w:ascii="Arial" w:cs="Arial" w:eastAsia="Arial" w:hAnsi="Arial"/>
                <w:sz w:val="16"/>
                <w:szCs w:val="16"/>
                <w:b w:val="1"/>
                <w:bCs w:val="1"/>
                <w:color w:val="auto"/>
                <w:w w:val="92"/>
              </w:rPr>
              <w:t>Balance at March 31,</w:t>
            </w:r>
          </w:p>
        </w:tc>
      </w:tr>
      <w:tr>
        <w:trPr>
          <w:trHeight w:val="210"/>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6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Charges</w:t>
            </w:r>
          </w:p>
        </w:tc>
        <w:tc>
          <w:tcPr>
            <w:tcW w:w="24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40" w:type="dxa"/>
            <w:vAlign w:val="bottom"/>
          </w:tcPr>
          <w:p>
            <w:pPr>
              <w:spacing w:after="0"/>
              <w:rPr>
                <w:sz w:val="18"/>
                <w:szCs w:val="18"/>
                <w:color w:val="auto"/>
              </w:rPr>
            </w:pPr>
          </w:p>
        </w:tc>
        <w:tc>
          <w:tcPr>
            <w:tcW w:w="1680" w:type="dxa"/>
            <w:vAlign w:val="bottom"/>
          </w:tcPr>
          <w:p>
            <w:pPr>
              <w:jc w:val="right"/>
              <w:ind w:right="656"/>
              <w:spacing w:after="0"/>
              <w:rPr>
                <w:sz w:val="20"/>
                <w:szCs w:val="20"/>
                <w:color w:val="auto"/>
              </w:rPr>
            </w:pPr>
            <w:r>
              <w:rPr>
                <w:rFonts w:ascii="Arial" w:cs="Arial" w:eastAsia="Arial" w:hAnsi="Arial"/>
                <w:sz w:val="16"/>
                <w:szCs w:val="16"/>
                <w:b w:val="1"/>
                <w:bCs w:val="1"/>
                <w:color w:val="auto"/>
              </w:rPr>
              <w:t>2019</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Employment termination costs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447</w:t>
            </w:r>
          </w:p>
        </w:tc>
      </w:tr>
      <w:tr>
        <w:trPr>
          <w:trHeight w:val="27"/>
        </w:trPr>
        <w:tc>
          <w:tcPr>
            <w:tcW w:w="47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 (“EPS”)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line="10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spacing w:after="0"/>
              <w:rPr>
                <w:sz w:val="22"/>
                <w:szCs w:val="2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 - Basic:</w:t>
            </w: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Net loss from operations</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(19,737)</w:t>
            </w:r>
          </w:p>
        </w:tc>
        <w:tc>
          <w:tcPr>
            <w:tcW w:w="120" w:type="dxa"/>
            <w:vAlign w:val="bottom"/>
          </w:tcPr>
          <w:p>
            <w:pPr>
              <w:spacing w:after="0"/>
              <w:rPr>
                <w:sz w:val="22"/>
                <w:szCs w:val="22"/>
                <w:color w:val="auto"/>
              </w:rPr>
            </w:pP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(37,977)</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Preferred stock dividend</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(7,537)</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(3,353)</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Synchronoss</w:t>
            </w:r>
          </w:p>
        </w:tc>
        <w:tc>
          <w:tcPr>
            <w:tcW w:w="9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(27,587)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(40,045)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56"/>
        </w:trPr>
        <w:tc>
          <w:tcPr>
            <w:tcW w:w="8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 - Diluted:</w:t>
            </w: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Net loss from operations attributable to Synchronoss</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(27,587)</w:t>
            </w:r>
          </w:p>
        </w:tc>
        <w:tc>
          <w:tcPr>
            <w:tcW w:w="120" w:type="dxa"/>
            <w:vAlign w:val="bottom"/>
          </w:tcPr>
          <w:p>
            <w:pPr>
              <w:spacing w:after="0"/>
              <w:rPr>
                <w:sz w:val="22"/>
                <w:szCs w:val="22"/>
                <w:color w:val="auto"/>
              </w:rPr>
            </w:pP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(40,045)</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effect for interest on convertible debt, net of tax</w:t>
            </w:r>
          </w:p>
        </w:tc>
        <w:tc>
          <w:tcPr>
            <w:tcW w:w="9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Synchronoss</w:t>
            </w:r>
          </w:p>
        </w:tc>
        <w:tc>
          <w:tcPr>
            <w:tcW w:w="9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(27,587)</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(40,045)</w:t>
            </w:r>
          </w:p>
        </w:tc>
      </w:tr>
      <w:tr>
        <w:trPr>
          <w:trHeight w:val="156"/>
        </w:trPr>
        <w:tc>
          <w:tcPr>
            <w:tcW w:w="8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Denominator:</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 — basic</w:t>
            </w: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40,320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42,181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Dilutive effect of:</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Shares from assumed conversion of convertible debt </w:t>
            </w:r>
            <w:r>
              <w:rPr>
                <w:rFonts w:ascii="Arial" w:cs="Arial" w:eastAsia="Arial" w:hAnsi="Arial"/>
                <w:sz w:val="8"/>
                <w:szCs w:val="8"/>
                <w:color w:val="auto"/>
              </w:rPr>
              <w:t>1</w:t>
            </w:r>
          </w:p>
        </w:tc>
        <w:tc>
          <w:tcPr>
            <w:tcW w:w="9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 xml:space="preserve">Shares from assumed conversion of preferred stock </w:t>
            </w:r>
            <w:r>
              <w:rPr>
                <w:rFonts w:ascii="Arial" w:cs="Arial" w:eastAsia="Arial" w:hAnsi="Arial"/>
                <w:sz w:val="8"/>
                <w:szCs w:val="8"/>
                <w:color w:val="auto"/>
              </w:rPr>
              <w:t>2</w:t>
            </w:r>
          </w:p>
        </w:tc>
        <w:tc>
          <w:tcPr>
            <w:tcW w:w="9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 and unvested restricted shares</w:t>
            </w:r>
          </w:p>
        </w:tc>
        <w:tc>
          <w:tcPr>
            <w:tcW w:w="9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9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40,320</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42,181</w:t>
            </w:r>
          </w:p>
        </w:tc>
      </w:tr>
      <w:tr>
        <w:trPr>
          <w:trHeight w:val="156"/>
        </w:trPr>
        <w:tc>
          <w:tcPr>
            <w:tcW w:w="8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Earnings per share:</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63"/>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9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90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r>
      <w:tr>
        <w:trPr>
          <w:trHeight w:val="156"/>
        </w:trPr>
        <w:tc>
          <w:tcPr>
            <w:tcW w:w="8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Anti-dilutive stock options excluded</w:t>
            </w:r>
          </w:p>
        </w:tc>
        <w:tc>
          <w:tcPr>
            <w:tcW w:w="9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2,441</w:t>
            </w:r>
          </w:p>
        </w:tc>
      </w:tr>
      <w:tr>
        <w:trPr>
          <w:trHeight w:val="24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shares of restricted stock awards</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calculation does not include the effect of assumed conversion of convertible debt of 1,957,105 shares for 2019 and 4,325,646, for 2018, which is based on 18.8072 shares per $1,000 principal amount of the 2019 Notes.</w:t>
      </w:r>
    </w:p>
    <w:p>
      <w:pPr>
        <w:spacing w:after="0" w:line="203"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calculation for 2019 period does not include the effect of assumed conversion of preferred stock of 10,843,394 shares, which is based on 55.5556 shares per $1,000 principal amount of the preferred stock, because the effect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Arial" w:cs="Arial" w:eastAsia="Arial" w:hAnsi="Arial"/>
                <w:sz w:val="18"/>
                <w:szCs w:val="18"/>
                <w:b w:val="1"/>
                <w:bCs w:val="1"/>
                <w:color w:val="auto"/>
              </w:rPr>
              <w:t>13. Commitments, Contingencies and Other</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940" w:type="dxa"/>
            <w:vAlign w:val="bottom"/>
          </w:tcPr>
          <w:p>
            <w:pPr>
              <w:spacing w:after="0"/>
              <w:rPr>
                <w:sz w:val="20"/>
                <w:szCs w:val="20"/>
                <w:color w:val="auto"/>
              </w:rPr>
            </w:pPr>
            <w:r>
              <w:rPr>
                <w:rFonts w:ascii="Arial" w:cs="Arial" w:eastAsia="Arial" w:hAnsi="Arial"/>
                <w:sz w:val="18"/>
                <w:szCs w:val="18"/>
                <w:b w:val="1"/>
                <w:bCs w:val="1"/>
                <w:i w:val="1"/>
                <w:iCs w:val="1"/>
                <w:color w:val="auto"/>
              </w:rPr>
              <w:t>Purchase Obligations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9940" w:type="dxa"/>
            <w:vAlign w:val="bottom"/>
          </w:tcPr>
          <w:p>
            <w:pPr>
              <w:ind w:left="340"/>
              <w:spacing w:after="0"/>
              <w:rPr>
                <w:sz w:val="20"/>
                <w:szCs w:val="20"/>
                <w:color w:val="auto"/>
              </w:rPr>
            </w:pPr>
            <w:r>
              <w:rPr>
                <w:rFonts w:ascii="Arial" w:cs="Arial" w:eastAsia="Arial" w:hAnsi="Arial"/>
                <w:sz w:val="18"/>
                <w:szCs w:val="18"/>
                <w:color w:val="auto"/>
              </w:rPr>
              <w:t>Aggregate annual future minimum payments under non-cancelable agreements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0"/>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Year ending March 31,</w:t>
            </w:r>
          </w:p>
        </w:tc>
        <w:tc>
          <w:tcPr>
            <w:tcW w:w="220" w:type="dxa"/>
            <w:vAlign w:val="bottom"/>
          </w:tcPr>
          <w:p>
            <w:pPr>
              <w:spacing w:after="0"/>
              <w:rPr>
                <w:sz w:val="24"/>
                <w:szCs w:val="24"/>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Colocation</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18,641</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9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33,479</w:t>
            </w:r>
          </w:p>
        </w:tc>
      </w:tr>
      <w:tr>
        <w:trPr>
          <w:trHeight w:val="27"/>
        </w:trPr>
        <w:tc>
          <w:tcPr>
            <w:tcW w:w="9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our common stock between February 3, 2016 and June 13, 2017. On February 2, 2018, the defendants moved to dismiss the consolidated amended complaint in its entirety, with prejudice. Before that motion was decided, on August 24, 2018, lead plaintiff filed a second consolidated amended complaint purportedly on behalf of purchasers of our common stock between October 28, 2014 and June 13, 2017. The second consolidated amended complaint asserts claims under Sections 10(b) and 20(a) of the Securities Exchange Act of 1934, as amended, and it alleges, among other things, that the defendants made false and misleading statements of material information concerning our financial results, business operations, and prospects. The plaintiff seeks unspecified damages, fees, interest, and costs. Defendants’ motion to dismiss the second consolidated amended</w:t>
      </w:r>
    </w:p>
    <w:p>
      <w:pPr>
        <w:sectPr>
          <w:pgSz w:w="11900" w:h="16946" w:orient="portrait"/>
          <w:cols w:equalWidth="0" w:num="1">
            <w:col w:w="11420"/>
          </w:cols>
          <w:pgMar w:left="240" w:top="125" w:right="239" w:bottom="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complaint is pending before the Court. The Company believes that the asserted claims lack merit, and intends to defend against all of the claims vigorously.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15, 2017, October 24, 2017, October 27, 2017 and October 30, 2017, the Company’s shareholders filed derivative lawsuits against certain of its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 The Operative Complaint’s allegations relate to substantially the same facts as those underlying the Securities Law Action described above. Plaintiff seeks unspecified damages and for the Company to take steps to improve its corporate governance and internal procedures. Defendants’ motion to dismiss the Operative Complaint is pending before the Court. 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Defendants filed a motion to stay the action, which is pending before the Court. Defendants also filed a motion to dismiss the action. Defendants have requested that the motion to dismiss will be briefed only in the event the requested stay is denied or later lifted. The Company believes that the asserted claims lack merit and intends to defend against all of the claims vigorously. Due to the inherent uncertainties of litigation,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cannot predict the outcome of the Derivative Suits at this time, and can give no assurance that the asserted claims will not have a material adverse effect on our financial position or results of operations.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11, 2017, Shareholder Representative Services LLC, on behalf of the persons entitled to receive merger consideration (the “Sellers”) in connection with the Company’s acquisition of Razorsight, commenced arbitration against the Company with respect to a dispute over the amount due to the Sellers as additional consideration. Under the Razorsight purchase agreement, the Sellers are entitled to a percentage of any revenue recognized by the Company generated from the sale or licensing of Razorsight products in 2016 after a specific revenue threshold is obtained. The parties disagreed over the determination of the amount of revenue recognized in 2016. The parties entered into an agreement resolving the arbitration in May 2018.</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alleged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On November 2, 2018, the parties filed a stipulation of dismissal of the BNY Action.</w:t>
      </w:r>
    </w:p>
    <w:p>
      <w:pPr>
        <w:spacing w:after="0" w:line="2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all of such counterclaims.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Additional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Other Income included in the Condensed 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5"/>
          </w:tcPr>
          <w:p>
            <w:pPr>
              <w:jc w:val="right"/>
              <w:ind w:right="31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Remeasurement gain (loss) on financial instrument </w:t>
            </w:r>
            <w:r>
              <w:rPr>
                <w:rFonts w:ascii="Arial" w:cs="Arial" w:eastAsia="Arial" w:hAnsi="Arial"/>
                <w:sz w:val="25"/>
                <w:szCs w:val="25"/>
                <w:color w:val="auto"/>
                <w:vertAlign w:val="superscript"/>
              </w:rPr>
              <w:t>(2)</w:t>
            </w:r>
          </w:p>
        </w:tc>
        <w:tc>
          <w:tcPr>
            <w:tcW w:w="100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(3)</w:t>
            </w: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Fair value of foreign exchange gains and losses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Remeasurement of gain/loss on Mandatorily Redeemable Put option for common shares held by Siris.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Represents an aggregate of individually immaterial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Convertible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 2019 and May 2, 2019, the Company repurchased approximately $31.8 million and $1.4 million of 2019 Notes,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5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currently operates in and markets its solutions and services directly through its sales organizations in Americas, EMEA, and APAC.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business depends on the continued growth of Business to Business and Business to Business to Consumer driving customer transactions, and continued expansion of our platforms into the TMT Market globally through Digital Transformation, Messaging, Cloud and Internet of Things (“IoT”) markets. As such, the volume of transactions and our ability to expand our footprint in TMT and globally may result in revenue fluctuations on a quarterly basis.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top five customers accounted for 66% and 72% of net revenues for the three months ended March 31, 2019 and March 31, 2018, respectively. Contracts with these customers typically run for three to five years. Of these customers, Verizon accounted for more than 10% of our revenues in 2019 and 2018. The loss of Verizon as a customer would have a material negative impact on our company. However, we believe that the costs incurred and subscriber disruption by Verizon to replace Synchronoss’ solutions would be substantial.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to converse with subscribers in an efficient, automated way (streamlining the costs and increasing the effectiveness of self-care, as well as the yield of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 TMT Companies the ability to operate new experiences and businesses without heavily investing in development resources.</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Condensed Consolidated Statements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March 31, 2019 and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89"/>
              </w:rPr>
              <w:t>2019 vs 2018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23,895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increased $4.4 million to $88.1 million for the three months ended March 31, 2019, compared to the same period in 2018. The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is due to an increase in messaging revenue primarily due to the delivery of an advanced messaging solution to a customer in the Japanese market and an uptick in business volume in our core messaging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$5.6 million to $39.0 million for the three months ended March 31,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cost savings initiatives implemented in 2017 and 2018. These initiatives resulted in a significant decrease in cost of revenues driven mainly by data center consolidation and operating expense savings.</w:t>
      </w:r>
    </w:p>
    <w:p>
      <w:pPr>
        <w:spacing w:after="0" w:line="17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$1.2 million to $19.7 million for the three months ended March 31, 2019, compared to the same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in 2018. The decrease in 2019 is primarily due to the realization of our strategic efforts that began in 2016 which continued in subsequent periods to reduce costs and refocus our resources on key strategic priorities. These efforts resulted in a $3.0 million in decreased personnel related costs including stock-based compensation expense, partially offset by incremental outside consulting fees related to the honeybee acquisition.</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$8.9 million to $29.2 million for the three months ended March 31,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2019 decrease was primarily due to $8.0 million net reduction in professional services and outside consulting fees in prior year period and lower telecommunication and facility costs.</w:t>
      </w:r>
    </w:p>
    <w:p>
      <w:pPr>
        <w:spacing w:after="0" w:line="17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$0.4 million and $1.1 million for the three months ended March 31, 2019 and 2018, respectively, which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costs as a result of the work-force reduction and facility consolidation plans initiated in connection with acquisition and divestiture activities. In the current year, we commenced separate plans designed to reduce operating costs and align our resources with our key strategic priorities. Material cash outlays for restructuring typically occur in the quarter in which the plan is initiated or in the subsequent quarter.</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$3.1 million to $20.1 million for the three months ended March 31,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2019 decrease was primarily attributable to the expiration of amortizable acquired assets, partially offset by the increased amortization of capitalized software.</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decreased $3.4 million to $0.2 million for the three months ended March 31,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lower interest earned on a paid-in-kind purchase money note (the “PIK Note”) issued to the Company by Sequential Technology Holdings LLC balance compared to the respective prior year period. The Company began deferring interest income effective July 1, 2018 related to PIK Note.</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$0.7 million to $0.6 million for the three months ended March 31, 2019, compared to the same period in 2018. The 2019</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a decrease in our borrowings outstanding in 2019 after repayments of 2019 Notes and new lease standard (Topic 842) implementation for interest expense presentation which is now reflected in operating expense effective first quarter of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increased $3.8 million to $0.5 million for the three months ended March 31, 2019, compared to the same period in 2018.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from prior year was primarily due to a $3.8 million remeasurement gain on our mandatorily redeemable put option in 2018, which expired prior to the first quarter of 2019.</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Equity method investment income (loss) </w:t>
      </w:r>
      <w:r>
        <w:rPr>
          <w:rFonts w:ascii="Arial" w:cs="Arial" w:eastAsia="Arial" w:hAnsi="Arial"/>
          <w:sz w:val="18"/>
          <w:szCs w:val="18"/>
          <w:color w:val="auto"/>
        </w:rPr>
        <w:t>changed $1.0 million to a loss of $1.2 million for the three months ended March 31, 2019, compared to a loss</w:t>
      </w:r>
      <w:r>
        <w:rPr>
          <w:rFonts w:ascii="Arial" w:cs="Arial" w:eastAsia="Arial" w:hAnsi="Arial"/>
          <w:sz w:val="18"/>
          <w:szCs w:val="18"/>
          <w:b w:val="1"/>
          <w:bCs w:val="1"/>
          <w:color w:val="auto"/>
        </w:rPr>
        <w:t xml:space="preserve"> </w:t>
      </w:r>
      <w:r>
        <w:rPr>
          <w:rFonts w:ascii="Arial" w:cs="Arial" w:eastAsia="Arial" w:hAnsi="Arial"/>
          <w:sz w:val="18"/>
          <w:szCs w:val="18"/>
          <w:color w:val="auto"/>
        </w:rPr>
        <w:t>of $0.2 million for the same period in 2018. All equity method investment income (loss) are the result of our 30% equity interest in STIN and vary based on the financial results of the investment company during the respective reporting period.</w:t>
      </w:r>
    </w:p>
    <w:p>
      <w:pPr>
        <w:spacing w:after="0" w:line="17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$1.4 million benefit and $0.1 million in related income tax provision during the three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2019 and 2018, respectively. The effective tax rate was approximately 6.6% for the three months ended March 31, 2019, which was lower than the U.S. federal statutory rate primarily due to the full valuation allowance recorded in the fourth quarter of 2018 and the tax benefits recorded discretely in the third quarter of 2018 from the expiration of the statute of limitations for uncertain tax positions and the reversal of a deferred tax liability related to a change in foreign tax residency. The Company’s effective tax rate was approximately 0.3% for the three months ended March 31, 2018, which was lower than the U.S. federal statutory rate primarily due to the impact of losses in foreign jurisdictions which have lower tax rates than the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2019, our principal sources of liquidity have been cash provided by operations and proceeds from divestitures. Our cash, cash equivalents, marketable securities and restricted cash balance was $110.3 million at March 31, 2019. We anticipate that our principal uses of cash in the future will be to fund the expansion of our business through both organic growth and acquisition activities and the expansion of our customer base as well as the repayment of our Convertible Senior Notes due in August 2019. Uses of cash will also include facility and technology expansion, significant integration and restructuring activities, capital expenditures, and working capital.</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2019, our non-U.S. subsidiaries held approximately $21.2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existing cash, cash equivalents, marketable securities, and expected positive cash flows generated from operations will be sufficient to fund our operations for the next twelve months from the date of filing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At March 31, 2019, the carrying amount of the liability was $97.2 million and the outstanding principal of the 2019 Notes was $97.4 million, with an effective interest rate of approximately 1.37%. For further details, see </w:t>
      </w:r>
      <w:r>
        <w:rPr>
          <w:rFonts w:ascii="Arial" w:cs="Arial" w:eastAsia="Arial" w:hAnsi="Arial"/>
          <w:sz w:val="18"/>
          <w:szCs w:val="18"/>
          <w:i w:val="1"/>
          <w:iCs w:val="1"/>
          <w:color w:val="auto"/>
        </w:rPr>
        <w:t>Note 7. Debt</w:t>
      </w:r>
      <w:r>
        <w:rPr>
          <w:rFonts w:ascii="Arial" w:cs="Arial" w:eastAsia="Arial" w:hAnsi="Arial"/>
          <w:sz w:val="18"/>
          <w:szCs w:val="18"/>
          <w:color w:val="auto"/>
        </w:rPr>
        <w:t xml:space="preserve"> of the Notes to Condensed Consolidated Financial Statements in Item 1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w:t>
      </w:r>
    </w:p>
    <w:p>
      <w:pPr>
        <w:spacing w:after="0" w:line="2" w:lineRule="exact"/>
        <w:rPr>
          <w:sz w:val="20"/>
          <w:szCs w:val="20"/>
          <w:color w:val="auto"/>
        </w:rPr>
      </w:pPr>
    </w:p>
    <w:p>
      <w:pPr>
        <w:ind w:left="5620" w:right="1080" w:hanging="5612"/>
        <w:spacing w:after="0" w:line="542"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the Series A Certificate and (ii) entered into an Investor Rights Agreement with Silver setting forth certain registration, governance and 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March 31, 2019, the Liquidation Value and Redemption Value of the Preferred Shares was $243.1 million.</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740" w:type="dxa"/>
            <w:vAlign w:val="bottom"/>
            <w:gridSpan w:val="2"/>
          </w:tcPr>
          <w:p>
            <w:pPr>
              <w:jc w:val="center"/>
              <w:ind w:right="4800"/>
              <w:spacing w:after="0"/>
              <w:rPr>
                <w:sz w:val="20"/>
                <w:szCs w:val="20"/>
                <w:color w:val="auto"/>
              </w:rPr>
            </w:pPr>
            <w:r>
              <w:rPr>
                <w:rFonts w:ascii="Arial" w:cs="Arial" w:eastAsia="Arial" w:hAnsi="Arial"/>
                <w:sz w:val="18"/>
                <w:szCs w:val="18"/>
                <w:b w:val="1"/>
                <w:bCs w:val="1"/>
                <w:color w:val="auto"/>
                <w:w w:val="86"/>
              </w:rPr>
              <w:t>Discussion of Cash Flows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A summary of net cash flows follows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jc w:val="center"/>
              <w:ind w:right="4760"/>
              <w:spacing w:after="0"/>
              <w:rPr>
                <w:sz w:val="20"/>
                <w:szCs w:val="20"/>
                <w:color w:val="auto"/>
              </w:rPr>
            </w:pPr>
            <w:r>
              <w:rPr>
                <w:rFonts w:ascii="Arial" w:cs="Arial" w:eastAsia="Arial" w:hAnsi="Arial"/>
                <w:sz w:val="18"/>
                <w:szCs w:val="18"/>
                <w:color w:val="auto"/>
                <w:w w:val="92"/>
              </w:rPr>
              <w:t>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43"/>
        </w:trPr>
        <w:tc>
          <w:tcPr>
            <w:tcW w:w="6740" w:type="dxa"/>
            <w:vAlign w:val="bottom"/>
            <w:gridSpan w:val="2"/>
          </w:tcPr>
          <w:p>
            <w:pPr>
              <w:jc w:val="center"/>
              <w:ind w:right="4820"/>
              <w:spacing w:after="0"/>
              <w:rPr>
                <w:sz w:val="20"/>
                <w:szCs w:val="20"/>
                <w:color w:val="auto"/>
              </w:rPr>
            </w:pPr>
            <w:r>
              <w:rPr>
                <w:rFonts w:ascii="Arial" w:cs="Arial" w:eastAsia="Arial" w:hAnsi="Arial"/>
                <w:sz w:val="18"/>
                <w:szCs w:val="18"/>
                <w:color w:val="auto"/>
                <w:w w:val="93"/>
              </w:rPr>
              <w:t>Investing activities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gridSpan w:val="2"/>
            <w:shd w:val="clear" w:color="auto" w:fill="CCEEFF"/>
          </w:tcPr>
          <w:p>
            <w:pPr>
              <w:jc w:val="center"/>
              <w:ind w:right="4760"/>
              <w:spacing w:after="0"/>
              <w:rPr>
                <w:sz w:val="20"/>
                <w:szCs w:val="20"/>
                <w:color w:val="auto"/>
              </w:rPr>
            </w:pPr>
            <w:r>
              <w:rPr>
                <w:rFonts w:ascii="Arial" w:cs="Arial" w:eastAsia="Arial" w:hAnsi="Arial"/>
                <w:sz w:val="18"/>
                <w:szCs w:val="18"/>
                <w:color w:val="auto"/>
                <w:w w:val="93"/>
              </w:rPr>
              <w:t>Financing activities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(109,575)</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7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for the three months ended March 31, 2019 was a $5.7 million use of cash, as compared to $9.4 million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used for operating activities for the same period in 2018. The decrease of cash used for operating activities of $3.7 million was primarily due to favorable changes in cash earnings of $20.2 million and an unfavorable change in working capital of $16.5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three months ended March 31, 2019 was $9.6 million, as compared to $13.4 million in cash used for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during the same period in 2018. The increase of $23.0 million in cash in investing activities was due primarily to cash provided by the sale of marketable securities, net compared to purchase of marketable securities, net in 2018 and decreased capital spend.</w:t>
      </w:r>
    </w:p>
    <w:p>
      <w:pPr>
        <w:spacing w:after="0" w:line="17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Cash flows from financing </w:t>
      </w:r>
      <w:r>
        <w:rPr>
          <w:rFonts w:ascii="Arial" w:cs="Arial" w:eastAsia="Arial" w:hAnsi="Arial"/>
          <w:sz w:val="16"/>
          <w:szCs w:val="16"/>
          <w:color w:val="auto"/>
        </w:rPr>
        <w:t>for three months ended March 31, 2019 was $23.5 million use of cash, as compared to $86.1 million of cash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activities for the same period in 2018. The cash used for financing for 2019 was primarily driven by the $16.1 million partial repayment of the convertible debt and preferred dividend payment of $7.1 million compared to proceeds for the issuance of preferred stock for the same period in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2019 and 2018. We do not expect the current rate of inflation to have a material impact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principal and interest related to our Convertible Senior Notes,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March 31,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6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0"/>
              </w:rPr>
              <w:t>Payments Due by Period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6"/>
                <w:szCs w:val="16"/>
                <w:b w:val="1"/>
                <w:bCs w:val="1"/>
                <w:color w:val="auto"/>
                <w:w w:val="95"/>
              </w:rPr>
              <w:t>Remainder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w w:val="98"/>
              </w:rPr>
              <w:t>2020 - 2022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2023 - 2024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97,429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33,466</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33,479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14,795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5"/>
                <w:szCs w:val="25"/>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235,231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124,666</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56,865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20,234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33,466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Amount represents obligation and interest associated with 2019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8"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Amount represents obligations associated with colocation agreements and other customer delivery related purchase obligations.</w:t>
      </w:r>
    </w:p>
    <w:p>
      <w:pPr>
        <w:spacing w:after="0" w:line="1"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Amount represents unrecognized tax positions recorded in our balance sheet. Although the timing of the settlement is uncertain, we believe this amount will be settled within three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Unrecognized tax benefits of $4.0 million at March 31, 2019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three months ended March 31, 2019, the Company made significant changes in its accounting policies over leases, to align with the adoption of Topic 842. These updates are described in detail in </w:t>
      </w:r>
      <w:r>
        <w:rPr>
          <w:rFonts w:ascii="Arial" w:cs="Arial" w:eastAsia="Arial" w:hAnsi="Arial"/>
          <w:sz w:val="18"/>
          <w:szCs w:val="18"/>
          <w:i w:val="1"/>
          <w:iCs w:val="1"/>
          <w:color w:val="auto"/>
        </w:rPr>
        <w:t>Note 2. Basis of Presentation and Consolidation.</w:t>
      </w:r>
      <w:r>
        <w:rPr>
          <w:rFonts w:ascii="Arial" w:cs="Arial" w:eastAsia="Arial" w:hAnsi="Arial"/>
          <w:sz w:val="18"/>
          <w:szCs w:val="18"/>
          <w:color w:val="auto"/>
        </w:rPr>
        <w:t xml:space="preserve"> Aside from the adoption of Topic 842, there were no significant changes in our critical accounting policies and estimates discussed in our Form 10-K for the year ended December 31, 2018 during the three months ended March 31, 2019. Please refer to Management’s Discussion and Analysis of Financial Condition and Results of Operations contained in Part II, Item 7 of our Annual Report on Form 10-K for the year ended December 31, 2018 for a more complete discussion of our critical accounting policies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off-balance sheet arrangements as of March 31, 2019 and December 31, 2018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2019 and December 31, 2018 were invested in liquid money market accounts, certificates of deposit and government securities. All market-risk sensitive instruments were entered into for non-trading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March 31, 2019 would increase interest income by approximately $0.9 million on an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preparation of the Company’s Form 10-Q for the first quarter of 2017 and a related internal investigation commenced by the Audit Committee, certain adjustments related to the Company’s accounting treatment for software license revenue were identified. The Company subsequently completed additional accounting review procedures and identified other adjustments.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accounting adjustments referenced above resulted from certain material weaknesses in our internal control over financial reporting.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additional detail in the 2018 Form 10-K, the Company did not maintain effective controls within its financial close process. Until these material weaknesses are remediated, they could result in material misstatements of the Company’s financial statements that would not be prevented or detected. As of March 31, 2019, the remedial measures identified below are being put in place and will be tested by management for operational effectiveness throughout fiscal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(the “Exchange Act”)),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Principal Executive Officer and Principal Financial Officer have evaluated the design and effectiveness of the Company’s disclosure controls and procedures as of March 31, 2019 and, due to the existence of the material weaknesses in internal control over financial reporting described above, the Company’s Principal Executive and Principal Financial Officers have determined that such disclosure controls and procedures were not effective as of such date. In light of the material weakness, the Company performed additional analysis and other post-closing procedures to ensure the Company’s condensed consolidated financial statements are prepared in accordance with U.S. GAAP. Accordingly, the Company’s management, including its Principal Executive and Principal Financial Officers, has concluded that the condensed consolidated financial statements included in this Form 10-Q present fairly, in all material respects, the Company’s financial position, results of operations and cash flows for the periods presented in conformity with accounting principles generally accepted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 in Internal Control Over Financial Reporting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identification of the material weaknesses described above and further described in subsection “Evaluation of Disclosure Controls and Procedures” in Part II, Item 9A of our Annual Report on Form 10-K for the year ended December 31, 2018, and with the oversight of the Audit Committee, management is committed to the planning and implementation of remediation efforts to address these material weaknesses. The remediation efforts, summarized below, which are either implemented or in process, are intended to both address the identified material weaknesses and strengthen our overall financial control environment. In this regard, the following represents the enhancements the Company has designed and is in the process of implementing, in an effort to remediate the material weaknesses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Environment</w:t>
      </w:r>
    </w:p>
    <w:p>
      <w:pPr>
        <w:spacing w:after="0" w:line="225" w:lineRule="exact"/>
        <w:rPr>
          <w:sz w:val="20"/>
          <w:szCs w:val="20"/>
          <w:color w:val="auto"/>
        </w:rPr>
      </w:pPr>
    </w:p>
    <w:p>
      <w:pPr>
        <w:ind w:left="5620" w:right="3040" w:hanging="4964"/>
        <w:spacing w:after="0" w:line="559" w:lineRule="auto"/>
        <w:tabs>
          <w:tab w:leader="none" w:pos="9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CEO and CFO continue to communicate and reinforce the importance of our control environment. 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developed a more comprehensive revenue recognition policy and controls.</w:t>
      </w:r>
    </w:p>
    <w:p>
      <w:pPr>
        <w:spacing w:after="0" w:line="23"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increased standardization of contract documentation and revenue analysis for individual transactions, including increased oversight of revenue opportunities and contract review by personnel with the requisite accounting knowledge to identify revenue-impacting terms and consider potential downstream effects.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developed a more comprehensive review process and monitoring controls over contracts with customers to ensure accurate accounting for multiple-element arrangements.</w:t>
      </w:r>
    </w:p>
    <w:p>
      <w:pPr>
        <w:jc w:val="both"/>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developed a recurring non-recurring transaction review meeting cadence with key stakeholders within the Company to identify and discuss potentially significant transactions. Meetings are attended by process owners across various functions or departments, both domestic and international, to promote regular and effective communication between finance and non-finance personnel, and to ensure that information related to significant transactions is communicated timely.</w:t>
      </w:r>
    </w:p>
    <w:p>
      <w:pPr>
        <w:spacing w:after="0" w:line="1"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performed a review of key business process controls related to high-risk financial statement accounts, such as revenue, significant transactions, capitalized software, accounts receivable, treasury and financial close, which resulted in the redesign of existing controls and the addition of newly developed / documented control activities, in order to mitigate known risks and strengthen the overall control environment.</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hired a Director of Revenue Recognition, a Director of Technical Accounting, and other resources to augment our staff to support further enhancement on the controls and procedures surrounding revenue recognition and technical matters.</w:t>
      </w:r>
    </w:p>
    <w:p>
      <w:pPr>
        <w:jc w:val="both"/>
        <w:ind w:left="980" w:hanging="324"/>
        <w:spacing w:after="0" w:line="25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developed a comprehensive revenue recognition and contract review training program that has been focused on the impacts of adopting Topic 606. This training is focused on senior-level management and customer-facing employees, as well as finance, sales and marketing personnel.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Activities</w:t>
      </w:r>
    </w:p>
    <w:p>
      <w:pPr>
        <w:spacing w:after="0" w:line="225" w:lineRule="exact"/>
        <w:rPr>
          <w:sz w:val="20"/>
          <w:szCs w:val="20"/>
          <w:color w:val="auto"/>
        </w:rPr>
      </w:pPr>
    </w:p>
    <w:p>
      <w:pPr>
        <w:ind w:left="980" w:hanging="324"/>
        <w:spacing w:after="0" w:line="25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performed a review of key IT process controls and is in the process of enhancing our controls to remediate material weakness in the IT general control environment.</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engaged external resources to assist in developing more detailed process flows. The process flows clearly document the financial statement risks and the corresponding control(s) designed to mitigate the identified risk. Management’s process flows are substantially complete, and our testing is planned to begin in the second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and Communication</w:t>
      </w:r>
    </w:p>
    <w:p>
      <w:pPr>
        <w:spacing w:after="0" w:line="225" w:lineRule="exact"/>
        <w:rPr>
          <w:sz w:val="20"/>
          <w:szCs w:val="20"/>
          <w:color w:val="auto"/>
        </w:rPr>
      </w:pPr>
    </w:p>
    <w:p>
      <w:pPr>
        <w:jc w:val="both"/>
        <w:ind w:left="980" w:hanging="324"/>
        <w:spacing w:after="0" w:line="271"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has established a Disclosure Committee that includes key members of management that include key members of management that have responsibility for disclosure information necessary for periodic filings with the SEC. The committee met formally for purposes of the Fiscal 2019 Form 10-Q filing to discuss all significant events and relevant disclosure matters for the filing.</w:t>
      </w:r>
    </w:p>
    <w:p>
      <w:pPr>
        <w:jc w:val="both"/>
        <w:ind w:left="980" w:hanging="324"/>
        <w:spacing w:after="0" w:line="273"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has established a quarterly significant non-recurring transactions meeting that includes key members of management from each functional business area including sales, marketing, finance, operations, information technology, and legal. The meeting includes a standardized agenda that discusses relevant business matters and updates that may have an accounting implication for the quarter. Each matter is documented, the accounting implications are assessed, and the appropriate actions are taken.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Monitoring Activities and Risk Assessment</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formally established an Internal Audit function and our Audit Committee approved their charter in January 2019.</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enhanced our risk assessment processes to identify relevant accounts and assertions and design control procedures that relate to relevant risks.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reevaluated and completed our control design of our entity level controls.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hired external resources to support and improve our Internal Audit function.</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support the execution of this remediation plan, the Company has also engaged additional external resources to aid and supplement the Company’s existing internal resources as of March 31, 2019. The Company will continue to further enhance its design and implementation of the processes described above.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weaknesses we have identified in our internal control over financial reporting, as well as our disclosure controls and procedures. However, as described above, management does not believe that these corrective measures have been operative for a sufficient period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time to warrant independent testing of their effectiveness and therefore, does not believe that all of the material weaknesses described above have been remediated. The Company intends to fully test the remedial measures that it has implemented to determine whether the Company’s internal control over financial reporting and system of disclosure controls and procedures are effective. We are committed to continuing to improve our internal control processes and will continue to diligently and vigorously review our financial reporting controls and procedures. As we continue to evaluate and work to improve our internal control over financial reporting, our management may determine to take additional measures.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Excluding the changes described above under “Remediation of Material Weaknesses in Internal Control Over Financial Reporting” including the on-going remediation efforts described above, there were no changes in our internal control over financial reporting during the period ended March 31, 2019 that have materially affected, or are reasonably likely to materially affect, our internal control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018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780" w:type="dxa"/>
            <w:vAlign w:val="bottom"/>
            <w:tcBorders>
              <w:top w:val="single" w:sz="8" w:color="auto"/>
            </w:tcBorders>
            <w:gridSpan w:val="7"/>
            <w:vMerge w:val="restart"/>
          </w:tcPr>
          <w:p>
            <w:pPr>
              <w:spacing w:after="0" w:line="161" w:lineRule="exact"/>
              <w:rPr>
                <w:rFonts w:ascii="Arial" w:cs="Arial" w:eastAsia="Arial" w:hAnsi="Arial"/>
                <w:sz w:val="14"/>
                <w:szCs w:val="14"/>
                <w:color w:val="0000FF"/>
                <w:w w:val="93"/>
              </w:rPr>
            </w:pPr>
            <w:hyperlink r:id="rId28">
              <w:r>
                <w:rPr>
                  <w:rFonts w:ascii="Arial" w:cs="Arial" w:eastAsia="Arial" w:hAnsi="Arial"/>
                  <w:sz w:val="14"/>
                  <w:szCs w:val="14"/>
                  <w:color w:val="0000FF"/>
                  <w:w w:val="93"/>
                </w:rPr>
                <w:t>Restated Certificate of Incorporation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400" w:type="dxa"/>
            <w:vAlign w:val="bottom"/>
            <w:tcBorders>
              <w:top w:val="single" w:sz="8" w:color="auto"/>
            </w:tcBorders>
            <w:gridSpan w:val="6"/>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780" w:type="dxa"/>
            <w:vAlign w:val="bottom"/>
            <w:tcBorders>
              <w:bottom w:val="single" w:sz="8" w:color="0000FF"/>
            </w:tcBorders>
            <w:gridSpan w:val="7"/>
            <w:vMerge w:val="continue"/>
          </w:tcPr>
          <w:p>
            <w:pPr>
              <w:spacing w:after="0"/>
              <w:rPr>
                <w:sz w:val="2"/>
                <w:szCs w:val="2"/>
                <w:color w:val="auto"/>
              </w:rPr>
            </w:pPr>
          </w:p>
        </w:tc>
        <w:tc>
          <w:tcPr>
            <w:tcW w:w="40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60" w:type="dxa"/>
            <w:vAlign w:val="bottom"/>
            <w:gridSpan w:val="6"/>
            <w:vMerge w:val="restart"/>
          </w:tcPr>
          <w:p>
            <w:pPr>
              <w:spacing w:after="0" w:line="161" w:lineRule="exact"/>
              <w:rPr>
                <w:rFonts w:ascii="Arial" w:cs="Arial" w:eastAsia="Arial" w:hAnsi="Arial"/>
                <w:sz w:val="14"/>
                <w:szCs w:val="14"/>
                <w:color w:val="0000FF"/>
                <w:w w:val="93"/>
              </w:rPr>
            </w:pPr>
            <w:hyperlink r:id="rId29">
              <w:r>
                <w:rPr>
                  <w:rFonts w:ascii="Arial" w:cs="Arial" w:eastAsia="Arial" w:hAnsi="Arial"/>
                  <w:sz w:val="14"/>
                  <w:szCs w:val="14"/>
                  <w:color w:val="0000FF"/>
                  <w:w w:val="93"/>
                </w:rPr>
                <w:t>Amended and Restated Bylaws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720" w:type="dxa"/>
            <w:vAlign w:val="bottom"/>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60" w:type="dxa"/>
            <w:vAlign w:val="bottom"/>
            <w:tcBorders>
              <w:bottom w:val="single" w:sz="8" w:color="0000FF"/>
            </w:tcBorders>
            <w:gridSpan w:val="6"/>
            <w:vMerge w:val="continue"/>
          </w:tcPr>
          <w:p>
            <w:pPr>
              <w:spacing w:after="0"/>
              <w:rPr>
                <w:sz w:val="3"/>
                <w:szCs w:val="3"/>
                <w:color w:val="auto"/>
              </w:rPr>
            </w:pPr>
          </w:p>
        </w:tc>
        <w:tc>
          <w:tcPr>
            <w:tcW w:w="7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3"/>
          </w:tcPr>
          <w:p>
            <w:pPr>
              <w:spacing w:after="0"/>
              <w:rPr>
                <w:rFonts w:ascii="Arial" w:cs="Arial" w:eastAsia="Arial" w:hAnsi="Arial"/>
                <w:sz w:val="14"/>
                <w:szCs w:val="14"/>
                <w:color w:val="0000FF"/>
                <w:w w:val="99"/>
              </w:rPr>
            </w:pPr>
            <w:hyperlink r:id="rId30">
              <w:r>
                <w:rPr>
                  <w:rFonts w:ascii="Arial" w:cs="Arial" w:eastAsia="Arial" w:hAnsi="Arial"/>
                  <w:sz w:val="14"/>
                  <w:szCs w:val="14"/>
                  <w:color w:val="0000FF"/>
                  <w:w w:val="99"/>
                </w:rPr>
                <w:t>Amendment No. 1 to Amended and Restated Bylaws of Registration, incorporated by reference to Exhibit 3.2 to the Registrant’s Current Report on Form 8-K filed on</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8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30">
              <w:r>
                <w:rPr>
                  <w:rFonts w:ascii="Arial" w:cs="Arial" w:eastAsia="Arial" w:hAnsi="Arial"/>
                  <w:sz w:val="14"/>
                  <w:szCs w:val="14"/>
                  <w:color w:val="0000FF"/>
                </w:rPr>
                <w:t>February 20,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5"/>
                <w:szCs w:val="15"/>
                <w:color w:val="auto"/>
              </w:rPr>
            </w:pPr>
          </w:p>
        </w:tc>
        <w:tc>
          <w:tcPr>
            <w:tcW w:w="5440" w:type="dxa"/>
            <w:vAlign w:val="bottom"/>
            <w:tcBorders>
              <w:bottom w:val="single" w:sz="8" w:color="0000FF"/>
            </w:tcBorders>
            <w:gridSpan w:val="5"/>
          </w:tcPr>
          <w:p>
            <w:pPr>
              <w:spacing w:after="0"/>
              <w:rPr>
                <w:rFonts w:ascii="Arial" w:cs="Arial" w:eastAsia="Arial" w:hAnsi="Arial"/>
                <w:sz w:val="14"/>
                <w:szCs w:val="14"/>
                <w:color w:val="0000FF"/>
                <w:w w:val="93"/>
              </w:rPr>
            </w:pPr>
            <w:hyperlink w:anchor="page44">
              <w:r>
                <w:rPr>
                  <w:rFonts w:ascii="Arial" w:cs="Arial" w:eastAsia="Arial" w:hAnsi="Arial"/>
                  <w:sz w:val="14"/>
                  <w:szCs w:val="14"/>
                  <w:color w:val="0000FF"/>
                  <w:w w:val="93"/>
                </w:rPr>
                <w:t>Offer Letter dated December 15, 2017 between the Registrant and Mary Clark (filed herewith)</w:t>
              </w:r>
            </w:hyperlink>
          </w:p>
        </w:tc>
        <w:tc>
          <w:tcPr>
            <w:tcW w:w="47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21"/>
                <w:szCs w:val="21"/>
                <w:color w:val="auto"/>
              </w:rPr>
            </w:pPr>
          </w:p>
        </w:tc>
        <w:tc>
          <w:tcPr>
            <w:tcW w:w="10180" w:type="dxa"/>
            <w:vAlign w:val="bottom"/>
            <w:gridSpan w:val="13"/>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Offer letter dated October 4, 2018 between the Registrant and Jeff Miller (filed herewith)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80" w:type="dxa"/>
            <w:vAlign w:val="bottom"/>
            <w:gridSpan w:val="13"/>
          </w:tcPr>
          <w:p>
            <w:pPr>
              <w:spacing w:after="0" w:line="161" w:lineRule="exact"/>
              <w:rPr>
                <w:rFonts w:ascii="Arial" w:cs="Arial" w:eastAsia="Arial" w:hAnsi="Arial"/>
                <w:sz w:val="14"/>
                <w:szCs w:val="14"/>
                <w:color w:val="0000FF"/>
                <w:w w:val="98"/>
              </w:rPr>
            </w:pPr>
            <w:hyperlink w:anchor="page49">
              <w:r>
                <w:rPr>
                  <w:rFonts w:ascii="Arial" w:cs="Arial" w:eastAsia="Arial" w:hAnsi="Arial"/>
                  <w:sz w:val="14"/>
                  <w:szCs w:val="14"/>
                  <w:color w:val="0000FF"/>
                  <w:w w:val="98"/>
                </w:rPr>
                <w:t>Certification of Principal Executive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 Exchange Act, as adopted pursuant to section 302 of the Sarbanes</w:t>
              </w:r>
              <w:r>
                <w:rPr>
                  <w:rFonts w:ascii="MS PGothic" w:cs="MS PGothic" w:eastAsia="MS PGothic" w:hAnsi="MS PGothic"/>
                  <w:sz w:val="14"/>
                  <w:szCs w:val="14"/>
                  <w:color w:val="0000FF"/>
                  <w:w w:val="98"/>
                </w:rPr>
                <w:t>‑</w:t>
              </w:r>
              <w:r>
                <w:rPr>
                  <w:rFonts w:ascii="Arial" w:cs="Arial" w:eastAsia="Arial" w:hAnsi="Arial"/>
                  <w:sz w:val="14"/>
                  <w:szCs w:val="14"/>
                  <w:color w:val="0000FF"/>
                  <w:w w:val="98"/>
                </w:rPr>
                <w:t>Oxley Act of 2002 (filed</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4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w:anchor="page49">
              <w:r>
                <w:rPr>
                  <w:rFonts w:ascii="Arial" w:cs="Arial" w:eastAsia="Arial" w:hAnsi="Arial"/>
                  <w:sz w:val="14"/>
                  <w:szCs w:val="14"/>
                  <w:color w:val="0000FF"/>
                </w:rPr>
                <w:t>herewith)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3"/>
          </w:tcPr>
          <w:p>
            <w:pPr>
              <w:spacing w:after="0" w:line="161" w:lineRule="exact"/>
              <w:rPr>
                <w:rFonts w:ascii="Arial" w:cs="Arial" w:eastAsia="Arial" w:hAnsi="Arial"/>
                <w:sz w:val="14"/>
                <w:szCs w:val="14"/>
                <w:color w:val="0000FF"/>
                <w:w w:val="98"/>
              </w:rPr>
            </w:pPr>
            <w:hyperlink w:anchor="page50">
              <w:r>
                <w:rPr>
                  <w:rFonts w:ascii="Arial" w:cs="Arial" w:eastAsia="Arial" w:hAnsi="Arial"/>
                  <w:sz w:val="14"/>
                  <w:szCs w:val="14"/>
                  <w:color w:val="0000FF"/>
                  <w:w w:val="98"/>
                </w:rPr>
                <w:t>Certification of Principal Financial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 Exchange Act, as adopted pursuant to section 302 of the Sarbanes</w:t>
              </w:r>
              <w:r>
                <w:rPr>
                  <w:rFonts w:ascii="MS PGothic" w:cs="MS PGothic" w:eastAsia="MS PGothic" w:hAnsi="MS PGothic"/>
                  <w:sz w:val="14"/>
                  <w:szCs w:val="14"/>
                  <w:color w:val="0000FF"/>
                  <w:w w:val="98"/>
                </w:rPr>
                <w:t>‑</w:t>
              </w:r>
              <w:r>
                <w:rPr>
                  <w:rFonts w:ascii="Arial" w:cs="Arial" w:eastAsia="Arial" w:hAnsi="Arial"/>
                  <w:sz w:val="14"/>
                  <w:szCs w:val="14"/>
                  <w:color w:val="0000FF"/>
                  <w:w w:val="98"/>
                </w:rPr>
                <w:t>Oxley Act of 2002 (filed</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6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w:anchor="page50">
              <w:r>
                <w:rPr>
                  <w:rFonts w:ascii="Arial" w:cs="Arial" w:eastAsia="Arial" w:hAnsi="Arial"/>
                  <w:sz w:val="14"/>
                  <w:szCs w:val="14"/>
                  <w:color w:val="0000FF"/>
                </w:rPr>
                <w:t>herewith)</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3"/>
          </w:tcPr>
          <w:p>
            <w:pPr>
              <w:spacing w:after="0" w:line="161" w:lineRule="exact"/>
              <w:rPr>
                <w:rFonts w:ascii="Arial" w:cs="Arial" w:eastAsia="Arial" w:hAnsi="Arial"/>
                <w:sz w:val="14"/>
                <w:szCs w:val="14"/>
                <w:color w:val="0000FF"/>
                <w:w w:val="96"/>
              </w:rPr>
            </w:pPr>
            <w:hyperlink w:anchor="page51">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0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w:anchor="page51">
              <w:r>
                <w:rPr>
                  <w:rFonts w:ascii="Arial" w:cs="Arial" w:eastAsia="Arial" w:hAnsi="Arial"/>
                  <w:sz w:val="14"/>
                  <w:szCs w:val="14"/>
                  <w:color w:val="0000FF"/>
                </w:rPr>
                <w:t>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 (filed herewith)</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75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3"/>
          </w:tcPr>
          <w:p>
            <w:pPr>
              <w:spacing w:after="0" w:line="161" w:lineRule="exact"/>
              <w:rPr>
                <w:rFonts w:ascii="Arial" w:cs="Arial" w:eastAsia="Arial" w:hAnsi="Arial"/>
                <w:sz w:val="14"/>
                <w:szCs w:val="14"/>
                <w:color w:val="0000FF"/>
                <w:w w:val="97"/>
              </w:rPr>
            </w:pPr>
            <w:hyperlink w:anchor="page52">
              <w:r>
                <w:rPr>
                  <w:rFonts w:ascii="Arial" w:cs="Arial" w:eastAsia="Arial" w:hAnsi="Arial"/>
                  <w:sz w:val="14"/>
                  <w:szCs w:val="14"/>
                  <w:color w:val="0000FF"/>
                  <w:w w:val="97"/>
                </w:rPr>
                <w:t>Certification of Principal Financial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2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w:anchor="page52">
              <w:r>
                <w:rPr>
                  <w:rFonts w:ascii="Arial" w:cs="Arial" w:eastAsia="Arial" w:hAnsi="Arial"/>
                  <w:sz w:val="14"/>
                  <w:szCs w:val="14"/>
                  <w:color w:val="0000FF"/>
                </w:rPr>
                <w:t>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 (filed herewith)</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256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76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23"/>
                <w:szCs w:val="23"/>
                <w:color w:val="auto"/>
              </w:rPr>
            </w:pPr>
          </w:p>
        </w:tc>
        <w:tc>
          <w:tcPr>
            <w:tcW w:w="10180" w:type="dxa"/>
            <w:vAlign w:val="bottom"/>
            <w:gridSpan w:val="13"/>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23"/>
                <w:szCs w:val="23"/>
                <w:color w:val="auto"/>
              </w:rPr>
            </w:pPr>
          </w:p>
        </w:tc>
        <w:tc>
          <w:tcPr>
            <w:tcW w:w="10180" w:type="dxa"/>
            <w:vAlign w:val="bottom"/>
            <w:gridSpan w:val="13"/>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23"/>
                <w:szCs w:val="23"/>
                <w:color w:val="auto"/>
              </w:rPr>
            </w:pPr>
          </w:p>
        </w:tc>
        <w:tc>
          <w:tcPr>
            <w:tcW w:w="10180" w:type="dxa"/>
            <w:vAlign w:val="bottom"/>
            <w:gridSpan w:val="13"/>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23"/>
                <w:szCs w:val="23"/>
                <w:color w:val="auto"/>
              </w:rPr>
            </w:pPr>
          </w:p>
        </w:tc>
        <w:tc>
          <w:tcPr>
            <w:tcW w:w="10180" w:type="dxa"/>
            <w:vAlign w:val="bottom"/>
            <w:gridSpan w:val="13"/>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23"/>
                <w:szCs w:val="23"/>
                <w:color w:val="auto"/>
              </w:rPr>
            </w:pPr>
          </w:p>
        </w:tc>
        <w:tc>
          <w:tcPr>
            <w:tcW w:w="10180" w:type="dxa"/>
            <w:vAlign w:val="bottom"/>
            <w:gridSpan w:val="13"/>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Compensation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33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David Clark</w:t>
      </w:r>
    </w:p>
    <w:p>
      <w:pPr>
        <w:spacing w:after="0" w:line="5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10,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December 15,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Mary Clark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2435 Kemper Road</w:t>
      </w:r>
    </w:p>
    <w:p>
      <w:pPr>
        <w:spacing w:after="0"/>
        <w:rPr>
          <w:sz w:val="20"/>
          <w:szCs w:val="20"/>
          <w:color w:val="auto"/>
        </w:rPr>
      </w:pPr>
      <w:r>
        <w:rPr>
          <w:rFonts w:ascii="Arial" w:cs="Arial" w:eastAsia="Arial" w:hAnsi="Arial"/>
          <w:sz w:val="20"/>
          <w:szCs w:val="20"/>
          <w:color w:val="auto"/>
        </w:rPr>
        <w:t>Crofton, MD 21114</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Mary,</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are pleased to inform you that Synchronoss Technologies, Inc. (the “</w:t>
      </w:r>
      <w:r>
        <w:rPr>
          <w:rFonts w:ascii="Arial" w:cs="Arial" w:eastAsia="Arial" w:hAnsi="Arial"/>
          <w:sz w:val="20"/>
          <w:szCs w:val="20"/>
          <w:u w:val="single" w:color="auto"/>
          <w:color w:val="auto"/>
        </w:rPr>
        <w:t>Company</w:t>
      </w:r>
      <w:r>
        <w:rPr>
          <w:rFonts w:ascii="Arial" w:cs="Arial" w:eastAsia="Arial" w:hAnsi="Arial"/>
          <w:sz w:val="20"/>
          <w:szCs w:val="20"/>
          <w:color w:val="auto"/>
        </w:rPr>
        <w:t>”) is extending an offer of employment. This offer letter (the “</w:t>
      </w:r>
      <w:r>
        <w:rPr>
          <w:rFonts w:ascii="Arial" w:cs="Arial" w:eastAsia="Arial" w:hAnsi="Arial"/>
          <w:sz w:val="20"/>
          <w:szCs w:val="20"/>
          <w:u w:val="single" w:color="auto"/>
          <w:color w:val="auto"/>
        </w:rPr>
        <w:t>Offer Letter</w:t>
      </w:r>
      <w:r>
        <w:rPr>
          <w:rFonts w:ascii="Arial" w:cs="Arial" w:eastAsia="Arial" w:hAnsi="Arial"/>
          <w:sz w:val="20"/>
          <w:szCs w:val="20"/>
          <w:color w:val="auto"/>
        </w:rPr>
        <w:t>”), if accepted by you shall set forth the terms of your employment.</w:t>
      </w:r>
    </w:p>
    <w:p>
      <w:pPr>
        <w:spacing w:after="0" w:line="190"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Employment</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You will be employed in the position of Chief Marketing Officer, EVP Product</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You will report to Glenn Lurie, Chief Executive Officer</w:t>
      </w:r>
    </w:p>
    <w:p>
      <w:pPr>
        <w:ind w:left="660" w:hanging="328"/>
        <w:spacing w:after="0"/>
        <w:tabs>
          <w:tab w:leader="none" w:pos="6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Your employment will commence on Thursday, January 4, 2018 (the “</w:t>
      </w:r>
      <w:r>
        <w:rPr>
          <w:rFonts w:ascii="Arial" w:cs="Arial" w:eastAsia="Arial" w:hAnsi="Arial"/>
          <w:sz w:val="20"/>
          <w:szCs w:val="20"/>
          <w:u w:val="single" w:color="auto"/>
          <w:color w:val="auto"/>
        </w:rPr>
        <w:t>Commencement Date</w:t>
      </w: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200" w:hanging="192"/>
        <w:spacing w:after="0"/>
        <w:tabs>
          <w:tab w:leader="none" w:pos="20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Location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Your office location will be as agreed upon by you and the CEO</w:t>
      </w:r>
    </w:p>
    <w:p>
      <w:pPr>
        <w:spacing w:after="0" w:line="310"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Compensation</w:t>
      </w:r>
    </w:p>
    <w:p>
      <w:pPr>
        <w:spacing w:after="0" w:line="229" w:lineRule="exact"/>
        <w:rPr>
          <w:rFonts w:ascii="Arial" w:cs="Arial" w:eastAsia="Arial" w:hAnsi="Arial"/>
          <w:sz w:val="20"/>
          <w:szCs w:val="20"/>
          <w:color w:val="auto"/>
        </w:rPr>
      </w:pPr>
    </w:p>
    <w:p>
      <w:pPr>
        <w:ind w:left="660" w:hanging="328"/>
        <w:spacing w:after="0" w:line="276" w:lineRule="auto"/>
        <w:tabs>
          <w:tab w:leader="none" w:pos="6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Company will pay you an annual base salary (“</w:t>
      </w:r>
      <w:r>
        <w:rPr>
          <w:rFonts w:ascii="Arial" w:cs="Arial" w:eastAsia="Arial" w:hAnsi="Arial"/>
          <w:sz w:val="20"/>
          <w:szCs w:val="20"/>
          <w:u w:val="single" w:color="auto"/>
          <w:color w:val="auto"/>
        </w:rPr>
        <w:t>Base Salary</w:t>
      </w:r>
      <w:r>
        <w:rPr>
          <w:rFonts w:ascii="Arial" w:cs="Arial" w:eastAsia="Arial" w:hAnsi="Arial"/>
          <w:sz w:val="20"/>
          <w:szCs w:val="20"/>
          <w:color w:val="auto"/>
        </w:rPr>
        <w:t>”) of $350,000 less applicable withholding, payable semi-monthly on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and last business day of the month.</w:t>
      </w:r>
    </w:p>
    <w:p>
      <w:pPr>
        <w:spacing w:after="0" w:line="93" w:lineRule="exact"/>
        <w:rPr>
          <w:rFonts w:ascii="Arial" w:cs="Arial" w:eastAsia="Arial" w:hAnsi="Arial"/>
          <w:sz w:val="20"/>
          <w:szCs w:val="20"/>
          <w:color w:val="auto"/>
        </w:rPr>
      </w:pPr>
    </w:p>
    <w:p>
      <w:pPr>
        <w:jc w:val="both"/>
        <w:ind w:left="660" w:hanging="328"/>
        <w:spacing w:after="0" w:line="244" w:lineRule="auto"/>
        <w:tabs>
          <w:tab w:leader="none" w:pos="6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You will be eligible for our Annual Bonus Plan (ABP) (payable in 2019) with a target bonus opportunity (TBO) percentage of up to 100% of your base salary. ABP payouts are granted in the Company’s sole discretion and are based on individual and Company performance during the plan year. Payouts occur during the first quarter following the plan year. You must be employed with the Company at the time of the payout. For your initial year with the Company, your payout will be prorated based on your Commencement Date.</w:t>
      </w:r>
    </w:p>
    <w:p>
      <w:pPr>
        <w:spacing w:after="0" w:line="208" w:lineRule="exact"/>
        <w:rPr>
          <w:rFonts w:ascii="Arial" w:cs="Arial" w:eastAsia="Arial" w:hAnsi="Arial"/>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Sign-On Bonus</w:t>
      </w:r>
    </w:p>
    <w:p>
      <w:pPr>
        <w:spacing w:after="0" w:line="229"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Sign-On Bonus. As an additional inducement to joining Synchronoss, Synchronoss will pay you a one-time payment of $70,000 (less applicable withholding) within thirty (30) days of your Commencement Date. In addition, the Company will pay you $70,000 (less applicable withholding) on July 15, 2018. You will be required to stay with Synchronoss in good standing for twelve (12) months from your Commencement Date in consideration for your receipt of this sign-on bonus. If for any reason you decide to voluntarily leave your employment with Synchronoss in less than twelve (12) months of your Commencement Date, you will be required to pay back 100% of this sign-on bonus immediately. You agree that Synchronoss may offset any amounts due to you from Synchronoss, including a portion of any compensation owed to you to reimburse Synchronoss for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6" w:right="239" w:bottom="1440" w:gutter="0" w:footer="0" w:header="0"/>
        </w:sectPr>
      </w:pPr>
    </w:p>
    <w:bookmarkStart w:id="44" w:name="page45"/>
    <w:bookmarkEnd w:id="44"/>
    <w:p>
      <w:pPr>
        <w:ind w:left="192" w:hanging="192"/>
        <w:spacing w:after="0"/>
        <w:tabs>
          <w:tab w:leader="none" w:pos="19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Equity Awards</w:t>
      </w:r>
    </w:p>
    <w:p>
      <w:pPr>
        <w:spacing w:after="0" w:line="229" w:lineRule="exact"/>
        <w:rPr>
          <w:rFonts w:ascii="Arial" w:cs="Arial" w:eastAsia="Arial" w:hAnsi="Arial"/>
          <w:sz w:val="20"/>
          <w:szCs w:val="20"/>
          <w:color w:val="auto"/>
        </w:rPr>
      </w:pPr>
    </w:p>
    <w:p>
      <w:pPr>
        <w:jc w:val="both"/>
        <w:ind w:left="652" w:hanging="328"/>
        <w:spacing w:after="0" w:line="244" w:lineRule="auto"/>
        <w:tabs>
          <w:tab w:leader="none" w:pos="652" w:val="left"/>
        </w:tabs>
        <w:numPr>
          <w:ilvl w:val="1"/>
          <w:numId w:val="31"/>
        </w:numPr>
        <w:rPr>
          <w:rFonts w:ascii="Arial" w:cs="Arial" w:eastAsia="Arial" w:hAnsi="Arial"/>
          <w:sz w:val="20"/>
          <w:szCs w:val="20"/>
          <w:color w:val="auto"/>
        </w:rPr>
      </w:pPr>
      <w:r>
        <w:rPr>
          <w:rFonts w:ascii="Arial" w:cs="Arial" w:eastAsia="Arial" w:hAnsi="Arial"/>
          <w:sz w:val="20"/>
          <w:szCs w:val="20"/>
          <w:color w:val="auto"/>
        </w:rPr>
        <w:t>You will be granted 30,000 shares in the form of a restricted stock award (“RSAs”) under the Synchronoss 2017 New Hire Incentive Plan (the “Incentive Plan”) pursuant to the Company’s Restricted Stock Award agreement (the “RSA Agreement”). The RSAs shall be granted on the later date of your Commencement Date or approval of the Board of Directors. This date shall be known as the “Grant Date”. Subject to your continued employment on each vesting date, RSAs shall vest 25% of the shares on the first anniversary of the Grant Date of the award and 1/16 each quarter thereof.</w:t>
      </w:r>
    </w:p>
    <w:p>
      <w:pPr>
        <w:spacing w:after="0" w:line="208" w:lineRule="exact"/>
        <w:rPr>
          <w:rFonts w:ascii="Arial" w:cs="Arial" w:eastAsia="Arial" w:hAnsi="Arial"/>
          <w:sz w:val="20"/>
          <w:szCs w:val="20"/>
          <w:color w:val="auto"/>
        </w:rPr>
      </w:pPr>
    </w:p>
    <w:p>
      <w:pPr>
        <w:jc w:val="both"/>
        <w:ind w:left="652" w:hanging="328"/>
        <w:spacing w:after="0" w:line="260" w:lineRule="auto"/>
        <w:tabs>
          <w:tab w:leader="none" w:pos="652" w:val="left"/>
        </w:tabs>
        <w:numPr>
          <w:ilvl w:val="1"/>
          <w:numId w:val="31"/>
        </w:numPr>
        <w:rPr>
          <w:rFonts w:ascii="Arial" w:cs="Arial" w:eastAsia="Arial" w:hAnsi="Arial"/>
          <w:sz w:val="19"/>
          <w:szCs w:val="19"/>
          <w:color w:val="auto"/>
        </w:rPr>
      </w:pPr>
      <w:r>
        <w:rPr>
          <w:rFonts w:ascii="Arial" w:cs="Arial" w:eastAsia="Arial" w:hAnsi="Arial"/>
          <w:sz w:val="19"/>
          <w:szCs w:val="19"/>
          <w:color w:val="auto"/>
        </w:rPr>
        <w:t>You will be granted 80,000 shares in the form of a Stock Option award (“Stock Options”) under the Synchronoss 2017 New Hire Incentive Plan (the “Incentive Plan”) pursuant to the Company’s Stock Option Award agreement (the “Stock Option Agreement”). The Stock Options shall be granted on the later date of your Commencement Date or approval of the Board of Directors. This date shall be known as the “Grant Date”. Subject to your continued employment on each vesting date, Stock Options shall vest 25% of the shares on the first anniversary of the Grant Date of the award and 1/48 each month thereafter.</w:t>
      </w:r>
    </w:p>
    <w:p>
      <w:pPr>
        <w:spacing w:after="0" w:line="194" w:lineRule="exact"/>
        <w:rPr>
          <w:rFonts w:ascii="Arial" w:cs="Arial" w:eastAsia="Arial" w:hAnsi="Arial"/>
          <w:sz w:val="19"/>
          <w:szCs w:val="19"/>
          <w:color w:val="auto"/>
        </w:rPr>
      </w:pPr>
    </w:p>
    <w:p>
      <w:pPr>
        <w:jc w:val="both"/>
        <w:ind w:left="652" w:hanging="328"/>
        <w:spacing w:after="0" w:line="257" w:lineRule="auto"/>
        <w:tabs>
          <w:tab w:leader="none" w:pos="652" w:val="left"/>
        </w:tabs>
        <w:numPr>
          <w:ilvl w:val="1"/>
          <w:numId w:val="31"/>
        </w:numPr>
        <w:rPr>
          <w:rFonts w:ascii="Arial" w:cs="Arial" w:eastAsia="Arial" w:hAnsi="Arial"/>
          <w:sz w:val="19"/>
          <w:szCs w:val="19"/>
          <w:color w:val="auto"/>
        </w:rPr>
      </w:pPr>
      <w:r>
        <w:rPr>
          <w:rFonts w:ascii="Arial" w:cs="Arial" w:eastAsia="Arial" w:hAnsi="Arial"/>
          <w:sz w:val="19"/>
          <w:szCs w:val="19"/>
          <w:color w:val="auto"/>
        </w:rPr>
        <w:t>You will granted 30,000 performance shares in the form of Restricted Stock Awards (“RSAs”) under the Synchronoss Technologies, Inc. 2017 New Hire Equity Incentive Plan (the “Incentive Plan”) pursuant to the Company’s RSA agreement (the “RSA Agreement”). The performance RSAs shall be granted on the later date of your Commencement Date or approval and establishment of performance criteria by the Board of Directors. Subject to your continued employment, all of the Performance Shares shall vest upon the approval of the Board of Directors or its Compensation Committee based upon whether the Company has met the required performance metrics. The performance RSAs will be governed by and subject to the terms of the Incentive Plan and the RSA agreement, and in the event of a conflict between this offer letter and the Incentive Plan and RSA Agreement, the terms of the Incentive Plan and RSA agreement shall control.</w:t>
      </w:r>
    </w:p>
    <w:p>
      <w:pPr>
        <w:spacing w:after="0" w:line="194" w:lineRule="exact"/>
        <w:rPr>
          <w:rFonts w:ascii="Arial" w:cs="Arial" w:eastAsia="Arial" w:hAnsi="Arial"/>
          <w:sz w:val="19"/>
          <w:szCs w:val="19"/>
          <w:color w:val="auto"/>
        </w:rPr>
      </w:pPr>
    </w:p>
    <w:p>
      <w:pPr>
        <w:ind w:left="192" w:hanging="192"/>
        <w:spacing w:after="0"/>
        <w:tabs>
          <w:tab w:leader="none" w:pos="19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Benefits</w:t>
      </w:r>
    </w:p>
    <w:p>
      <w:pPr>
        <w:spacing w:after="0" w:line="229" w:lineRule="exact"/>
        <w:rPr>
          <w:sz w:val="20"/>
          <w:szCs w:val="20"/>
          <w:color w:val="auto"/>
        </w:rPr>
      </w:pPr>
    </w:p>
    <w:p>
      <w:pPr>
        <w:ind w:left="652" w:hanging="328"/>
        <w:spacing w:after="0" w:line="260" w:lineRule="auto"/>
        <w:tabs>
          <w:tab w:leader="none" w:pos="652" w:val="left"/>
        </w:tabs>
        <w:numPr>
          <w:ilvl w:val="1"/>
          <w:numId w:val="32"/>
        </w:numPr>
        <w:rPr>
          <w:rFonts w:ascii="Arial" w:cs="Arial" w:eastAsia="Arial" w:hAnsi="Arial"/>
          <w:sz w:val="20"/>
          <w:szCs w:val="20"/>
          <w:color w:val="auto"/>
        </w:rPr>
      </w:pPr>
      <w:r>
        <w:rPr>
          <w:rFonts w:ascii="Arial" w:cs="Arial" w:eastAsia="Arial" w:hAnsi="Arial"/>
          <w:sz w:val="20"/>
          <w:szCs w:val="20"/>
          <w:color w:val="auto"/>
        </w:rPr>
        <w:t>You shall be entitled to participate in all employee health and welfare plans, programs and arrangements of the Company, to the extent you are eligible to participate in such plans, in accordance with their respective terms.</w:t>
      </w:r>
    </w:p>
    <w:p>
      <w:pPr>
        <w:spacing w:after="0" w:line="190" w:lineRule="exact"/>
        <w:rPr>
          <w:rFonts w:ascii="Arial" w:cs="Arial" w:eastAsia="Arial" w:hAnsi="Arial"/>
          <w:sz w:val="20"/>
          <w:szCs w:val="20"/>
          <w:color w:val="auto"/>
        </w:rPr>
      </w:pPr>
    </w:p>
    <w:p>
      <w:pPr>
        <w:ind w:left="652" w:hanging="328"/>
        <w:spacing w:after="0" w:line="260" w:lineRule="auto"/>
        <w:tabs>
          <w:tab w:leader="none" w:pos="652" w:val="left"/>
        </w:tabs>
        <w:numPr>
          <w:ilvl w:val="1"/>
          <w:numId w:val="32"/>
        </w:numPr>
        <w:rPr>
          <w:rFonts w:ascii="Arial" w:cs="Arial" w:eastAsia="Arial" w:hAnsi="Arial"/>
          <w:sz w:val="20"/>
          <w:szCs w:val="20"/>
          <w:color w:val="auto"/>
        </w:rPr>
      </w:pPr>
      <w:r>
        <w:rPr>
          <w:rFonts w:ascii="Arial" w:cs="Arial" w:eastAsia="Arial" w:hAnsi="Arial"/>
          <w:sz w:val="20"/>
          <w:szCs w:val="20"/>
          <w:color w:val="auto"/>
        </w:rPr>
        <w:t>Participation in the health and dental plans of the Company begins on the first day of the month immediately following your Commencement Date in accordance with the terms of the plans.</w:t>
      </w:r>
    </w:p>
    <w:p>
      <w:pPr>
        <w:spacing w:after="0" w:line="190" w:lineRule="exact"/>
        <w:rPr>
          <w:rFonts w:ascii="Arial" w:cs="Arial" w:eastAsia="Arial" w:hAnsi="Arial"/>
          <w:sz w:val="20"/>
          <w:szCs w:val="20"/>
          <w:color w:val="auto"/>
        </w:rPr>
      </w:pPr>
    </w:p>
    <w:p>
      <w:pPr>
        <w:ind w:left="652" w:hanging="328"/>
        <w:spacing w:after="0" w:line="260" w:lineRule="auto"/>
        <w:tabs>
          <w:tab w:leader="none" w:pos="652" w:val="left"/>
        </w:tabs>
        <w:numPr>
          <w:ilvl w:val="1"/>
          <w:numId w:val="32"/>
        </w:numPr>
        <w:rPr>
          <w:rFonts w:ascii="Arial" w:cs="Arial" w:eastAsia="Arial" w:hAnsi="Arial"/>
          <w:sz w:val="20"/>
          <w:szCs w:val="20"/>
          <w:color w:val="auto"/>
        </w:rPr>
      </w:pPr>
      <w:r>
        <w:rPr>
          <w:rFonts w:ascii="Arial" w:cs="Arial" w:eastAsia="Arial" w:hAnsi="Arial"/>
          <w:sz w:val="20"/>
          <w:szCs w:val="20"/>
          <w:color w:val="auto"/>
        </w:rPr>
        <w:t>You are eligible to participate in the Company’s 401(k) plan on the first day of the month immediately following your Commencement Date.</w:t>
      </w:r>
    </w:p>
    <w:p>
      <w:pPr>
        <w:spacing w:after="0" w:line="176" w:lineRule="exact"/>
        <w:rPr>
          <w:rFonts w:ascii="Arial" w:cs="Arial" w:eastAsia="Arial" w:hAnsi="Arial"/>
          <w:sz w:val="20"/>
          <w:szCs w:val="20"/>
          <w:color w:val="auto"/>
        </w:rPr>
      </w:pPr>
    </w:p>
    <w:p>
      <w:pPr>
        <w:ind w:left="652" w:hanging="328"/>
        <w:spacing w:after="0"/>
        <w:tabs>
          <w:tab w:leader="none" w:pos="652" w:val="left"/>
        </w:tabs>
        <w:numPr>
          <w:ilvl w:val="1"/>
          <w:numId w:val="32"/>
        </w:numPr>
        <w:rPr>
          <w:rFonts w:ascii="Arial" w:cs="Arial" w:eastAsia="Arial" w:hAnsi="Arial"/>
          <w:sz w:val="20"/>
          <w:szCs w:val="20"/>
          <w:color w:val="auto"/>
        </w:rPr>
      </w:pPr>
      <w:r>
        <w:rPr>
          <w:rFonts w:ascii="Arial" w:cs="Arial" w:eastAsia="Arial" w:hAnsi="Arial"/>
          <w:sz w:val="20"/>
          <w:szCs w:val="20"/>
          <w:color w:val="auto"/>
        </w:rPr>
        <w:t>You will be entitled to paid time off (“PTO”) in accordance with the Company’s Flex Paid Time Off policy.</w:t>
      </w:r>
    </w:p>
    <w:p>
      <w:pPr>
        <w:spacing w:after="0" w:line="215" w:lineRule="exact"/>
        <w:rPr>
          <w:rFonts w:ascii="Arial" w:cs="Arial" w:eastAsia="Arial" w:hAnsi="Arial"/>
          <w:sz w:val="20"/>
          <w:szCs w:val="20"/>
          <w:color w:val="auto"/>
        </w:rPr>
      </w:pPr>
    </w:p>
    <w:p>
      <w:pPr>
        <w:ind w:left="192" w:hanging="192"/>
        <w:spacing w:after="0"/>
        <w:tabs>
          <w:tab w:leader="none" w:pos="192"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29" w:lineRule="exact"/>
        <w:rPr>
          <w:rFonts w:ascii="Arial" w:cs="Arial" w:eastAsia="Arial" w:hAnsi="Arial"/>
          <w:sz w:val="20"/>
          <w:szCs w:val="20"/>
          <w:color w:val="auto"/>
        </w:rPr>
      </w:pPr>
    </w:p>
    <w:p>
      <w:pPr>
        <w:ind w:left="652" w:hanging="328"/>
        <w:spacing w:after="0" w:line="260" w:lineRule="auto"/>
        <w:tabs>
          <w:tab w:leader="none" w:pos="652" w:val="left"/>
        </w:tabs>
        <w:numPr>
          <w:ilvl w:val="1"/>
          <w:numId w:val="33"/>
        </w:numPr>
        <w:rPr>
          <w:rFonts w:ascii="Arial" w:cs="Arial" w:eastAsia="Arial" w:hAnsi="Arial"/>
          <w:sz w:val="20"/>
          <w:szCs w:val="20"/>
          <w:color w:val="auto"/>
        </w:rPr>
      </w:pPr>
      <w:r>
        <w:rPr>
          <w:rFonts w:ascii="Arial" w:cs="Arial" w:eastAsia="Arial" w:hAnsi="Arial"/>
          <w:sz w:val="20"/>
          <w:szCs w:val="20"/>
          <w:color w:val="auto"/>
        </w:rPr>
        <w:t>In connection with your employment you will be required to enter into a Proprietary Information and Innovation Agreement (Copy of which is enclosed with this letter).</w:t>
      </w:r>
    </w:p>
    <w:p>
      <w:pPr>
        <w:spacing w:after="0" w:line="200" w:lineRule="exact"/>
        <w:rPr>
          <w:sz w:val="20"/>
          <w:szCs w:val="20"/>
          <w:color w:val="auto"/>
        </w:rPr>
      </w:pPr>
    </w:p>
    <w:p>
      <w:pPr>
        <w:spacing w:after="0" w:line="242" w:lineRule="exact"/>
        <w:rPr>
          <w:sz w:val="20"/>
          <w:szCs w:val="20"/>
          <w:color w:val="auto"/>
        </w:rPr>
      </w:pPr>
    </w:p>
    <w:p>
      <w:pPr>
        <w:ind w:left="775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366" w:right="239" w:bottom="1440" w:gutter="0" w:footer="0" w:header="0"/>
        </w:sectPr>
      </w:pPr>
    </w:p>
    <w:bookmarkStart w:id="45" w:name="page46"/>
    <w:bookmarkEnd w:id="45"/>
    <w:p>
      <w:pPr>
        <w:jc w:val="both"/>
        <w:ind w:left="660" w:hanging="328"/>
        <w:spacing w:after="0" w:line="246"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You hereby represent to the Company that you are under no obligation or agreement that would prevent you from becoming an employee of the Company or adversely impact your ability to perform the expected responsibilities. By accepting this Offer Letter, you agree that no trade secret or proprietary information not belonging to you or the Company will be disclosed or used by you at the Company.</w:t>
      </w:r>
    </w:p>
    <w:p>
      <w:pPr>
        <w:spacing w:after="0" w:line="205"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This Offer Letter is not an employment contract and does not create an implied or express guarantee of continued employment. By accepting this offer, you are acknowledging that you are an employee at-will. This means that either you or the Company may terminate your employment at any time and for any reason or for no reason. This Offer Letter contains the entire agreement and understanding between you and the Company with respect to the terms of your employment and supersedes any prior or contemporaneous agreements, understandings, communications, offers, representations, warranties, or commitments by or on behalf of the Company, whether written or oral with respect to the terms of your employment. Continued employment is contingent upon successful completion of your background check. The terms of this Offer Letter may not be amended except pursuant to a written agreement between you and the Company.</w:t>
      </w:r>
    </w:p>
    <w:p>
      <w:pPr>
        <w:spacing w:after="0" w:line="194"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Company may withhold any tax (or other governmental obligation) that may result from the payments made and benefits provided to you under this Offer Letter or require you to make other arrangements satisfactory to the Company to enable it to satisfy all such withholding requirements.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United States law requires all companies to verify an employee's authorization to work in the United States. If you accept this offer, you will need to bring certain documents with you on your first day that allows the Company to verify your work authorization. Enclosed is an Employment Eligibility Verification (form I-9). Please review the form and bring the appropriate documents required for employment verification on your start date. You will be asked to complete the form in the presence of a witness on your start date.</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 xml:space="preserve">If these terms are agreeable to you, please sign and date the Offer Letter in the appropriate space at the bottom and return it to </w:t>
      </w:r>
      <w:r>
        <w:rPr>
          <w:rFonts w:ascii="Arial" w:cs="Arial" w:eastAsia="Arial" w:hAnsi="Arial"/>
          <w:sz w:val="21"/>
          <w:szCs w:val="21"/>
          <w:u w:val="single" w:color="auto"/>
          <w:color w:val="0000FF"/>
        </w:rPr>
        <w:t>offers@synchronoss.com</w:t>
      </w:r>
      <w:r>
        <w:rPr>
          <w:rFonts w:ascii="Arial" w:cs="Arial" w:eastAsia="Arial" w:hAnsi="Arial"/>
          <w:sz w:val="21"/>
          <w:szCs w:val="21"/>
          <w:color w:val="0000FF"/>
        </w:rPr>
        <w:t xml:space="preserve"> </w:t>
      </w:r>
      <w:r>
        <w:rPr>
          <w:rFonts w:ascii="Arial" w:cs="Arial" w:eastAsia="Arial" w:hAnsi="Arial"/>
          <w:sz w:val="19"/>
          <w:szCs w:val="19"/>
          <w:color w:val="000000"/>
        </w:rPr>
        <w:t>by Wednesday, December 20, 2017.</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We are excited at the prospect of you joining the Company, and look forward to your future contributions.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Kevin Hunsaker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EVP Chief Human Resources Officer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and Accepted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b w:val="1"/>
          <w:bCs w:val="1"/>
          <w:color w:val="auto"/>
        </w:rPr>
        <w:t>_____________________________</w:t>
      </w:r>
    </w:p>
    <w:p>
      <w:pPr>
        <w:spacing w:after="0" w:line="258"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October 4,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Jeff Miller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[Delivered Electronically]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Offer of Employment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Dear Jeff,</w:t>
      </w:r>
    </w:p>
    <w:p>
      <w:pPr>
        <w:spacing w:after="0" w:line="26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On behalf of Synchronoss Technologies, Inc. (the Company), I am pleased to offer you regular full-time employment with the Company to serve in the position of Chief Revenue Officer. You will report directly to the Company’s President and CEO, Glenn Lurie. This offer is contingent upon our completion of your background check with acceptable results.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am also pleased to inform you that, in your role as Chief Revenue Officer, you will be a Tier 1 Executive of the Company. As a Tier 1 Executive of the Company, your employment will be governed by the terms and conditions of the Tier 1 Executive Employment Plan, a copy of which is attached hereto. As such, you will receive the benefits and be subject to the obligations set forth in the attached Plan.</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Your annual base salary for this position will be </w:t>
      </w:r>
      <w:r>
        <w:rPr>
          <w:rFonts w:ascii="Arial" w:cs="Arial" w:eastAsia="Arial" w:hAnsi="Arial"/>
          <w:sz w:val="22"/>
          <w:szCs w:val="22"/>
          <w:b w:val="1"/>
          <w:bCs w:val="1"/>
          <w:color w:val="auto"/>
        </w:rPr>
        <w:t>$385,000</w:t>
      </w:r>
      <w:r>
        <w:rPr>
          <w:rFonts w:ascii="Arial" w:cs="Arial" w:eastAsia="Arial" w:hAnsi="Arial"/>
          <w:sz w:val="22"/>
          <w:szCs w:val="22"/>
          <w:color w:val="auto"/>
        </w:rPr>
        <w:t xml:space="preserve">. You will also be eligible for a discretionary annual target bonus of </w:t>
      </w:r>
      <w:r>
        <w:rPr>
          <w:rFonts w:ascii="Arial" w:cs="Arial" w:eastAsia="Arial" w:hAnsi="Arial"/>
          <w:sz w:val="22"/>
          <w:szCs w:val="22"/>
          <w:b w:val="1"/>
          <w:bCs w:val="1"/>
          <w:color w:val="auto"/>
        </w:rPr>
        <w:t xml:space="preserve">100% </w:t>
      </w:r>
      <w:r>
        <w:rPr>
          <w:rFonts w:ascii="Arial" w:cs="Arial" w:eastAsia="Arial" w:hAnsi="Arial"/>
          <w:sz w:val="22"/>
          <w:szCs w:val="22"/>
          <w:color w:val="auto"/>
        </w:rPr>
        <w:t>of your base salary based upon the achievement of certain company and individual objectives to be established and approved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Board of Directors or its Compensation Committee. For 2018, your target bonus will be pro-rated based on your start date of October 22, 2018. Your compensation will be paid in accordance with the Company’s regular payroll practices, subject to normal payroll taxes and other applicable deductions. Your position will be classified as exempt from the overtime and other requirements under federal and state law.</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In addition, you will receive in initial equity grant with a value of </w:t>
      </w:r>
      <w:r>
        <w:rPr>
          <w:rFonts w:ascii="Arial" w:cs="Arial" w:eastAsia="Arial" w:hAnsi="Arial"/>
          <w:sz w:val="22"/>
          <w:szCs w:val="22"/>
          <w:b w:val="1"/>
          <w:bCs w:val="1"/>
          <w:color w:val="auto"/>
        </w:rPr>
        <w:t>$1.0 million</w:t>
      </w:r>
      <w:r>
        <w:rPr>
          <w:rFonts w:ascii="Arial" w:cs="Arial" w:eastAsia="Arial" w:hAnsi="Arial"/>
          <w:sz w:val="22"/>
          <w:szCs w:val="22"/>
          <w:color w:val="auto"/>
        </w:rPr>
        <w:t>. The initial equity grant will consist of 75% time-based Restricted Stock Awards (RSAs) and 25% time-based Stock Options.</w:t>
      </w:r>
    </w:p>
    <w:p>
      <w:pPr>
        <w:spacing w:after="0" w:line="209" w:lineRule="exact"/>
        <w:rPr>
          <w:sz w:val="20"/>
          <w:szCs w:val="20"/>
          <w:color w:val="auto"/>
        </w:rPr>
      </w:pPr>
    </w:p>
    <w:p>
      <w:pPr>
        <w:jc w:val="both"/>
        <w:ind w:left="660" w:hanging="328"/>
        <w:spacing w:after="0" w:line="294" w:lineRule="auto"/>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time-based restricted stock award (“RSAs”) is granted under the Synchronoss 2017 New Hire Incentive Plan (the “Incentive Plan”) pursuant to the Company’s Restricted Stock Award agreement (the “RSA Agreement”). The RSAs shall be granted on the later date of your Commencement Date or approval of the Board of Directors or Compensation Committee. This date shall be known as the “Grant Date”. The number of RSAs granted will be based on the Company’s stock price as of the date of the grant. Subject to your continued employment on each vesting date, RSAs shall vest 25% of the shares on the first anniversary of the Grant Date of the award and 1/16 each quarter thereof.</w:t>
      </w:r>
    </w:p>
    <w:p>
      <w:pPr>
        <w:spacing w:after="0" w:line="149" w:lineRule="exact"/>
        <w:rPr>
          <w:rFonts w:ascii="Arial" w:cs="Arial" w:eastAsia="Arial" w:hAnsi="Arial"/>
          <w:sz w:val="19"/>
          <w:szCs w:val="19"/>
          <w:color w:val="auto"/>
        </w:rPr>
      </w:pPr>
    </w:p>
    <w:p>
      <w:pPr>
        <w:jc w:val="both"/>
        <w:ind w:left="660" w:hanging="328"/>
        <w:spacing w:after="0" w:line="247"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time-based Stock Option award (“Stock Options”) is granted under the Synchronoss 2017 New Hire Incentive Plan (the “Incentive Plan”) pursuant to the Company’s Stock Option Award agreement (the “Stock Option Agreement”). The Stock Options shall be granted on the later date of your Commencement Date or approval of the Board of Directors or Compensation Committee. This date shall be known as the “Grant Date”. The number of options granted will be based on the Black Scholes value of the Company’s stock price as of the date of the grant. Subject to your continued employment on each vesting date,</w:t>
      </w:r>
    </w:p>
    <w:p>
      <w:pPr>
        <w:sectPr>
          <w:pgSz w:w="11900" w:h="16838" w:orient="portrait"/>
          <w:cols w:equalWidth="0" w:num="1">
            <w:col w:w="11420"/>
          </w:cols>
          <w:pgMar w:left="240" w:top="375" w:right="239" w:bottom="1440" w:gutter="0" w:footer="0" w:header="0"/>
        </w:sectPr>
      </w:pPr>
    </w:p>
    <w:bookmarkStart w:id="47" w:name="page48"/>
    <w:bookmarkEnd w:id="47"/>
    <w:p>
      <w:pPr>
        <w:ind w:left="660"/>
        <w:spacing w:after="0" w:line="263" w:lineRule="auto"/>
        <w:rPr>
          <w:sz w:val="20"/>
          <w:szCs w:val="20"/>
          <w:color w:val="auto"/>
        </w:rPr>
      </w:pPr>
      <w:r>
        <w:rPr>
          <w:rFonts w:ascii="Arial" w:cs="Arial" w:eastAsia="Arial" w:hAnsi="Arial"/>
          <w:sz w:val="22"/>
          <w:szCs w:val="22"/>
          <w:color w:val="auto"/>
        </w:rPr>
        <w:t>Stock Options shall vest 25% of the shares on the first anniversary of the Grant Date of the award and 1/48 each month thereafter.</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an employee of the Company, you will have access to certain confidential information and you may, during the course of your employment, develop certain information or inventions which will be the property of the Company. To protect the interests of the Company, you agree to sign the Company’s standard Proprietary Information and Innovation Agreement as a condition of your employment. Also, in order to comply with the Immigration Reform and Control Act of 1986, it will be necessary for you to provide documentation verifying your employment eligibility at the commencement of your employment.</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We look forward to having you starting your new position on </w:t>
      </w:r>
      <w:r>
        <w:rPr>
          <w:rFonts w:ascii="Arial" w:cs="Arial" w:eastAsia="Arial" w:hAnsi="Arial"/>
          <w:sz w:val="22"/>
          <w:szCs w:val="22"/>
          <w:b w:val="1"/>
          <w:bCs w:val="1"/>
          <w:color w:val="auto"/>
        </w:rPr>
        <w:t>October 22, 2018</w:t>
      </w:r>
      <w:r>
        <w:rPr>
          <w:rFonts w:ascii="Arial" w:cs="Arial" w:eastAsia="Arial" w:hAnsi="Arial"/>
          <w:sz w:val="22"/>
          <w:szCs w:val="22"/>
          <w:color w:val="auto"/>
        </w:rPr>
        <w:t>. Please be aware that you retain the option, as does Synchronoss, of ending your employment with Synchronoss at any time, with or without notice and with or without cause. As such, your employment with Synchronoss is at-will and neither this nor any other oral or written representations may be considered a contract for any specific period of time.</w:t>
      </w:r>
    </w:p>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Should you have any questions, please do not hesitate to contact us. If this offer is acceptable to you, please sign below and return it to me via email at </w:t>
      </w:r>
      <w:r>
        <w:rPr>
          <w:rFonts w:ascii="Arial" w:cs="Arial" w:eastAsia="Arial" w:hAnsi="Arial"/>
          <w:sz w:val="22"/>
          <w:szCs w:val="22"/>
          <w:u w:val="single" w:color="auto"/>
          <w:color w:val="0000FF"/>
        </w:rPr>
        <w:t>kevin.hunsaker@synchronoss.com</w:t>
      </w: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 are excited about the possibility of you joining us and look forward to your contributions to our mission.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Regards,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Kevin Hunsaker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Chief People Officer</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_______________________________________ Acceptance Signature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w:t>
      </w:r>
    </w:p>
    <w:p>
      <w:pPr>
        <w:sectPr>
          <w:pgSz w:w="11900" w:h="16838" w:orient="portrait"/>
          <w:cols w:equalWidth="0" w:num="2">
            <w:col w:w="4220" w:space="660"/>
            <w:col w:w="6540"/>
          </w:cols>
          <w:pgMar w:left="240" w:top="375" w:right="2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2019;</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31750</wp:posOffset>
            </wp:positionV>
            <wp:extent cx="3027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2019;</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266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2019,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44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Synchronoss Technologies, Inc. (the “Company”) for the quarter ended March 31, 2019,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23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3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2590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endash "/>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Roman"/>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lvl w:ilvl="1">
      <w:lvlJc w:val="left"/>
      <w:lvlText w:val="(%2)"/>
      <w:numFmt w:val="lowerLetter"/>
      <w:start w:val="1"/>
    </w:lvl>
  </w:abstractNum>
  <w:abstractNum w:abstractNumId="29">
    <w:nsid w:val="419AC241"/>
    <w:multiLevelType w:val="hybridMultilevel"/>
    <w:lvl w:ilvl="0">
      <w:lvlJc w:val="left"/>
      <w:lvlText w:val="%1."/>
      <w:numFmt w:val="decimal"/>
      <w:start w:val="3"/>
    </w:lvl>
    <w:lvl w:ilvl="1">
      <w:lvlJc w:val="left"/>
      <w:lvlText w:val="(%2)"/>
      <w:numFmt w:val="lowerLetter"/>
      <w:start w:val="1"/>
    </w:lvl>
  </w:abstractNum>
  <w:abstractNum w:abstractNumId="30">
    <w:nsid w:val="5577F8E1"/>
    <w:multiLevelType w:val="hybridMultilevel"/>
    <w:lvl w:ilvl="0">
      <w:lvlJc w:val="left"/>
      <w:lvlText w:val="%1."/>
      <w:numFmt w:val="decimal"/>
      <w:start w:val="4"/>
    </w:lvl>
    <w:lvl w:ilvl="1">
      <w:lvlJc w:val="left"/>
      <w:lvlText w:val="%2)"/>
      <w:numFmt w:val="lowerLetter"/>
      <w:start w:val="1"/>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decimal"/>
      <w:start w:val="6"/>
    </w:lvl>
    <w:lvl w:ilvl="1">
      <w:lvlJc w:val="left"/>
      <w:lvlText w:val="(%2)"/>
      <w:numFmt w:val="lowerLetter"/>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28" Type="http://schemas.openxmlformats.org/officeDocument/2006/relationships/hyperlink" Target="http://www.sec.gov/Archives/edgar/data/1131554/000095012306005985/y15440a2exv3w2.txt" TargetMode="External"/><Relationship Id="rId29" Type="http://schemas.openxmlformats.org/officeDocument/2006/relationships/hyperlink" Target="http://www.sec.gov/Archives/edgar/data/1131554/000095012306005985/y15440a2exv3w4.txt" TargetMode="External"/><Relationship Id="rId30"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2019-12-28T12:15:34Z</dcterms:created>
  <dcterms:modified xsi:type="dcterms:W3CDTF">2019-12-28T12:15:34Z</dcterms:modified>
</cp:coreProperties>
</file>