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017130.xml.htm"/>
      <w:bookmarkStart w:id="1" w:name="kswkform4_17710171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Jeffrey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CROSSING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SYNCHRONOSS TECHNOLOGIES INC</w:t>
              </w:r>
            </w:hyperlink>
            <w:r>
              <w:rPr/>
              <w:t xml:space="preserve"> [ </w:t>
            </w:r>
            <w:r>
              <w:rPr>
                <w:rFonts w:ascii="Times;serif" w:hAnsi="Times;serif"/>
                <w:color w:val="0000FF"/>
                <w:sz w:val="24"/>
                <w:shd w:fill="FFFFFF" w:val="clear"/>
              </w:rPr>
              <w:t>SNCR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429,647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3,310</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4,093</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35.55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27,884</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46,478</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07/12/2029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disposed of pursuant to the Agreement and Plan of Merger, dated as of December 3, 2025 (the "Merger Agreement"), by and among the Issuer, Lumine Group US Holdco Inc., a Delaware corporation, and Skyfall Merger Sub Inc., a Delaware corporation, whereby, at the effective time of the merger contemplated therein (the "Effective Time"), all issued and outstanding shares of Issuer common stock were cancelled and automatically converted into the right to receive $9.00 per share in cash, without interest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derivative shares reported in this Form 4 account for the one-for-nine Reverse Stock Split effected by the Issuer on December 11, 2023 (the "Reverse Stock Split"). No fractional shares were issued in connection with the Reverse Stock Split. Any fractional shares that would have resulted from the Reverse Stock Split were rounded up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As of the Effective Time, all outstanding options have vested and are fully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each vested stock option was cancelled and automatically converted into the right to receive an amount in cash determined by multiplying (x) the excess, if any, of the Merger Consideration over the applicable exercise price of such option by (y) the number of vested shares subject to such option (the "Option Payment"), less all applicable deductions and withholdings required by law to be withheld in respect of such payment; provided, however, that the Option Payment for each option with an exercise price equal to or greater than $9.00 was $0 and such option was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376" TargetMode="External"/><Relationship Id="rId5" Type="http://schemas.openxmlformats.org/officeDocument/2006/relationships/hyperlink" Target="http://www.sec.gov/cgi-bin/browse-edgar?action=getcompany&amp;CIK=00011315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4801</Characters>
  <CharactersWithSpaces>5595</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