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spacing w:after="0"/>
              <w:rPr>
                <w:sz w:val="20"/>
                <w:szCs w:val="20"/>
                <w:color w:val="auto"/>
              </w:rPr>
            </w:pP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0"/>
          <w:szCs w:val="20"/>
          <w:color w:val="auto"/>
        </w:rPr>
      </w:pPr>
    </w:p>
    <w:p>
      <w:pPr>
        <w:jc w:val="center"/>
        <w:ind w:left="260" w:right="2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3" w:lineRule="exact"/>
        <w:rPr>
          <w:sz w:val="20"/>
          <w:szCs w:val="20"/>
          <w:color w:val="auto"/>
        </w:rPr>
      </w:pPr>
    </w:p>
    <w:p>
      <w:pPr>
        <w:jc w:val="center"/>
        <w:ind w:left="260" w:right="2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9"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color w:val="auto"/>
        </w:rPr>
        <w:t xml:space="preserve">Large accelerated filer o Accelerated filer o Non-accelerated filer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w:t>
      </w:r>
    </w:p>
    <w:p>
      <w:pPr>
        <w:spacing w:after="0" w:line="18"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color w:val="auto"/>
        </w:rPr>
        <w:t xml:space="preserve">Exchange Act). Yes o No </w:t>
      </w:r>
      <w:r>
        <w:rPr>
          <w:rFonts w:ascii="MS PGothic" w:cs="MS PGothic" w:eastAsia="MS PGothic" w:hAnsi="MS PGothic"/>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2500"/>
              <w:spacing w:after="0"/>
              <w:rPr>
                <w:sz w:val="20"/>
                <w:szCs w:val="20"/>
                <w:color w:val="auto"/>
              </w:rPr>
            </w:pPr>
            <w:r>
              <w:rPr>
                <w:rFonts w:ascii="Arial" w:cs="Arial" w:eastAsia="Arial" w:hAnsi="Arial"/>
                <w:sz w:val="18"/>
                <w:szCs w:val="18"/>
                <w:color w:val="auto"/>
              </w:rPr>
              <w:t>Class</w:t>
            </w:r>
          </w:p>
        </w:tc>
        <w:tc>
          <w:tcPr>
            <w:tcW w:w="5620" w:type="dxa"/>
            <w:vAlign w:val="bottom"/>
          </w:tcPr>
          <w:p>
            <w:pPr>
              <w:jc w:val="center"/>
              <w:ind w:left="90"/>
              <w:spacing w:after="0"/>
              <w:rPr>
                <w:sz w:val="20"/>
                <w:szCs w:val="20"/>
                <w:color w:val="auto"/>
              </w:rPr>
            </w:pPr>
            <w:r>
              <w:rPr>
                <w:rFonts w:ascii="Arial" w:cs="Arial" w:eastAsia="Arial" w:hAnsi="Arial"/>
                <w:sz w:val="18"/>
                <w:szCs w:val="18"/>
                <w:color w:val="auto"/>
                <w:w w:val="92"/>
              </w:rPr>
              <w:t>Outstanding at April 30, 2007</w:t>
            </w:r>
          </w:p>
        </w:tc>
      </w:tr>
      <w:tr>
        <w:trPr>
          <w:trHeight w:val="230"/>
        </w:trPr>
        <w:tc>
          <w:tcPr>
            <w:tcW w:w="5800" w:type="dxa"/>
            <w:vAlign w:val="bottom"/>
          </w:tcPr>
          <w:p>
            <w:pPr>
              <w:ind w:left="1480"/>
              <w:spacing w:after="0"/>
              <w:rPr>
                <w:sz w:val="20"/>
                <w:szCs w:val="20"/>
                <w:color w:val="auto"/>
              </w:rPr>
            </w:pPr>
            <w:r>
              <w:rPr>
                <w:rFonts w:ascii="Arial" w:cs="Arial" w:eastAsia="Arial" w:hAnsi="Arial"/>
                <w:sz w:val="18"/>
                <w:szCs w:val="18"/>
                <w:color w:val="auto"/>
              </w:rPr>
              <w:t>Common stock, $0.0001 par value</w:t>
            </w:r>
          </w:p>
        </w:tc>
        <w:tc>
          <w:tcPr>
            <w:tcW w:w="5620" w:type="dxa"/>
            <w:vAlign w:val="bottom"/>
          </w:tcPr>
          <w:p>
            <w:pPr>
              <w:jc w:val="center"/>
              <w:ind w:left="110"/>
              <w:spacing w:after="0"/>
              <w:rPr>
                <w:sz w:val="20"/>
                <w:szCs w:val="20"/>
                <w:color w:val="auto"/>
              </w:rPr>
            </w:pPr>
            <w:r>
              <w:rPr>
                <w:rFonts w:ascii="Arial" w:cs="Arial" w:eastAsia="Arial" w:hAnsi="Arial"/>
                <w:sz w:val="18"/>
                <w:szCs w:val="18"/>
                <w:color w:val="auto"/>
                <w:w w:val="87"/>
              </w:rPr>
              <w:t>32,319,394 shares</w:t>
            </w:r>
          </w:p>
        </w:tc>
      </w:tr>
      <w:tr>
        <w:trPr>
          <w:trHeight w:val="237"/>
        </w:trPr>
        <w:tc>
          <w:tcPr>
            <w:tcW w:w="580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631"/>
        </w:trPr>
        <w:tc>
          <w:tcPr>
            <w:tcW w:w="580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gridSpan w:val="4"/>
            <w:vMerge w:val="restart"/>
          </w:tcPr>
          <w:p>
            <w:pPr>
              <w:spacing w:after="0"/>
              <w:rPr>
                <w:sz w:val="20"/>
                <w:szCs w:val="20"/>
                <w:color w:val="auto"/>
              </w:rPr>
            </w:pPr>
            <w:r>
              <w:rPr>
                <w:rFonts w:ascii="Arial" w:cs="Arial" w:eastAsia="Arial" w:hAnsi="Arial"/>
                <w:sz w:val="18"/>
                <w:szCs w:val="18"/>
                <w:color w:val="auto"/>
              </w:rPr>
              <w:t>PART I.</w:t>
            </w:r>
          </w:p>
        </w:tc>
        <w:tc>
          <w:tcPr>
            <w:tcW w:w="9660" w:type="dxa"/>
            <w:vAlign w:val="bottom"/>
            <w:gridSpan w:val="16"/>
            <w:vMerge w:val="restart"/>
          </w:tcPr>
          <w:p>
            <w:pPr>
              <w:spacing w:after="0"/>
              <w:rPr>
                <w:sz w:val="20"/>
                <w:szCs w:val="20"/>
                <w:color w:val="auto"/>
              </w:rPr>
            </w:pPr>
            <w:r>
              <w:rPr>
                <w:rFonts w:ascii="Arial" w:cs="Arial" w:eastAsia="Arial" w:hAnsi="Arial"/>
                <w:sz w:val="18"/>
                <w:szCs w:val="18"/>
                <w:color w:val="auto"/>
              </w:rPr>
              <w:t>FINANCIAL INFORMATION</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10"/>
        </w:trPr>
        <w:tc>
          <w:tcPr>
            <w:tcW w:w="780" w:type="dxa"/>
            <w:vAlign w:val="bottom"/>
            <w:gridSpan w:val="4"/>
            <w:vMerge w:val="continue"/>
          </w:tcPr>
          <w:p>
            <w:pPr>
              <w:spacing w:after="0"/>
              <w:rPr>
                <w:sz w:val="18"/>
                <w:szCs w:val="18"/>
                <w:color w:val="auto"/>
              </w:rPr>
            </w:pPr>
          </w:p>
        </w:tc>
        <w:tc>
          <w:tcPr>
            <w:tcW w:w="9660" w:type="dxa"/>
            <w:vAlign w:val="bottom"/>
            <w:gridSpan w:val="16"/>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rPr>
                <w:sz w:val="20"/>
                <w:szCs w:val="20"/>
                <w:color w:val="auto"/>
              </w:rPr>
            </w:pPr>
            <w:r>
              <w:rPr>
                <w:rFonts w:ascii="Arial" w:cs="Arial" w:eastAsia="Arial" w:hAnsi="Arial"/>
                <w:sz w:val="18"/>
                <w:szCs w:val="18"/>
                <w:color w:val="auto"/>
              </w:rPr>
              <w:t>Financial Statements and Notes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Balance Sheets as of March 31, 2007 (unaudited) and December 31, 2006</w:t>
              </w:r>
            </w:hyperlink>
          </w:p>
        </w:tc>
        <w:tc>
          <w:tcPr>
            <w:tcW w:w="4340" w:type="dxa"/>
            <w:vAlign w:val="bottom"/>
            <w:gridSpan w:val="4"/>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Operations (unaudited) for the Three Months Ended March 31, 2007 and 2006</w:t>
              </w:r>
            </w:hyperlink>
          </w:p>
        </w:tc>
        <w:tc>
          <w:tcPr>
            <w:tcW w:w="2980" w:type="dxa"/>
            <w:vAlign w:val="bottom"/>
            <w:gridSpan w:val="2"/>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Statements of Cash Flows (unaudited) for the Three Months Ended March 31, 2007 and 2006</w:t>
              </w:r>
            </w:hyperlink>
          </w:p>
        </w:tc>
        <w:tc>
          <w:tcPr>
            <w:tcW w:w="2920" w:type="dxa"/>
            <w:vAlign w:val="bottom"/>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260" w:type="dxa"/>
            <w:vAlign w:val="bottom"/>
            <w:gridSpan w:val="3"/>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3"/>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260" w:type="dxa"/>
            <w:vAlign w:val="bottom"/>
            <w:gridSpan w:val="3"/>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300" w:type="dxa"/>
            <w:vAlign w:val="bottom"/>
            <w:gridSpan w:val="5"/>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260" w:type="dxa"/>
            <w:vAlign w:val="bottom"/>
            <w:gridSpan w:val="3"/>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PART II.</w:t>
              </w:r>
            </w:hyperlink>
          </w:p>
        </w:tc>
        <w:tc>
          <w:tcPr>
            <w:tcW w:w="1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140" w:type="dxa"/>
            <w:vAlign w:val="bottom"/>
            <w:tcBorders>
              <w:top w:val="single" w:sz="8" w:color="0000EE"/>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7780" w:type="dxa"/>
            <w:vAlign w:val="bottom"/>
            <w:gridSpan w:val="10"/>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78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260" w:type="dxa"/>
            <w:vAlign w:val="bottom"/>
            <w:gridSpan w:val="3"/>
          </w:tcPr>
          <w:p>
            <w:pPr>
              <w:spacing w:after="0"/>
              <w:rPr>
                <w:sz w:val="24"/>
                <w:szCs w:val="24"/>
                <w:color w:val="auto"/>
              </w:rPr>
            </w:pP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320" w:type="dxa"/>
            <w:vAlign w:val="bottom"/>
            <w:gridSpan w:val="6"/>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260" w:type="dxa"/>
            <w:vAlign w:val="bottom"/>
            <w:gridSpan w:val="3"/>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26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5900" w:type="dxa"/>
            <w:vAlign w:val="bottom"/>
            <w:gridSpan w:val="7"/>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26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9060" w:type="dxa"/>
            <w:vAlign w:val="bottom"/>
            <w:gridSpan w:val="15"/>
          </w:tcPr>
          <w:p>
            <w:pPr>
              <w:spacing w:after="0"/>
              <w:rPr>
                <w:sz w:val="24"/>
                <w:szCs w:val="24"/>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 Pursuant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 Pursuant to Section 906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73,898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$176 and $171 at March 31, 2007 and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2006, respectively</w:t>
            </w: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19,869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99,040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8,591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110,655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3,753</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Short-term portion of equipment loan payable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$0.0001 par value; 100,000 shares authorized, 32,409 and 32,250 shares issued; 32,313 and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32,154 outstanding at March 31, 2007 and December 31, 2006, respectively</w:t>
            </w: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(96 shares at March 31, 2007 and December 31, 2006)</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91,780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99,910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95,273</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110,655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21,329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Cost of services ($0 and $2,136 were purchased from a related party during the three months ended March 31, 2007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and 2006, respectively)*</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9,642</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15,901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13,177</w:t>
            </w:r>
          </w:p>
        </w:tc>
        <w:tc>
          <w:tcPr>
            <w:tcW w:w="0" w:type="dxa"/>
            <w:vAlign w:val="bottom"/>
          </w:tcPr>
          <w:p>
            <w:pPr>
              <w:spacing w:after="0"/>
              <w:rPr>
                <w:sz w:val="1"/>
                <w:szCs w:val="1"/>
                <w:color w:val="auto"/>
              </w:rPr>
            </w:pPr>
          </w:p>
        </w:tc>
      </w:tr>
      <w:tr>
        <w:trPr>
          <w:trHeight w:val="223"/>
        </w:trPr>
        <w:tc>
          <w:tcPr>
            <w:tcW w:w="8920" w:type="dxa"/>
            <w:vAlign w:val="bottom"/>
            <w:gridSpan w:val="4"/>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and other income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8920" w:type="dxa"/>
            <w:vAlign w:val="bottom"/>
            <w:gridSpan w:val="4"/>
            <w:vMerge w:val="restart"/>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4"/>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60" w:type="dxa"/>
            <w:vAlign w:val="bottom"/>
            <w:gridSpan w:val="2"/>
            <w:vMerge w:val="restart"/>
          </w:tcPr>
          <w:p>
            <w:pPr>
              <w:ind w:left="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2"/>
          </w:tcPr>
          <w:p>
            <w:pPr>
              <w:ind w:left="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32,112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32,989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24,956</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760" w:type="dxa"/>
            <w:vAlign w:val="bottom"/>
            <w:gridSpan w:val="2"/>
          </w:tcPr>
          <w:p>
            <w:pPr>
              <w:ind w:left="300"/>
              <w:spacing w:after="0"/>
              <w:rPr>
                <w:sz w:val="20"/>
                <w:szCs w:val="20"/>
                <w:color w:val="auto"/>
              </w:rPr>
            </w:pPr>
            <w:r>
              <w:rPr>
                <w:rFonts w:ascii="Arial" w:cs="Arial" w:eastAsia="Arial" w:hAnsi="Arial"/>
                <w:sz w:val="18"/>
                <w:szCs w:val="18"/>
                <w:color w:val="auto"/>
              </w:rPr>
              <w:t>Cost of services excludes depreciation and amortization which is shown separately.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60" w:type="dxa"/>
            <w:vAlign w:val="bottom"/>
          </w:tcPr>
          <w:p>
            <w:pPr>
              <w:ind w:left="2740"/>
              <w:spacing w:after="0"/>
              <w:rPr>
                <w:sz w:val="20"/>
                <w:szCs w:val="20"/>
                <w:color w:val="auto"/>
              </w:rPr>
            </w:pPr>
            <w:r>
              <w:rPr>
                <w:rFonts w:ascii="Arial" w:cs="Arial" w:eastAsia="Arial" w:hAnsi="Arial"/>
                <w:sz w:val="18"/>
                <w:szCs w:val="18"/>
                <w:color w:val="auto"/>
              </w:rPr>
              <w:t>See accompanying notes.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gridSpan w:val="2"/>
          </w:tcPr>
          <w:p>
            <w:pPr>
              <w:ind w:left="550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3,694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 related party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 available for sale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(3,615)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73,905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73,898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financial statements at March 31, 2007 and for the three months ended March 31, 2007 and 2006 are unaudited, but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incorporated by reference in Form 10-K for calendar year 2006. The results reported in these financial statements should not necessarily be taken as indicative of results that may be expected for the entire year. The balance sheet at December 31, 2006 has been derived from the audited financial statements at that date but does not include all of the information and footnotes required by U.S. GAAP for complete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Synchronoss Technologies, Inc. (the “Company” or “Synchronoss”) is a leading provider of on-demand multi-channel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platform enables communications service providers (“CSPs”) to take, manage and provision orders and other customer-oriented transactions and perform related critical service tasks. The Company targets complex and high-growth markets including wireless, high speed access (i.e., cable, DSL, and Wi-Max), Voice over Internet Protocol (“VoIP”), video and also target CSP’s bundling of these services (e.g., double, triple, and quadruple plays) and their intersection (i.e., video over wireless, IPTV, content activation). By simplifying technological complexities through the automation and integration of disparate systems, the Company’s platform automates, synchronizes and simplifies electronic order management, activation, and provisioning of these services.</w:t>
      </w:r>
    </w:p>
    <w:p>
      <w:pPr>
        <w:spacing w:after="0" w:line="8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 before underwriting discounts and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provides services principally on a transaction fee basis or, at times, on a fixed fee basis and recognizes the revenues as the services are performed or delivered as described below:</w:t>
      </w:r>
    </w:p>
    <w:p>
      <w:pPr>
        <w:spacing w:after="0" w:line="62"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i w:val="1"/>
          <w:iCs w:val="1"/>
          <w:color w:val="auto"/>
        </w:rPr>
        <w:t xml:space="preserve">Transaction Service Arrangements: </w:t>
      </w:r>
      <w:r>
        <w:rPr>
          <w:rFonts w:ascii="Arial" w:cs="Arial" w:eastAsia="Arial" w:hAnsi="Arial"/>
          <w:sz w:val="16"/>
          <w:szCs w:val="16"/>
          <w:color w:val="auto"/>
        </w:rPr>
        <w:t>Transaction revenues consist of revenues derived from the processing of transactions through the Company’s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and represent approximately 81% and 87% net revenues during the three months ended March 31, 2007 and 2006, respectively. Transaction service arrangements include services such as equipment orders, new account set-up, number port requests, credit checks and inventory management.</w:t>
      </w:r>
    </w:p>
    <w:p>
      <w:pPr>
        <w:spacing w:after="0" w:line="3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Many of our contracts guarantee minimum volume transactions from the customer. In these instances, if the customer’s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in revenues during the three months ended March 31, 2007 and 2006 was $221 and $69, respectively.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5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Professional Service Arrangements: </w:t>
      </w:r>
      <w:r>
        <w:rPr>
          <w:rFonts w:ascii="Arial" w:cs="Arial" w:eastAsia="Arial" w:hAnsi="Arial"/>
          <w:sz w:val="16"/>
          <w:szCs w:val="16"/>
          <w:color w:val="auto"/>
        </w:rPr>
        <w:t>Professional services represented approximately 18% and 11% of net revenues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and 2006, 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on a monthly basis, as services are performed and all other elements of revenue recognition have been satisfied.</w:t>
      </w:r>
    </w:p>
    <w:p>
      <w:pPr>
        <w:spacing w:after="0" w:line="5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8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If a professional service arrangement does not qualify for separate accounting, the Company would recognize the professional service revenues ratably over the remaining term of the transaction contract. For the three months ended March 31, 2007 and 2006, all professional services have been accounted for separately.</w:t>
      </w:r>
    </w:p>
    <w:p>
      <w:pPr>
        <w:spacing w:after="0" w:line="73"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i w:val="1"/>
          <w:iCs w:val="1"/>
          <w:color w:val="auto"/>
        </w:rPr>
        <w:t xml:space="preserve">Subscription Service Arrangements: </w:t>
      </w:r>
      <w:r>
        <w:rPr>
          <w:rFonts w:ascii="Arial" w:cs="Arial" w:eastAsia="Arial" w:hAnsi="Arial"/>
          <w:sz w:val="17"/>
          <w:szCs w:val="17"/>
          <w:color w:val="auto"/>
        </w:rPr>
        <w:t>Subscription service arrangements which are generally based upon fixed fees represent approximately 1% and 2% of</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revenues for the three months ended March 31, 2007 and 2006, respectively, and relate principally to the Company’s enterprise portal management services. The Company records revenues on a straight-line basis over the life of the contract for its subscription service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cash equivalents and marketable securities. Concentration of credit risk with respect to accounts receivable is limited because of the creditworthiness of the Company’s major customers.</w:t>
      </w:r>
    </w:p>
    <w:p>
      <w:pPr>
        <w:spacing w:after="0" w:line="50"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Our top five customers accounted for 93% and 88% of net revenues for the three months ended March 31, 2007 and 2006, respectively. Our top five customers accounted for 93% and 88% of accounts receivable at March 31, 2007 and December 31, 2006, respectively. We are the primary provider of e-commerce transaction management solutions to AT&amp;T Mobility LLC (formerly Cingular Wireless) our largest customer, under an agreement which runs through January of 2008, but which will be automatically renewed for an additional twelve months unless either party terminates prior to November 1, 2007. Under the terms of this agreement, AT&amp;T Mobility LLC may terminate its relationship with us for convenience, although we believe AT&amp;T Mobility LLC would encounter substantial costs in replacing our transaction management solution.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Statement of Financial Accounting Standards (“SFAS”) No.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disclosures of fair value information about financial instruments, whether or not recognized in the balance sheet, for which it 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practicable to estimate that value. Due to their short-term nature, the carrying amounts reported in the financial statements approximate the fair value for cash and cash equivalents, accounts receivable and accounts payable. The Company believes the carrying amount of its equipment loan approximates its fair value as of March 31, 2007 and 2006, since the interest rate of the equipment loan approximates a market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considers all highly liquid investments purchased with a maturity of three months or less at the date of acquisition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80" w:firstLine="215"/>
        <w:spacing w:after="0" w:line="312" w:lineRule="auto"/>
        <w:rPr>
          <w:sz w:val="20"/>
          <w:szCs w:val="20"/>
          <w:color w:val="auto"/>
        </w:rPr>
      </w:pPr>
      <w:r>
        <w:rPr>
          <w:rFonts w:ascii="Arial" w:cs="Arial" w:eastAsia="Arial" w:hAnsi="Arial"/>
          <w:sz w:val="16"/>
          <w:szCs w:val="16"/>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Expenditures for routine maintenance and repairs are charged against cost of services. Major replacements, improvements and additions are capitalized.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In accordance with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three months ended March 31, 2007 and 2006.</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Cost of services includes direct labor and those indirect costs related to revenues such as indirect labor, materials and supplies and facilities cost, exclusive of depreciation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expenses advertising as incurred. The Company did not incur any advertising costs during the three month periods presented herein.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determines the related deferred tax asset using enacted tax rates in effect in the years in which the differences are expected to reverse. A valuation allowance is recorded if it is “more likely than not” that a portion or all of a deferred tax asset will not be realized.</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June 2006, the FASB issued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to create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adopted FIN 48 as of January 1, 2007, as required and determined that the adoption of FIN 48 did not have a material impact on the Company’s financial position and results of operations. Interest costs and penalties related to income taxes are classified as interest expense and selling, general and administrative costs, respectively in the Company’s financial statements. The Company did not recognize interest or penalties related to income tax during the three months ended March 31, 2007 or 2006 and did not accrue for interest or penalties as of March 31, 2007 or December 31, 2006. The Company did not have any unrecognized tax benefits as of March 31, 2007 or December 31, 2006. Tax returns for all years 2000 and thereafter are subject to future examination by tax authorities.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700" w:firstLine="225"/>
        <w:spacing w:after="0" w:line="264" w:lineRule="auto"/>
        <w:rPr>
          <w:sz w:val="20"/>
          <w:szCs w:val="20"/>
          <w:color w:val="auto"/>
        </w:rPr>
      </w:pPr>
      <w:r>
        <w:rPr>
          <w:rFonts w:ascii="Arial" w:cs="Arial" w:eastAsia="Arial" w:hAnsi="Arial"/>
          <w:sz w:val="18"/>
          <w:szCs w:val="18"/>
          <w:color w:val="auto"/>
        </w:rPr>
        <w:t xml:space="preserve">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requires components of other comprehensive income, including unrealized gains and losses on available-for-sale securities, to be included as part of total comprehensive income. Comprehensive income is comprised of net income and other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The Company calculates net income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Company determined that its Series A redeemable convertible preferred stock represented a participating security prior to the IPO. Because the Series A redeemable convertible preferred stock participates equally with common stock in dividends and unallocated income, the Company calculated basic earnings per share when the Company reports net income using the if-converted method, which in the Company’s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circumstances, is equivalent to the two class approach required by EITF 03-6, </w:t>
      </w:r>
      <w:r>
        <w:rPr>
          <w:rFonts w:ascii="Arial" w:cs="Arial" w:eastAsia="Arial" w:hAnsi="Arial"/>
          <w:sz w:val="18"/>
          <w:szCs w:val="18"/>
          <w:i w:val="1"/>
          <w:iCs w:val="1"/>
          <w:color w:val="auto"/>
        </w:rPr>
        <w:t>Participating Securities and the Two — Class Method under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128. </w:t>
      </w:r>
      <w:r>
        <w:rPr>
          <w:rFonts w:ascii="Arial" w:cs="Arial" w:eastAsia="Arial" w:hAnsi="Arial"/>
          <w:sz w:val="18"/>
          <w:szCs w:val="18"/>
          <w:color w:val="auto"/>
        </w:rPr>
        <w:t>Net losses are not allocated to the Series A redeemable convertible preferred stockholders.</w:t>
      </w:r>
    </w:p>
    <w:p>
      <w:pPr>
        <w:spacing w:after="0" w:line="62"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is included in the denominator of basic earnings per share for the period such preferred stock was outstanding. The Company’s Series 1 redeemable convertible preferred stock is included in the denominator of diluted earnings per share for the period it was outstanding.</w:t>
      </w:r>
    </w:p>
    <w:p>
      <w:pPr>
        <w:spacing w:after="0" w:line="46"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There were no stock options that were anti-dilutive and excluded from the following table for the three months ended March 31, 2007.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  3,694</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  1,529</w:t>
            </w:r>
          </w:p>
        </w:tc>
      </w:tr>
      <w:tr>
        <w:trPr>
          <w:trHeight w:val="20"/>
        </w:trPr>
        <w:tc>
          <w:tcPr>
            <w:tcW w:w="7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32,112</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10,504</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2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11,549</w:t>
            </w:r>
          </w:p>
        </w:tc>
      </w:tr>
      <w:tr>
        <w:trPr>
          <w:trHeight w:val="223"/>
        </w:trPr>
        <w:tc>
          <w:tcPr>
            <w:tcW w:w="72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basic</w:t>
            </w:r>
          </w:p>
        </w:tc>
        <w:tc>
          <w:tcPr>
            <w:tcW w:w="20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19"/>
                <w:szCs w:val="19"/>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Options, restricted shares and warrants</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877</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1 convertible preferred stock into common stock</w:t>
            </w:r>
          </w:p>
        </w:tc>
        <w:tc>
          <w:tcPr>
            <w:tcW w:w="2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23"/>
        </w:trPr>
        <w:tc>
          <w:tcPr>
            <w:tcW w:w="72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diluted</w:t>
            </w:r>
          </w:p>
        </w:tc>
        <w:tc>
          <w:tcPr>
            <w:tcW w:w="20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 xml:space="preserve">As of March 31, 2007, the Company maintains two stock-based compensation plans. Prior to January 1, 2006, the Company was applying the disclosure 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159”). SFAS 159 provides companies with an option to report selected financial assets and liabilities at fair value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The Company is currently evaluating the effects of the adoption of SFAS 159 on our consolidated results of operations and financial position.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7"/>
          <w:szCs w:val="17"/>
          <w:i w:val="1"/>
          <w:iCs w:val="1"/>
          <w:color w:val="auto"/>
        </w:rPr>
        <w:t>, Disclosure About Segments of an Enterprise and Related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summary of available-for-sale securities held by the Company at March 31, 2007 and December 31, 2006. All securities held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are domestic: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2007</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2,252</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4,252</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1,937</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Unrealized gains and losses are reported as a component of accumulated other comprehensive loss in stockholders’ equity. For the three months ended March 31, 2007 and 2006, realized gains and losses were insignificant. The cost of securities sold is based on specific identification method.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Plans</w:t>
      </w:r>
    </w:p>
    <w:p>
      <w:pPr>
        <w:spacing w:after="0" w:line="121"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tcPr>
          <w:p>
            <w:pPr>
              <w:jc w:val="right"/>
              <w:ind w:right="1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900" w:type="dxa"/>
            <w:vAlign w:val="bottom"/>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2007</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54.24%</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4.81%</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52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5.91</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jc w:val="both"/>
        <w:ind w:right="40" w:firstLine="222"/>
        <w:spacing w:after="0" w:line="297" w:lineRule="auto"/>
        <w:rPr>
          <w:sz w:val="20"/>
          <w:szCs w:val="20"/>
          <w:color w:val="auto"/>
        </w:rPr>
      </w:pPr>
      <w:r>
        <w:rPr>
          <w:rFonts w:ascii="Arial" w:cs="Arial" w:eastAsia="Arial" w:hAnsi="Arial"/>
          <w:sz w:val="16"/>
          <w:szCs w:val="16"/>
          <w:color w:val="auto"/>
        </w:rPr>
        <w:t>The weighted-average fair value (as of the date of grant) of the options granted was $8.38 and $4.36 for the three months ended March 31, 2007 and 2006, respectively. During the three months ended March 31, 2007, the Company recorded total pre-tax stock-based compensation expense of $563 ($327 after tax or $0.01 per diluted share), which includes both intrinsic value for equity awards issued prior to 2006 and fair value for equity awards issued after January 1, 2006. The total stock-based compensation cost related to non-vested equity awards not yet recognized as an expense as of March 31, 2007 was approximately $4.9 million. That cost is expected to be recognized over a weighted-average period of approximately 3.0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0"/>
                <w:szCs w:val="10"/>
                <w:color w:val="auto"/>
              </w:rPr>
            </w:pPr>
          </w:p>
        </w:tc>
        <w:tc>
          <w:tcPr>
            <w:tcW w:w="168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 Grant</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88"/>
              </w:rPr>
              <w:t>Range</w:t>
            </w:r>
          </w:p>
        </w:tc>
        <w:tc>
          <w:tcPr>
            <w:tcW w:w="62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$ 0.29 - $12.68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20"/>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18"/>
                <w:szCs w:val="18"/>
                <w:color w:val="auto"/>
                <w:w w:val="86"/>
              </w:rPr>
              <w:t>$ 14.00</w:t>
            </w: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w w:val="90"/>
              </w:rPr>
              <w:t>- $16.19</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0.29 - $8.98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granted</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640" w:type="dxa"/>
            <w:vAlign w:val="bottom"/>
          </w:tcPr>
          <w:p>
            <w:pPr>
              <w:spacing w:after="0"/>
              <w:rPr>
                <w:sz w:val="19"/>
                <w:szCs w:val="19"/>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$ 0.29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$16.19</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March 31, 2007</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$16.19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 summary of the Company’s non-vested restricted stock at March 31, 2007, and changes during the three months ended March 31, 2007,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80" w:type="dxa"/>
            <w:vAlign w:val="bottom"/>
          </w:tcPr>
          <w:p>
            <w:pPr>
              <w:spacing w:after="0"/>
              <w:rPr>
                <w:sz w:val="14"/>
                <w:szCs w:val="1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99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580" w:type="dxa"/>
            <w:vAlign w:val="bottom"/>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Non-vested at March 31, 2007</w:t>
            </w:r>
          </w:p>
        </w:tc>
        <w:tc>
          <w:tcPr>
            <w:tcW w:w="92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224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Omniglobe International, L.L.C.</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Omniglobe International, L.L.C., (“Omniglobe”) a Delaware limited liability company with operations in India, provides data entry services relating to the Company’s exception handling management. The Company pays Omniglobe an hourly rate for each hour worked by each of its data entry agents. As of March 31, 2007 and 2006, the Company had agreements with Omniglobe. One of the Company’s agreements with Omniglobe provides for minimum levels of staffing at a specific price level resulting in an overall minimum commitment of $350 over a six month period. Services provided include data entry and related services as well as development and testing services. The current agreements may be terminated by either party without cause with 30 or 60 days written notice prior to the end of the term. Unless terminated, the agreement will automatically renew in six month increments. As of March 31, 2007, the Company fulfilled the overall minimum contractual commitment. The Company does not intend to terminate its arrangements with Omniglobe.</w:t>
      </w:r>
    </w:p>
    <w:p>
      <w:pPr>
        <w:spacing w:after="0" w:line="5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March 12, 2004, certain of the Company’s executive officers and their family members acquired indirect equity interests in Omniglobe by purchasing an ownership interest in Rumson Hitters, L.L.C. (“Rumson Hitters”), a Delaware limited liability company,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 Received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4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Purchase Price of</w:t>
            </w: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Sale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2"/>
                <w:szCs w:val="12"/>
                <w:color w:val="auto"/>
              </w:rPr>
            </w:pPr>
          </w:p>
        </w:tc>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Position with Synchronoss</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 in</w:t>
            </w:r>
          </w:p>
        </w:tc>
        <w:tc>
          <w:tcPr>
            <w:tcW w:w="4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in Rumson</w:t>
            </w: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Rumson Hitters,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Omniglobe</w:t>
            </w:r>
          </w:p>
        </w:tc>
        <w:tc>
          <w:tcPr>
            <w:tcW w:w="4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Hitters, L.L.C.</w:t>
            </w:r>
          </w:p>
        </w:tc>
        <w:tc>
          <w:tcPr>
            <w:tcW w:w="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L.L.C.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Stephen G. Waldis</w:t>
            </w:r>
          </w:p>
        </w:tc>
        <w:tc>
          <w:tcPr>
            <w:tcW w:w="46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Chairman of the Board of Directors, President and</w:t>
            </w:r>
          </w:p>
        </w:tc>
        <w:tc>
          <w:tcPr>
            <w:tcW w:w="1540" w:type="dxa"/>
            <w:vAlign w:val="bottom"/>
            <w:gridSpan w:val="2"/>
            <w:shd w:val="clear" w:color="auto" w:fill="CCEEFF"/>
          </w:tcPr>
          <w:p>
            <w:pPr>
              <w:jc w:val="right"/>
              <w:ind w:right="108"/>
              <w:spacing w:after="0" w:line="195" w:lineRule="exact"/>
              <w:rPr>
                <w:sz w:val="20"/>
                <w:szCs w:val="20"/>
                <w:color w:val="auto"/>
              </w:rPr>
            </w:pPr>
            <w:r>
              <w:rPr>
                <w:rFonts w:ascii="Arial" w:cs="Arial" w:eastAsia="Arial" w:hAnsi="Arial"/>
                <w:sz w:val="18"/>
                <w:szCs w:val="18"/>
                <w:color w:val="auto"/>
              </w:rPr>
              <w:t>12.23%</w:t>
            </w:r>
          </w:p>
        </w:tc>
        <w:tc>
          <w:tcPr>
            <w:tcW w:w="1760" w:type="dxa"/>
            <w:vAlign w:val="bottom"/>
            <w:gridSpan w:val="2"/>
            <w:shd w:val="clear" w:color="auto" w:fill="CCEEFF"/>
          </w:tcPr>
          <w:p>
            <w:pPr>
              <w:jc w:val="right"/>
              <w:ind w:right="308"/>
              <w:spacing w:after="0" w:line="195" w:lineRule="exact"/>
              <w:rPr>
                <w:sz w:val="20"/>
                <w:szCs w:val="20"/>
                <w:color w:val="auto"/>
              </w:rPr>
            </w:pPr>
            <w:r>
              <w:rPr>
                <w:rFonts w:ascii="Arial" w:cs="Arial" w:eastAsia="Arial" w:hAnsi="Arial"/>
                <w:sz w:val="18"/>
                <w:szCs w:val="18"/>
                <w:color w:val="auto"/>
              </w:rPr>
              <w:t>$95,000</w:t>
            </w:r>
          </w:p>
        </w:tc>
        <w:tc>
          <w:tcPr>
            <w:tcW w:w="1840" w:type="dxa"/>
            <w:vAlign w:val="bottom"/>
            <w:gridSpan w:val="2"/>
            <w:shd w:val="clear" w:color="auto" w:fill="CCEEFF"/>
          </w:tcPr>
          <w:p>
            <w:pPr>
              <w:jc w:val="right"/>
              <w:ind w:right="368"/>
              <w:spacing w:after="0" w:line="195"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Lawrence R. Irving</w:t>
            </w:r>
          </w:p>
        </w:tc>
        <w:tc>
          <w:tcPr>
            <w:tcW w:w="46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9"/>
              </w:rPr>
              <w:t>Executive Vice President, Chief Financial Officer</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and Treasurer</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2.58%</w:t>
            </w:r>
          </w:p>
        </w:tc>
        <w:tc>
          <w:tcPr>
            <w:tcW w:w="1760" w:type="dxa"/>
            <w:vAlign w:val="bottom"/>
            <w:gridSpan w:val="2"/>
          </w:tcPr>
          <w:p>
            <w:pPr>
              <w:jc w:val="right"/>
              <w:ind w:right="308"/>
              <w:spacing w:after="0"/>
              <w:rPr>
                <w:sz w:val="20"/>
                <w:szCs w:val="20"/>
                <w:color w:val="auto"/>
              </w:rPr>
            </w:pPr>
            <w:r>
              <w:rPr>
                <w:rFonts w:ascii="Arial" w:cs="Arial" w:eastAsia="Arial" w:hAnsi="Arial"/>
                <w:sz w:val="18"/>
                <w:szCs w:val="18"/>
                <w:color w:val="auto"/>
              </w:rPr>
              <w:t>$20,000</w:t>
            </w:r>
          </w:p>
        </w:tc>
        <w:tc>
          <w:tcPr>
            <w:tcW w:w="1840" w:type="dxa"/>
            <w:vAlign w:val="bottom"/>
            <w:gridSpan w:val="2"/>
          </w:tcPr>
          <w:p>
            <w:pPr>
              <w:jc w:val="right"/>
              <w:ind w:right="368"/>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David E. Berry</w:t>
            </w:r>
          </w:p>
        </w:tc>
        <w:tc>
          <w:tcPr>
            <w:tcW w:w="4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2"/>
              </w:rPr>
              <w:t>Former Vice President and Chief Technology Officer</w:t>
            </w:r>
          </w:p>
        </w:tc>
        <w:tc>
          <w:tcPr>
            <w:tcW w:w="1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2.58%</w:t>
            </w:r>
          </w:p>
        </w:tc>
        <w:tc>
          <w:tcPr>
            <w:tcW w:w="1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$20,000</w:t>
            </w:r>
          </w:p>
        </w:tc>
        <w:tc>
          <w:tcPr>
            <w:tcW w:w="18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Robert Garcia</w:t>
            </w:r>
          </w:p>
        </w:tc>
        <w:tc>
          <w:tcPr>
            <w:tcW w:w="46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7"/>
              </w:rPr>
              <w:t>Executive Vice President, Chief Operating Officer</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and Service Delivery</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1.29%</w:t>
            </w:r>
          </w:p>
        </w:tc>
        <w:tc>
          <w:tcPr>
            <w:tcW w:w="1760" w:type="dxa"/>
            <w:vAlign w:val="bottom"/>
            <w:gridSpan w:val="2"/>
          </w:tcPr>
          <w:p>
            <w:pPr>
              <w:jc w:val="right"/>
              <w:ind w:right="308"/>
              <w:spacing w:after="0"/>
              <w:rPr>
                <w:sz w:val="20"/>
                <w:szCs w:val="20"/>
                <w:color w:val="auto"/>
              </w:rPr>
            </w:pPr>
            <w:r>
              <w:rPr>
                <w:rFonts w:ascii="Arial" w:cs="Arial" w:eastAsia="Arial" w:hAnsi="Arial"/>
                <w:sz w:val="18"/>
                <w:szCs w:val="18"/>
                <w:color w:val="auto"/>
              </w:rPr>
              <w:t>$10,000</w:t>
            </w:r>
          </w:p>
        </w:tc>
        <w:tc>
          <w:tcPr>
            <w:tcW w:w="1840" w:type="dxa"/>
            <w:vAlign w:val="bottom"/>
            <w:gridSpan w:val="2"/>
          </w:tcPr>
          <w:p>
            <w:pPr>
              <w:jc w:val="right"/>
              <w:ind w:right="368"/>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gridSpan w:val="2"/>
          </w:tcPr>
          <w:p>
            <w:pPr>
              <w:jc w:val="right"/>
              <w:ind w:right="392"/>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7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From March 12, 2004 through June 12, 2006, Omniglobe paid an aggregate of $1,300 in distributions to all of its interest holders, including Rumson Hitters. In turn, during this period, Rumson Hitters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3"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During the period in which the Company’s employees and their family members owned equity interests in Rumson Hitters, fees paid for services rendered related to these agreements for the three months ended March 31, 2006 were $2.1 million. Since June 20, 2006, Omniglobe is no longer a related party.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18"/>
        <w:spacing w:after="0" w:line="272" w:lineRule="auto"/>
        <w:rPr>
          <w:sz w:val="20"/>
          <w:szCs w:val="20"/>
          <w:color w:val="auto"/>
        </w:rPr>
      </w:pPr>
      <w:r>
        <w:rPr>
          <w:rFonts w:ascii="Arial" w:cs="Arial" w:eastAsia="Arial" w:hAnsi="Arial"/>
          <w:sz w:val="17"/>
          <w:szCs w:val="17"/>
          <w:color w:val="auto"/>
        </w:rPr>
        <w:t>You should read the following discussion and analysis in conjunction with the information set forth in our financial statements and related notes included elsewhere in this quarterly report on Form 10-Q and in our Form 10-K for the year ended December 31, 2006. All numbers are expressed in thousands unless otherwise stated.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From 10-Q and our Annual Report on Form 10-K for the year ended December 31, 2006. Our actual results may differ materially from those contained herein to reflect any change in our expectations with regard thereto or any change in events, conditions or circumstances on which any such statements are based.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are a leading provider of on-demand multi-channel transaction management solutions to communications service providers (CSPs). We have designed our solution to be flexible across communication services and channels (i.e., e-commerce, CSP stores and other retail outlets, etc.), allowing us to meet the rapidly changing and converging services offered by CSPs. By simplifying technological complexities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 We target complex and high-growth markets including wireless, high speed access (i.e., cable, DSL and wi-max), Voice over Internet Protocol (“VoIP”), video and also target the bundling of these services (e.g., double, triple and quadruple plays) and their intersection (i.e., video over wireless, IPTV, content activation).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TM</w:t>
      </w:r>
      <w:r>
        <w:rPr>
          <w:rFonts w:ascii="Arial" w:cs="Arial" w:eastAsia="Arial" w:hAnsi="Arial"/>
          <w:sz w:val="17"/>
          <w:szCs w:val="17"/>
          <w:color w:val="auto"/>
        </w:rPr>
        <w:t xml:space="preserve"> platforms automate, synchronize and simplify electronic order management, activation and provisioning of these services. Our industry-leading customers include AT&amp;T Inc., Vonage Holdings, Cablevision Systems Corporation, Level 3 Communications, SunRocket, Covad, Verizon Business Solutions, Clearwire, Time Warner Cable and Comcast. Our CSP customers use our platform and technology to service both consumer and business customers, including over 300 of the Fortune 500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We have increased our revenues rapidly, growing at a compound annual growth rate of 67% from 2001 to 2006. Over the last three years we have derived an increasing percentage of our revenues from transactions. For the three months ended March 31, 2007, we derived approximately 81% of our revenues from transactions processed; and for the three months ended March 31, 2006, we derived approximately 87% of our revenues from transactions processed. The remainder of our revenues were generated by professional services and subscription revenues. As the year progresses, we expect to derive an increasing percentage of our net revenues from transaction processing.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Research and development expense consists primarily of costs related to personnel, including salaries and other personnel related expense, consulting fees and the costs of facilities, computer and support services used in service and technology development. We also expense costs relating to developing modifications and minor enhancements of our existing technology and services.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license fees and bad debt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and amortization relates to our property and equipment and includes our network infrastructure and facilities related to our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jc w:val="both"/>
        <w:ind w:right="40" w:firstLine="222"/>
        <w:spacing w:after="0" w:line="297"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local number portability, the implementation of new technologies, such as Voice over Internet Protocol, or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the addition of wireless customers and services. In 2004 we began providing local number portability services, and in 2005 and 2006 we further expanded our service offerings into the VoIP markets.</w:t>
      </w:r>
    </w:p>
    <w:p>
      <w:pPr>
        <w:spacing w:after="0" w:line="50"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58"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provide services principally on a transactional basis or, at times, on a fixed fee basis and recognize the revenues as the services are performed or delivered as discussed below:</w:t>
      </w:r>
    </w:p>
    <w:p>
      <w:pPr>
        <w:spacing w:after="0" w:line="62"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i w:val="1"/>
          <w:iCs w:val="1"/>
          <w:color w:val="auto"/>
        </w:rPr>
        <w:t xml:space="preserve">Transactional Service Arrangements: </w:t>
      </w:r>
      <w:r>
        <w:rPr>
          <w:rFonts w:ascii="Arial" w:cs="Arial" w:eastAsia="Arial" w:hAnsi="Arial"/>
          <w:sz w:val="16"/>
          <w:szCs w:val="16"/>
          <w:color w:val="auto"/>
        </w:rPr>
        <w:t>Transaction revenues consist of revenues derived from the processing of transactions through our service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and represented approximately 81% and 87% of our revenues for the three months ended March 31, 2007 and 2006, respectively. Transaction service arrangements include services such as equipment orders, new account set-up, number port requests, credit checks and inventory management.</w:t>
      </w:r>
    </w:p>
    <w:p>
      <w:pPr>
        <w:spacing w:after="0" w:line="39"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Many of our contracts guarantee minimum volume transactions from the customer. In these instances, if the customer’s 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57"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i w:val="1"/>
          <w:iCs w:val="1"/>
          <w:color w:val="auto"/>
        </w:rPr>
        <w:t xml:space="preserve">Professional Service Arrangements: </w:t>
      </w:r>
      <w:r>
        <w:rPr>
          <w:rFonts w:ascii="Arial" w:cs="Arial" w:eastAsia="Arial" w:hAnsi="Arial"/>
          <w:sz w:val="18"/>
          <w:szCs w:val="18"/>
          <w:color w:val="auto"/>
        </w:rPr>
        <w:t>Professional service revenues represented approximately 18% and 11% of our revenues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2007 and 2006, 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determining whether professional services can be accounted for separately from transaction service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3"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If a professional service arrangement does not qualify for separate accounting, we would recognize the professional service revenues ratably over the remaining term of the transaction contract. There were no such arrangements for the three months ended March 31, 2007 and 2006.</w:t>
      </w:r>
    </w:p>
    <w:p>
      <w:pPr>
        <w:spacing w:after="0" w:line="38"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i w:val="1"/>
          <w:iCs w:val="1"/>
          <w:color w:val="auto"/>
        </w:rPr>
        <w:t xml:space="preserve">Subscription Service Arrangements: </w:t>
      </w:r>
      <w:r>
        <w:rPr>
          <w:rFonts w:ascii="Arial" w:cs="Arial" w:eastAsia="Arial" w:hAnsi="Arial"/>
          <w:sz w:val="17"/>
          <w:szCs w:val="17"/>
          <w:color w:val="auto"/>
        </w:rPr>
        <w:t>Subscription service arrangements represented approximately 1% and 2% of our revenues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2007 and 2006, respectively, and relate principally to our ActivationNow</w:t>
      </w:r>
      <w:r>
        <w:rPr>
          <w:rFonts w:ascii="Arial" w:cs="Arial" w:eastAsia="Arial" w:hAnsi="Arial"/>
          <w:sz w:val="14"/>
          <w:szCs w:val="14"/>
          <w:color w:val="auto"/>
        </w:rPr>
        <w:t>®</w:t>
      </w:r>
      <w:r>
        <w:rPr>
          <w:rFonts w:ascii="Arial" w:cs="Arial" w:eastAsia="Arial" w:hAnsi="Arial"/>
          <w:sz w:val="17"/>
          <w:szCs w:val="17"/>
          <w:color w:val="auto"/>
        </w:rPr>
        <w:t xml:space="preserve"> platform service which the customer accesses through a graphical user interface. We record revenues on a straight-line basis over the life of the contract for our subscription service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Level Standards</w:t>
      </w:r>
    </w:p>
    <w:p>
      <w:pPr>
        <w:spacing w:after="0" w:line="121"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21"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record a valuation allowance on our deferred tax assets when it is more likely than not that an asset will not be realized. Determining when we will recognize our deferred tax assets is a matter of judgment based on facts and circumstances. We determined that it was appropriate to record our deferred tax assets at full value at March 31, 2007 and December 31, 2006, based on our recent cumulative earnings history and our expected future earnings. However, if there were a significant change in facts, such as a loss of a significant customer, we may determine that a valuation allowance is required.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 xml:space="preserve">As of March 31, 2007, the Company maintains two stock-based compensation plans. Prior to January 1, 2006, the Company was applying the disclosure 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w:t>
      </w:r>
    </w:p>
    <w:p>
      <w:pPr>
        <w:spacing w:after="0" w:line="81"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 xml:space="preserve">The Company utilizes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our stock and the weighted average of historical information of similar public entities for which historical information was available. We will continue to use a blended weighted average approach using our own historical volatility and other similar public entity volatility information until our historical volatility is relevant to measure expected volatility for future option grants. The average expected life was determined according to the SEC shortcut approach as described in Staff Accounting Bulletin (“SAB”) 107, </w:t>
      </w:r>
      <w:r>
        <w:rPr>
          <w:rFonts w:ascii="Arial" w:cs="Arial" w:eastAsia="Arial" w:hAnsi="Arial"/>
          <w:sz w:val="17"/>
          <w:szCs w:val="17"/>
          <w:i w:val="1"/>
          <w:iCs w:val="1"/>
          <w:color w:val="auto"/>
        </w:rPr>
        <w:t>Disclosure about Fair Value of Financial Instruments</w:t>
      </w:r>
      <w:r>
        <w:rPr>
          <w:rFonts w:ascii="Arial" w:cs="Arial" w:eastAsia="Arial" w:hAnsi="Arial"/>
          <w:sz w:val="17"/>
          <w:szCs w:val="17"/>
          <w:color w:val="auto"/>
        </w:rPr>
        <w:t>, which is the mid-point between the vesting date and the end of the contractual term. The risk-free interest rate is based on U.S. Treasury zero-coupon issues with a remaining term equal to the expected life assumed at the date of grant. Forfeitures are estimated based on voluntary termination behavior, as well as a historical analysis of actual option forfeitures.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tcPr>
          <w:p>
            <w:pPr>
              <w:jc w:val="right"/>
              <w:ind w:right="1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900" w:type="dxa"/>
            <w:vAlign w:val="bottom"/>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2007</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152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54.24%</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4.81%</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1520" w:type="dxa"/>
            <w:vAlign w:val="bottom"/>
          </w:tcPr>
          <w:p>
            <w:pPr>
              <w:jc w:val="right"/>
              <w:ind w:right="476"/>
              <w:spacing w:after="0"/>
              <w:rPr>
                <w:sz w:val="20"/>
                <w:szCs w:val="20"/>
                <w:color w:val="auto"/>
              </w:rPr>
            </w:pPr>
            <w:r>
              <w:rPr>
                <w:rFonts w:ascii="Arial" w:cs="Arial" w:eastAsia="Arial" w:hAnsi="Arial"/>
                <w:sz w:val="18"/>
                <w:szCs w:val="18"/>
                <w:color w:val="auto"/>
              </w:rPr>
              <w:t>5.91</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0%</w:t>
            </w:r>
          </w:p>
        </w:tc>
      </w:tr>
    </w:tbl>
    <w:p>
      <w:pPr>
        <w:spacing w:after="0" w:line="94"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weighted-average fair value (as of the date of grant) of the options granted was $8.38 and $4.36 for the three months ended March 31, 2007 and 2006, respectively. Beginning in 2006, in certain cases, we granted members of our board of directors and certain employees NSOs in addition to ISOs. The total stock-based compensation cost related to non-vested stock options, non-vested restricted stock and stock option awards not yet recognized as of March 31, 2007 was approximately $4.9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2007 compared to the three months ended March 31,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60" w:type="dxa"/>
            <w:vAlign w:val="bottom"/>
            <w:tcBorders>
              <w:top w:val="single" w:sz="8" w:color="auto"/>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3"/>
          </w:tcPr>
          <w:p>
            <w:pPr>
              <w:jc w:val="center"/>
              <w:ind w:right="59"/>
              <w:spacing w:after="0" w:line="142" w:lineRule="exact"/>
              <w:rPr>
                <w:sz w:val="20"/>
                <w:szCs w:val="20"/>
                <w:color w:val="auto"/>
              </w:rPr>
            </w:pPr>
            <w:r>
              <w:rPr>
                <w:rFonts w:ascii="Arial" w:cs="Arial" w:eastAsia="Arial" w:hAnsi="Arial"/>
                <w:sz w:val="14"/>
                <w:szCs w:val="14"/>
                <w:b w:val="1"/>
                <w:bCs w:val="1"/>
                <w:color w:val="auto"/>
                <w:w w:val="89"/>
              </w:rPr>
              <w:t>2007 vs.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9"/>
              </w:rPr>
              <w:t>% of Revenue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7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5"/>
          </w:tcPr>
          <w:p>
            <w:pPr>
              <w:jc w:val="right"/>
              <w:ind w:right="14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$ 21,329</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$ 15,724</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425"/>
        </w:trPr>
        <w:tc>
          <w:tcPr>
            <w:tcW w:w="3220" w:type="dxa"/>
            <w:vAlign w:val="bottom"/>
          </w:tcPr>
          <w:p>
            <w:pPr>
              <w:spacing w:after="0"/>
              <w:rPr>
                <w:sz w:val="20"/>
                <w:szCs w:val="20"/>
                <w:color w:val="auto"/>
              </w:rPr>
            </w:pPr>
            <w:r>
              <w:rPr>
                <w:rFonts w:ascii="Arial" w:cs="Arial" w:eastAsia="Arial" w:hAnsi="Arial"/>
                <w:sz w:val="18"/>
                <w:szCs w:val="18"/>
                <w:color w:val="auto"/>
              </w:rPr>
              <w:t>Cost of services (excluding depreciation</w:t>
            </w: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and amortization shown separately</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Arial" w:cs="Arial" w:eastAsia="Arial" w:hAnsi="Arial"/>
                <w:sz w:val="18"/>
                <w:szCs w:val="18"/>
                <w:color w:val="auto"/>
              </w:rPr>
              <w:t>below)</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9,642</w:t>
            </w:r>
          </w:p>
        </w:tc>
        <w:tc>
          <w:tcPr>
            <w:tcW w:w="1560" w:type="dxa"/>
            <w:vAlign w:val="bottom"/>
            <w:gridSpan w:val="3"/>
          </w:tcPr>
          <w:p>
            <w:pPr>
              <w:jc w:val="right"/>
              <w:ind w:right="448"/>
              <w:spacing w:after="0"/>
              <w:rPr>
                <w:sz w:val="20"/>
                <w:szCs w:val="20"/>
                <w:color w:val="auto"/>
              </w:rPr>
            </w:pPr>
            <w:r>
              <w:rPr>
                <w:rFonts w:ascii="Arial" w:cs="Arial" w:eastAsia="Arial" w:hAnsi="Arial"/>
                <w:sz w:val="18"/>
                <w:szCs w:val="18"/>
                <w:color w:val="auto"/>
              </w:rPr>
              <w:t>45.2%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8,763</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1,932</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9.1%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1,685</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3,240</w:t>
            </w:r>
          </w:p>
        </w:tc>
        <w:tc>
          <w:tcPr>
            <w:tcW w:w="1560" w:type="dxa"/>
            <w:vAlign w:val="bottom"/>
            <w:gridSpan w:val="3"/>
          </w:tcPr>
          <w:p>
            <w:pPr>
              <w:jc w:val="right"/>
              <w:ind w:right="448"/>
              <w:spacing w:after="0"/>
              <w:rPr>
                <w:sz w:val="20"/>
                <w:szCs w:val="20"/>
                <w:color w:val="auto"/>
              </w:rPr>
            </w:pPr>
            <w:r>
              <w:rPr>
                <w:rFonts w:ascii="Arial" w:cs="Arial" w:eastAsia="Arial" w:hAnsi="Arial"/>
                <w:sz w:val="18"/>
                <w:szCs w:val="18"/>
                <w:color w:val="auto"/>
              </w:rPr>
              <w:t>15.2%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2,010</w:t>
            </w:r>
          </w:p>
        </w:tc>
        <w:tc>
          <w:tcPr>
            <w:tcW w:w="2060" w:type="dxa"/>
            <w:vAlign w:val="bottom"/>
            <w:gridSpan w:val="3"/>
          </w:tcPr>
          <w:p>
            <w:pPr>
              <w:jc w:val="right"/>
              <w:ind w:right="56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1,230</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1,087</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5.1%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15,901</w:t>
            </w:r>
          </w:p>
        </w:tc>
        <w:tc>
          <w:tcPr>
            <w:tcW w:w="6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520" w:type="dxa"/>
            <w:vAlign w:val="bottom"/>
            <w:gridSpan w:val="2"/>
          </w:tcPr>
          <w:p>
            <w:pPr>
              <w:jc w:val="right"/>
              <w:ind w:right="448"/>
              <w:spacing w:after="0"/>
              <w:rPr>
                <w:sz w:val="20"/>
                <w:szCs w:val="20"/>
                <w:color w:val="auto"/>
              </w:rPr>
            </w:pPr>
            <w:r>
              <w:rPr>
                <w:rFonts w:ascii="Arial" w:cs="Arial" w:eastAsia="Arial" w:hAnsi="Arial"/>
                <w:sz w:val="18"/>
                <w:szCs w:val="18"/>
                <w:color w:val="auto"/>
              </w:rPr>
              <w:t>74.6%</w:t>
            </w: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13,177</w:t>
            </w: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2,724</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5,428</w:t>
            </w:r>
          </w:p>
        </w:tc>
        <w:tc>
          <w:tcPr>
            <w:tcW w:w="15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25.4%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2,547</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80" w:firstLine="225"/>
        <w:spacing w:after="0" w:line="291"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$5.6 million to $21.3 million for the three months ended March 31, 2007,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2006. This increase is primarily due to increased revenues from existing customers. Net revenues from our wireless customer increased</w:t>
      </w:r>
    </w:p>
    <w:p>
      <w:pPr>
        <w:ind w:right="20"/>
        <w:spacing w:after="0" w:line="290" w:lineRule="auto"/>
        <w:rPr>
          <w:sz w:val="20"/>
          <w:szCs w:val="20"/>
          <w:color w:val="auto"/>
        </w:rPr>
      </w:pPr>
      <w:r>
        <w:rPr>
          <w:rFonts w:ascii="Arial" w:cs="Arial" w:eastAsia="Arial" w:hAnsi="Arial"/>
          <w:sz w:val="16"/>
          <w:szCs w:val="16"/>
          <w:color w:val="auto"/>
        </w:rPr>
        <w:t>$3.2 million to $14.5 million for the three months ended March 31, 2007, compared to the three months ended March 31, 2006. LNP and VoIP transactions accounted for $6.7 million of our revenues during the three months ended March 31, 2007, as compared to $4.2 million for the corresponding period last year. Transaction revenues recognized for the three months ended March 31, 2007 represented 81% of net revenues compared to 87% for the same period in 2006. The increase in transaction revenues of $3.6 million was supplemented by an increase of professional service revenues of $2.1 million. Professional service revenues increased as a percentage of sales to 18% for the three months ended March 31, 2007, compared to 11% for the three months ended March 31, 2006. As the year progresses, we expect to derive an increasing percentage of our net revenues from transaction processing.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increased $0.9 million to $9.6 million for the three months ended March 31, 2007, compared to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2006, due primarily to the growth in personnel costs required to support higher transaction volumes submitted to us by our customers and increases in telecommunication costs. In particular, personnel and related costs and third party consulting service costs increased $0.5 million to manage exception handling. Also, additional telecommunication and maintenance expense in our data facilities, contributed approximately $0.3 million to the increase in cost of services. In addition, stock-based compensation expense increased $0.1 million. Cost of services as a percentage of revenues decreased to 45.2% for the three months ended March 31, 2007, as compared to 55.7% for the three months ended March 31, 2006. We are continuing to realize the benefits and efficiencies gained by increased automation rates in our customers.</w:t>
      </w:r>
    </w:p>
    <w:p>
      <w:pPr>
        <w:spacing w:after="0" w:line="7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$0.2 million to $1.9 million for the three months ended March 31,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2006, due to the continued investment in and further development of the ActivationNow</w:t>
      </w:r>
      <w:r>
        <w:rPr>
          <w:rFonts w:ascii="Arial" w:cs="Arial" w:eastAsia="Arial" w:hAnsi="Arial"/>
          <w:sz w:val="15"/>
          <w:szCs w:val="15"/>
          <w:color w:val="auto"/>
        </w:rPr>
        <w:t>®</w:t>
      </w:r>
      <w:r>
        <w:rPr>
          <w:rFonts w:ascii="Arial" w:cs="Arial" w:eastAsia="Arial" w:hAnsi="Arial"/>
          <w:sz w:val="18"/>
          <w:szCs w:val="18"/>
          <w:color w:val="auto"/>
        </w:rPr>
        <w:t xml:space="preserve"> and ConvergenceNow</w:t>
      </w:r>
      <w:r>
        <w:rPr>
          <w:rFonts w:ascii="Arial" w:cs="Arial" w:eastAsia="Arial" w:hAnsi="Arial"/>
          <w:sz w:val="15"/>
          <w:szCs w:val="15"/>
          <w:color w:val="auto"/>
        </w:rPr>
        <w:t>TM</w:t>
      </w:r>
      <w:r>
        <w:rPr>
          <w:rFonts w:ascii="Arial" w:cs="Arial" w:eastAsia="Arial" w:hAnsi="Arial"/>
          <w:sz w:val="18"/>
          <w:szCs w:val="18"/>
          <w:color w:val="auto"/>
        </w:rPr>
        <w:t xml:space="preserve"> platforms to enhance our service offerings and increases in automation that have continued to allow us to gain operational efficiencies. Research and development expense as a percentage of revenues decreased to 9.1% for the three months ended March 31, 2007, as compared to 10.7% for the three months ended March 31,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$1.2 million to $3.2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2007, compared to the three months ended March 31, 2006, due in part to increases in personnel and related costs totaling $0.3 million, increased expenses of $0.4 million associated with being a public company, and increased stock-based compensation expense of $0.3 million. Selling, general and administrative expense as a percentage of revenues increased to 15.2% for the three months ended March 31, 2007, as compared to 12.8% for the three months ended March 31, 2006. We anticipate that our selling, general and administrative expenses will increase on an absolute basis in the future as we incur public company costs and make continued investments in sales and marketing.</w:t>
      </w:r>
    </w:p>
    <w:p>
      <w:pPr>
        <w:spacing w:after="0" w:line="7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$0.4 million to $1.1 million due to the commencement of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associated with recent fixed asset additions.</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41.9% and approximately 41.6% during the three months ended March 31, 2007 and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March 31, 2007 and 2006, we recognized approximately $2.7 million and $1.1 million in related tax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w:t>
      </w:r>
    </w:p>
    <w:p>
      <w:pPr>
        <w:ind w:right="80"/>
        <w:spacing w:after="0" w:line="255" w:lineRule="auto"/>
        <w:rPr>
          <w:sz w:val="20"/>
          <w:szCs w:val="20"/>
          <w:color w:val="auto"/>
        </w:rPr>
      </w:pPr>
      <w:r>
        <w:rPr>
          <w:rFonts w:ascii="Arial" w:cs="Arial" w:eastAsia="Arial" w:hAnsi="Arial"/>
          <w:sz w:val="18"/>
          <w:szCs w:val="18"/>
          <w:color w:val="auto"/>
        </w:rPr>
        <w:t>$52.8 million, which enabled us to strengthen our balance sheet. As a result, we had cash, cash equivalents and short- and long-term marketable securities of $78.2 million at March 31, 2007. We anticipate that our principal uses of cash in the future will be facility expansion, capital expenditures and working capital.</w:t>
      </w:r>
    </w:p>
    <w:p>
      <w:pPr>
        <w:spacing w:after="0" w:line="8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6, 2004, we entered into a Loan and Security Agreement (the “Agreement”) with a bank which expires on December 1, 2007. The Agreement includes a Revolving Promissory Note for up to $2.0 million and an Equipment Term Note for up to $3.0 million. Availability under the Agreement for the Revolving Promissory Note is based on defined percentages of eligible accounts receivable. Borrowings on the revolving credit agreement bear interest at the prime rate plus 1.25% (9.5% at March 31, 2007 and December 31, 2006).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borrowings against the Revolving Promissory Note as of December 31, 2006 and during the three months ended March 31, 2007. As of March 31, 2007 and December 31, 2006, we had outstanding borrowings of $500 and $666, respectively, against the Equipment Term Note to fund purchases of eligible equipment. Borrowings on the equipment line bear interest at the prime rate plus 1.75% (10% at March 31, 2007 and December 31, 2006) and principal and interest are payable monthly. Borrowings under the Agreement are collateralized by all of our assets.</w:t>
      </w:r>
    </w:p>
    <w:p>
      <w:pPr>
        <w:spacing w:after="0" w:line="70" w:lineRule="exact"/>
        <w:rPr>
          <w:sz w:val="20"/>
          <w:szCs w:val="20"/>
          <w:color w:val="auto"/>
        </w:rPr>
      </w:pPr>
    </w:p>
    <w:p>
      <w:pPr>
        <w:jc w:val="both"/>
        <w:ind w:right="60" w:firstLine="222"/>
        <w:spacing w:after="0" w:line="302" w:lineRule="auto"/>
        <w:rPr>
          <w:sz w:val="20"/>
          <w:szCs w:val="20"/>
          <w:color w:val="auto"/>
        </w:rPr>
      </w:pPr>
      <w:r>
        <w:rPr>
          <w:rFonts w:ascii="Arial" w:cs="Arial" w:eastAsia="Arial" w:hAnsi="Arial"/>
          <w:sz w:val="16"/>
          <w:szCs w:val="16"/>
          <w:color w:val="auto"/>
        </w:rPr>
        <w:t>The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financial covenant at March 31, 2007 and December 31, 2006. As of March 31, 2007, we had $2.0 million available under the revolving promissory note of our bank, subject to the terms and conditions of that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Net cash provided by operating activities for the three months ended March 31, 2007 was $3.4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$1.0 million for the three months March 31, 2006. The increase of $4.4 million is primarily due to increased income and an increase to accounts payable. The accounts payable account grew partially due to capital expenditures necessary to continue to grow our business. Payments for accounts payable are expected to occur during the second quarter of 2007.</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three months ended March 31, 2007 was $3.6 million compared to net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for the three months March 31, 2006. The increase of $2.3 million was due to the increased purchase of fixed assets of $3.0 million partially offset by sales of marketable securities.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three months ended March 31, 2007 was $0.2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$0.9 million for the three months March 31, 2006. The decrease of $0.7 million in net cash provided by financing activities was principally due to lower proceeds received from the exercise of options to purchase common stock.</w:t>
      </w:r>
    </w:p>
    <w:p>
      <w:pPr>
        <w:spacing w:after="0" w:line="7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believe that our existing cash and cash equivalents, short-term investments and cash from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March 31,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159”). SFAS 159 provides companies with an option to report selected financial assets and liabilities at fair value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The Company is currently evaluating the effects of the adoption of SFAS 159 on our consolidated results of operations, cash flows, and financial position.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March 31, 2007 and 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invest in a variety of financial instruments, consisting principally of investments in commercial paper, money market funds and debt securities of municipalities and the United States Government and its agencies and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64"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including commercial paper, money market funds and corporate debt securities. Our cash and cash equivalents at March 31, 2007 and December 31, 2006 included liquid money market accounts. All market-risk sensitive instruments were entered into for non-trading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color w:val="auto"/>
        </w:rPr>
        <w:t>Our chief executive officer and chief financial officer, after evaluating the effectiveness of our “disclosure controls and procedures” (as defined in Exchange Act Rules 13a-15(e) and 15d-15(e)) as of March 31, 2007, have concluded that, as of such date, our disclosure controls and procedures were effective based on their evaluation of these controls and procedures required by paragraph (b) of Exchange Act Rules 13(a)-15 or 15d-15.</w:t>
      </w:r>
    </w:p>
    <w:p>
      <w:pPr>
        <w:spacing w:after="0" w:line="3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management, including 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There was no change in our internal controls over financial reporting (as defined in Rule 13a-15(f) of the Exchange Act) that occurred during the three months ended March 31, 2007 that has materially affected, or is reasonably likely to materially affect, our internal controls over financial reporting.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are not currently subject to any material legal proceedings;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2006,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There has been no material change in our planned use of proceeds from the IPO from that described in the final prospectus filed with the SEC pursuant to Rule 424(b).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May 4,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20"/>
          </w:cols>
          <w:pgMar w:left="240" w:top="419" w:right="11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March 31, 2007,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March 31, 2007, as filed with the Securities and Exchange Commission on the date hereof (the “Report”), I, Lawrence R. Irving, the Executive Vice President,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2019-12-15T04:40:32Z</dcterms:created>
  <dcterms:modified xsi:type="dcterms:W3CDTF">2019-12-15T04:40:32Z</dcterms:modified>
</cp:coreProperties>
</file>