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457200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231775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267970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320" w:right="1600"/>
        <w:spacing w:after="0" w:line="258"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001-40574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251460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529"/>
        </w:trPr>
        <w:tc>
          <w:tcPr>
            <w:tcW w:w="20" w:type="dxa"/>
            <w:vAlign w:val="bottom"/>
          </w:tcPr>
          <w:p>
            <w:pPr>
              <w:spacing w:after="0"/>
              <w:rPr>
                <w:sz w:val="24"/>
                <w:szCs w:val="24"/>
                <w:color w:val="auto"/>
              </w:rPr>
            </w:pPr>
          </w:p>
        </w:tc>
        <w:tc>
          <w:tcPr>
            <w:tcW w:w="10960" w:type="dxa"/>
            <w:vAlign w:val="bottom"/>
          </w:tcPr>
          <w:p>
            <w:pPr>
              <w:jc w:val="center"/>
              <w:ind w:left="183"/>
              <w:spacing w:after="0"/>
              <w:rPr>
                <w:sz w:val="20"/>
                <w:szCs w:val="20"/>
                <w:color w:val="auto"/>
              </w:rPr>
            </w:pPr>
            <w:r>
              <w:rPr>
                <w:rFonts w:ascii="Times New Roman" w:cs="Times New Roman" w:eastAsia="Times New Roman" w:hAnsi="Times New Roman"/>
                <w:sz w:val="43"/>
                <w:szCs w:val="43"/>
                <w:b w:val="1"/>
                <w:bCs w:val="1"/>
                <w:color w:val="auto"/>
                <w:w w:val="99"/>
              </w:rPr>
              <w:t>Synchronoss Technologies, Inc.</w:t>
            </w:r>
          </w:p>
        </w:tc>
        <w:tc>
          <w:tcPr>
            <w:tcW w:w="28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0960" w:type="dxa"/>
            <w:vAlign w:val="bottom"/>
          </w:tcPr>
          <w:p>
            <w:pPr>
              <w:jc w:val="center"/>
              <w:ind w:left="20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8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10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336"/>
        </w:trPr>
        <w:tc>
          <w:tcPr>
            <w:tcW w:w="20" w:type="dxa"/>
            <w:vAlign w:val="bottom"/>
          </w:tcPr>
          <w:p>
            <w:pPr>
              <w:spacing w:after="0"/>
              <w:rPr>
                <w:sz w:val="24"/>
                <w:szCs w:val="24"/>
                <w:color w:val="auto"/>
              </w:rPr>
            </w:pPr>
          </w:p>
        </w:tc>
        <w:tc>
          <w:tcPr>
            <w:tcW w:w="10960" w:type="dxa"/>
            <w:vAlign w:val="bottom"/>
          </w:tcPr>
          <w:p>
            <w:pPr>
              <w:jc w:val="center"/>
              <w:ind w:left="183"/>
              <w:spacing w:after="0"/>
              <w:rPr>
                <w:sz w:val="20"/>
                <w:szCs w:val="20"/>
                <w:color w:val="auto"/>
              </w:rPr>
            </w:pPr>
            <w:r>
              <w:rPr>
                <w:rFonts w:ascii="Times New Roman" w:cs="Times New Roman" w:eastAsia="Times New Roman" w:hAnsi="Times New Roman"/>
                <w:sz w:val="18"/>
                <w:szCs w:val="18"/>
                <w:b w:val="1"/>
                <w:bCs w:val="1"/>
                <w:color w:val="auto"/>
                <w:w w:val="99"/>
              </w:rPr>
              <w:t>200 Crossing Boulevard, 8th Floor</w:t>
            </w:r>
          </w:p>
        </w:tc>
        <w:tc>
          <w:tcPr>
            <w:tcW w:w="2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960" w:type="dxa"/>
            <w:vAlign w:val="bottom"/>
          </w:tcPr>
          <w:p>
            <w:pPr>
              <w:jc w:val="center"/>
              <w:ind w:left="203"/>
              <w:spacing w:after="0"/>
              <w:rPr>
                <w:sz w:val="20"/>
                <w:szCs w:val="20"/>
                <w:color w:val="auto"/>
              </w:rPr>
            </w:pPr>
            <w:r>
              <w:rPr>
                <w:rFonts w:ascii="Times New Roman" w:cs="Times New Roman" w:eastAsia="Times New Roman" w:hAnsi="Times New Roman"/>
                <w:sz w:val="18"/>
                <w:szCs w:val="18"/>
                <w:b w:val="1"/>
                <w:bCs w:val="1"/>
                <w:color w:val="auto"/>
                <w:w w:val="98"/>
              </w:rPr>
              <w:t>Bridgewater, NJ 08807</w:t>
            </w:r>
          </w:p>
        </w:tc>
        <w:tc>
          <w:tcPr>
            <w:tcW w:w="280" w:type="dxa"/>
            <w:vAlign w:val="bottom"/>
          </w:tcPr>
          <w:p>
            <w:pPr>
              <w:spacing w:after="0"/>
              <w:rPr>
                <w:sz w:val="18"/>
                <w:szCs w:val="18"/>
                <w:color w:val="auto"/>
              </w:rPr>
            </w:pPr>
          </w:p>
        </w:tc>
      </w:tr>
      <w:tr>
        <w:trPr>
          <w:trHeight w:val="214"/>
        </w:trPr>
        <w:tc>
          <w:tcPr>
            <w:tcW w:w="109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(866) 620-3940</w:t>
            </w:r>
          </w:p>
        </w:tc>
        <w:tc>
          <w:tcPr>
            <w:tcW w:w="28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1096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tc>
        <w:tc>
          <w:tcPr>
            <w:tcW w:w="280" w:type="dxa"/>
            <w:vAlign w:val="bottom"/>
          </w:tcPr>
          <w:p>
            <w:pPr>
              <w:spacing w:after="0"/>
              <w:rPr>
                <w:sz w:val="16"/>
                <w:szCs w:val="16"/>
                <w:color w:val="auto"/>
              </w:rPr>
            </w:pPr>
          </w:p>
        </w:tc>
      </w:tr>
      <w:tr>
        <w:trPr>
          <w:trHeight w:val="444"/>
        </w:trPr>
        <w:tc>
          <w:tcPr>
            <w:tcW w:w="20" w:type="dxa"/>
            <w:vAlign w:val="bottom"/>
          </w:tcPr>
          <w:p>
            <w:pPr>
              <w:spacing w:after="0"/>
              <w:rPr>
                <w:sz w:val="24"/>
                <w:szCs w:val="24"/>
                <w:color w:val="auto"/>
              </w:rPr>
            </w:pPr>
          </w:p>
        </w:tc>
        <w:tc>
          <w:tcPr>
            <w:tcW w:w="10960" w:type="dxa"/>
            <w:vAlign w:val="bottom"/>
          </w:tcPr>
          <w:p>
            <w:pPr>
              <w:jc w:val="center"/>
              <w:ind w:left="183"/>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8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1096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tc>
        <w:tc>
          <w:tcPr>
            <w:tcW w:w="280" w:type="dxa"/>
            <w:vAlign w:val="bottom"/>
          </w:tcPr>
          <w:p>
            <w:pPr>
              <w:spacing w:after="0"/>
              <w:rPr>
                <w:sz w:val="16"/>
                <w:szCs w:val="16"/>
                <w:color w:val="auto"/>
              </w:rPr>
            </w:pPr>
          </w:p>
        </w:tc>
      </w:tr>
      <w:tr>
        <w:trPr>
          <w:trHeight w:val="255"/>
        </w:trPr>
        <w:tc>
          <w:tcPr>
            <w:tcW w:w="20" w:type="dxa"/>
            <w:vAlign w:val="bottom"/>
          </w:tcPr>
          <w:p>
            <w:pPr>
              <w:spacing w:after="0"/>
              <w:rPr>
                <w:sz w:val="22"/>
                <w:szCs w:val="22"/>
                <w:color w:val="auto"/>
              </w:rPr>
            </w:pPr>
          </w:p>
        </w:tc>
        <w:tc>
          <w:tcPr>
            <w:tcW w:w="10960" w:type="dxa"/>
            <w:vAlign w:val="bottom"/>
          </w:tcPr>
          <w:p>
            <w:pPr>
              <w:jc w:val="center"/>
              <w:ind w:left="183"/>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280" w:type="dxa"/>
            <w:vAlign w:val="bottom"/>
          </w:tcPr>
          <w:p>
            <w:pPr>
              <w:spacing w:after="0"/>
              <w:rPr>
                <w:sz w:val="22"/>
                <w:szCs w:val="22"/>
                <w:color w:val="auto"/>
              </w:rPr>
            </w:pPr>
          </w:p>
        </w:tc>
      </w:tr>
      <w:tr>
        <w:trPr>
          <w:trHeight w:val="190"/>
        </w:trPr>
        <w:tc>
          <w:tcPr>
            <w:tcW w:w="20" w:type="dxa"/>
            <w:vAlign w:val="bottom"/>
          </w:tcPr>
          <w:p>
            <w:pPr>
              <w:spacing w:after="0"/>
              <w:rPr>
                <w:sz w:val="16"/>
                <w:szCs w:val="16"/>
                <w:color w:val="auto"/>
              </w:rPr>
            </w:pPr>
          </w:p>
        </w:tc>
        <w:tc>
          <w:tcPr>
            <w:tcW w:w="10960" w:type="dxa"/>
            <w:vAlign w:val="bottom"/>
          </w:tcPr>
          <w:p>
            <w:pPr>
              <w:jc w:val="center"/>
              <w:ind w:left="203"/>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tc>
        <w:tc>
          <w:tcPr>
            <w:tcW w:w="280" w:type="dxa"/>
            <w:vAlign w:val="bottom"/>
          </w:tcPr>
          <w:p>
            <w:pPr>
              <w:spacing w:after="0"/>
              <w:rPr>
                <w:sz w:val="16"/>
                <w:szCs w:val="16"/>
                <w:color w:val="auto"/>
              </w:rPr>
            </w:pPr>
          </w:p>
        </w:tc>
      </w:tr>
      <w:tr>
        <w:trPr>
          <w:trHeight w:val="361"/>
        </w:trPr>
        <w:tc>
          <w:tcPr>
            <w:tcW w:w="20" w:type="dxa"/>
            <w:vAlign w:val="bottom"/>
          </w:tcPr>
          <w:p>
            <w:pPr>
              <w:spacing w:after="0"/>
              <w:rPr>
                <w:sz w:val="24"/>
                <w:szCs w:val="24"/>
                <w:color w:val="auto"/>
              </w:rPr>
            </w:pPr>
          </w:p>
        </w:tc>
        <w:tc>
          <w:tcPr>
            <w:tcW w:w="10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10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tc>
        <w:tc>
          <w:tcPr>
            <w:tcW w:w="280" w:type="dxa"/>
            <w:vAlign w:val="bottom"/>
          </w:tcPr>
          <w:p>
            <w:pPr>
              <w:spacing w:after="0"/>
              <w:rPr>
                <w:sz w:val="24"/>
                <w:szCs w:val="24"/>
                <w:color w:val="auto"/>
              </w:rPr>
            </w:pPr>
          </w:p>
        </w:tc>
      </w:tr>
      <w:tr>
        <w:trPr>
          <w:trHeight w:val="562"/>
        </w:trPr>
        <w:tc>
          <w:tcPr>
            <w:tcW w:w="10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12g-4(a)(1)</w:t>
            </w:r>
          </w:p>
        </w:tc>
        <w:tc>
          <w:tcPr>
            <w:tcW w:w="2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10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12g-4(a)(2)</w:t>
            </w:r>
          </w:p>
        </w:tc>
        <w:tc>
          <w:tcPr>
            <w:tcW w:w="2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10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12h-3(b)(1)(i)</w:t>
            </w:r>
          </w:p>
        </w:tc>
        <w:tc>
          <w:tcPr>
            <w:tcW w:w="2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10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12h-3(b)(1)(ii)</w:t>
            </w:r>
          </w:p>
        </w:tc>
        <w:tc>
          <w:tcPr>
            <w:tcW w:w="2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10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15d-6</w:t>
            </w:r>
          </w:p>
        </w:tc>
        <w:tc>
          <w:tcPr>
            <w:tcW w:w="2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0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15d-22(b)</w:t>
            </w:r>
          </w:p>
        </w:tc>
        <w:tc>
          <w:tcPr>
            <w:tcW w:w="2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98"/>
        </w:trPr>
        <w:tc>
          <w:tcPr>
            <w:tcW w:w="20" w:type="dxa"/>
            <w:vAlign w:val="bottom"/>
          </w:tcPr>
          <w:p>
            <w:pPr>
              <w:spacing w:after="0"/>
              <w:rPr>
                <w:sz w:val="24"/>
                <w:szCs w:val="24"/>
                <w:color w:val="auto"/>
              </w:rPr>
            </w:pPr>
          </w:p>
        </w:tc>
        <w:tc>
          <w:tcPr>
            <w:tcW w:w="10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One*</w:t>
            </w:r>
          </w:p>
        </w:tc>
        <w:tc>
          <w:tcPr>
            <w:tcW w:w="280" w:type="dxa"/>
            <w:vAlign w:val="bottom"/>
          </w:tcPr>
          <w:p>
            <w:pPr>
              <w:spacing w:after="0"/>
              <w:rPr>
                <w:sz w:val="24"/>
                <w:szCs w:val="24"/>
                <w:color w:val="auto"/>
              </w:rPr>
            </w:pPr>
          </w:p>
        </w:tc>
      </w:tr>
    </w:tbl>
    <w:p>
      <w:pPr>
        <w:spacing w:after="0" w:line="225" w:lineRule="exact"/>
        <w:rPr>
          <w:sz w:val="24"/>
          <w:szCs w:val="24"/>
          <w:color w:val="auto"/>
        </w:rPr>
      </w:pPr>
    </w:p>
    <w:p>
      <w:pPr>
        <w:ind w:left="20" w:right="40" w:firstLine="449"/>
        <w:spacing w:after="0" w:line="261" w:lineRule="auto"/>
        <w:tabs>
          <w:tab w:leader="none" w:pos="59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Explanatory Note</w:t>
      </w:r>
      <w:r>
        <w:rPr>
          <w:rFonts w:ascii="Times New Roman" w:cs="Times New Roman" w:eastAsia="Times New Roman" w:hAnsi="Times New Roman"/>
          <w:sz w:val="18"/>
          <w:szCs w:val="18"/>
          <w:color w:val="auto"/>
        </w:rPr>
        <w:t>: Effective as of February 13, 2026, pursuant to that certain Agreement and Plan of Merger, dated as of December 3, 2025, by and among Synchronoss Technologies, Inc., a Delaware corporation (“</w:t>
      </w:r>
      <w:r>
        <w:rPr>
          <w:rFonts w:ascii="Times New Roman" w:cs="Times New Roman" w:eastAsia="Times New Roman" w:hAnsi="Times New Roman"/>
          <w:sz w:val="18"/>
          <w:szCs w:val="18"/>
          <w:u w:val="single" w:color="auto"/>
          <w:color w:val="auto"/>
        </w:rPr>
        <w:t>Synchronoss</w:t>
      </w:r>
      <w:r>
        <w:rPr>
          <w:rFonts w:ascii="Times New Roman" w:cs="Times New Roman" w:eastAsia="Times New Roman" w:hAnsi="Times New Roman"/>
          <w:sz w:val="18"/>
          <w:szCs w:val="18"/>
          <w:color w:val="auto"/>
        </w:rPr>
        <w:t>”), Lumine Group US Holdco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Skyfall Merger Sub Inc., a Delaware corporation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Merger Sub merged with and into Synchronoss, with Synchronoss surviving as a wholly owned subsidiary of Parent.</w:t>
      </w:r>
    </w:p>
    <w:p>
      <w:pPr>
        <w:sectPr>
          <w:pgSz w:w="11900" w:h="16838" w:orient="portrait"/>
          <w:cols w:equalWidth="0" w:num="1">
            <w:col w:w="11260"/>
          </w:cols>
          <w:pgMar w:left="300" w:top="1440" w:right="339" w:bottom="1440" w:gutter="0" w:footer="0" w:header="0"/>
        </w:sectPr>
      </w:pPr>
    </w:p>
    <w:bookmarkStart w:id="1" w:name="page2"/>
    <w:bookmarkEnd w:id="1"/>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Synchronoss Technologies, Inc. has caused this certification/notice to be signed on its behalf by the undersigned duly authorized person.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2026</w:t>
      </w: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Christina Gabrys</w:t>
            </w:r>
          </w:p>
        </w:tc>
      </w:tr>
      <w:tr>
        <w:trPr>
          <w:trHeight w:val="218"/>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Christina Gabrys</w:t>
            </w: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2026-02-23T08:03:13Z</dcterms:created>
  <dcterms:modified xsi:type="dcterms:W3CDTF">2026-02-23T08:03:13Z</dcterms:modified>
</cp:coreProperties>
</file>