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8" w:lineRule="exact"/>
        <w:rPr>
          <w:sz w:val="20"/>
          <w:szCs w:val="20"/>
          <w:color w:val="auto"/>
        </w:rPr>
      </w:pPr>
    </w:p>
    <w:p>
      <w:pPr>
        <w:ind w:left="1380" w:right="4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tabs>
          <w:tab w:leader="none" w:pos="4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000-52049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SYNCHRONOSS TECHNOLOGIES, INC.</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654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60" w:type="dxa"/>
            <w:vAlign w:val="bottom"/>
          </w:tcPr>
          <w:p>
            <w:pPr>
              <w:spacing w:after="0"/>
              <w:rPr>
                <w:sz w:val="20"/>
                <w:szCs w:val="20"/>
                <w:color w:val="auto"/>
              </w:rPr>
            </w:pPr>
          </w:p>
        </w:tc>
      </w:tr>
      <w:tr>
        <w:trPr>
          <w:trHeight w:val="394"/>
        </w:trPr>
        <w:tc>
          <w:tcPr>
            <w:tcW w:w="6540" w:type="dxa"/>
            <w:vAlign w:val="bottom"/>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06-1594540</w:t>
            </w:r>
          </w:p>
        </w:tc>
      </w:tr>
      <w:tr>
        <w:trPr>
          <w:trHeight w:val="216"/>
        </w:trPr>
        <w:tc>
          <w:tcPr>
            <w:tcW w:w="6540" w:type="dxa"/>
            <w:vAlign w:val="bottom"/>
          </w:tcPr>
          <w:p>
            <w:pPr>
              <w:jc w:val="center"/>
              <w:ind w:right="35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40" w:type="dxa"/>
            <w:vAlign w:val="bottom"/>
          </w:tcPr>
          <w:p>
            <w:pPr>
              <w:jc w:val="center"/>
              <w:ind w:right="3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540" w:type="dxa"/>
            <w:vAlign w:val="bottom"/>
          </w:tcPr>
          <w:p>
            <w:pPr>
              <w:jc w:val="center"/>
              <w:ind w:right="3590"/>
              <w:spacing w:after="0"/>
              <w:rPr>
                <w:sz w:val="20"/>
                <w:szCs w:val="20"/>
                <w:color w:val="auto"/>
              </w:rPr>
            </w:pPr>
            <w:r>
              <w:rPr>
                <w:rFonts w:ascii="Times New Roman" w:cs="Times New Roman" w:eastAsia="Times New Roman" w:hAnsi="Times New Roman"/>
                <w:sz w:val="18"/>
                <w:szCs w:val="18"/>
                <w:b w:val="1"/>
                <w:bCs w:val="1"/>
                <w:color w:val="auto"/>
                <w:w w:val="9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Times New Roman" w:cs="Times New Roman" w:eastAsia="Times New Roman" w:hAnsi="Times New Roman"/>
                <w:sz w:val="18"/>
                <w:szCs w:val="18"/>
                <w:b w:val="1"/>
                <w:bCs w:val="1"/>
                <w:color w:val="auto"/>
                <w:w w:val="98"/>
              </w:rPr>
              <w:t>Bridgewater, New Jersey</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08807</w:t>
            </w:r>
          </w:p>
        </w:tc>
      </w:tr>
      <w:tr>
        <w:trPr>
          <w:trHeight w:val="234"/>
        </w:trPr>
        <w:tc>
          <w:tcPr>
            <w:tcW w:w="6540" w:type="dxa"/>
            <w:vAlign w:val="bottom"/>
          </w:tcPr>
          <w:p>
            <w:pPr>
              <w:jc w:val="center"/>
              <w:ind w:right="3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54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(866) 620-3940</w:t>
            </w:r>
          </w:p>
        </w:tc>
        <w:tc>
          <w:tcPr>
            <w:tcW w:w="1560" w:type="dxa"/>
            <w:vAlign w:val="bottom"/>
          </w:tcPr>
          <w:p>
            <w:pPr>
              <w:spacing w:after="0"/>
              <w:rPr>
                <w:sz w:val="24"/>
                <w:szCs w:val="24"/>
                <w:color w:val="auto"/>
              </w:rPr>
            </w:pPr>
          </w:p>
        </w:tc>
      </w:tr>
      <w:tr>
        <w:trPr>
          <w:trHeight w:val="234"/>
        </w:trPr>
        <w:tc>
          <w:tcPr>
            <w:tcW w:w="654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71"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840"/>
        <w:spacing w:after="0" w:line="207" w:lineRule="exact"/>
        <w:tabs>
          <w:tab w:leader="none" w:pos="5000" w:val="left"/>
          <w:tab w:leader="none" w:pos="684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82" w:lineRule="exact"/>
        <w:rPr>
          <w:sz w:val="20"/>
          <w:szCs w:val="20"/>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Class</w:t>
            </w:r>
          </w:p>
        </w:tc>
        <w:tc>
          <w:tcPr>
            <w:tcW w:w="5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Outstanding at November 9, 2006</w:t>
            </w:r>
          </w:p>
        </w:tc>
      </w:tr>
      <w:tr>
        <w:trPr>
          <w:trHeight w:val="234"/>
        </w:trPr>
        <w:tc>
          <w:tcPr>
            <w:tcW w:w="57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5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31,989,750 shares</w:t>
            </w:r>
          </w:p>
        </w:tc>
      </w:tr>
      <w:tr>
        <w:trPr>
          <w:trHeight w:val="237"/>
        </w:trPr>
        <w:tc>
          <w:tcPr>
            <w:tcW w:w="572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p>
        </w:tc>
      </w:tr>
      <w:tr>
        <w:trPr>
          <w:trHeight w:val="631"/>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87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70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7"/>
              </w:rPr>
              <w:t>PAGE NO.</w:t>
            </w:r>
          </w:p>
        </w:tc>
        <w:tc>
          <w:tcPr>
            <w:tcW w:w="0" w:type="dxa"/>
            <w:vAlign w:val="bottom"/>
          </w:tcPr>
          <w:p>
            <w:pPr>
              <w:spacing w:after="0"/>
              <w:rPr>
                <w:sz w:val="1"/>
                <w:szCs w:val="1"/>
                <w:color w:val="auto"/>
              </w:rPr>
            </w:pPr>
          </w:p>
        </w:tc>
      </w:tr>
      <w:tr>
        <w:trPr>
          <w:trHeight w:val="199"/>
        </w:trPr>
        <w:tc>
          <w:tcPr>
            <w:tcW w:w="1000" w:type="dxa"/>
            <w:vAlign w:val="bottom"/>
            <w:gridSpan w:val="4"/>
            <w:vMerge w:val="continue"/>
          </w:tcPr>
          <w:p>
            <w:pPr>
              <w:spacing w:after="0"/>
              <w:rPr>
                <w:sz w:val="17"/>
                <w:szCs w:val="17"/>
                <w:color w:val="auto"/>
              </w:rPr>
            </w:pPr>
          </w:p>
        </w:tc>
        <w:tc>
          <w:tcPr>
            <w:tcW w:w="8720" w:type="dxa"/>
            <w:vAlign w:val="bottom"/>
            <w:gridSpan w:val="15"/>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 and Notes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Balance Sheets as of December 31, 2005 and September 30, 2006 (unaudited)</w:t>
              </w:r>
            </w:hyperlink>
          </w:p>
        </w:tc>
        <w:tc>
          <w:tcPr>
            <w:tcW w:w="170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Statements of Operations (unaudited) for the Three and Nine Months Ended September 30, 2005 and 2006</w:t>
              </w:r>
            </w:hyperlink>
          </w:p>
        </w:tc>
        <w:tc>
          <w:tcPr>
            <w:tcW w:w="1040" w:type="dxa"/>
            <w:vAlign w:val="bottom"/>
          </w:tcPr>
          <w:p>
            <w:pPr>
              <w:spacing w:after="0"/>
              <w:rPr>
                <w:sz w:val="24"/>
                <w:szCs w:val="24"/>
                <w:color w:val="auto"/>
              </w:rPr>
            </w:pPr>
          </w:p>
        </w:tc>
        <w:tc>
          <w:tcPr>
            <w:tcW w:w="170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Statements of Cash Flows (unaudited) for the Nine Months Ended September 30, 2005 and 2006</w:t>
              </w:r>
            </w:hyperlink>
          </w:p>
        </w:tc>
        <w:tc>
          <w:tcPr>
            <w:tcW w:w="1760" w:type="dxa"/>
            <w:vAlign w:val="bottom"/>
            <w:gridSpan w:val="2"/>
          </w:tcPr>
          <w:p>
            <w:pPr>
              <w:spacing w:after="0"/>
              <w:rPr>
                <w:sz w:val="24"/>
                <w:szCs w:val="24"/>
                <w:color w:val="auto"/>
              </w:rPr>
            </w:pPr>
          </w:p>
        </w:tc>
        <w:tc>
          <w:tcPr>
            <w:tcW w:w="170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Financial Statements (unaudited)</w:t>
              </w:r>
            </w:hyperlink>
          </w:p>
        </w:tc>
        <w:tc>
          <w:tcPr>
            <w:tcW w:w="170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2.</w:t>
              </w:r>
            </w:hyperlink>
          </w:p>
        </w:tc>
        <w:tc>
          <w:tcPr>
            <w:tcW w:w="480" w:type="dxa"/>
            <w:vAlign w:val="bottom"/>
            <w:gridSpan w:val="3"/>
          </w:tcPr>
          <w:p>
            <w:pPr>
              <w:spacing w:after="0"/>
              <w:rPr>
                <w:sz w:val="24"/>
                <w:szCs w:val="24"/>
                <w:color w:val="auto"/>
              </w:rPr>
            </w:pPr>
          </w:p>
        </w:tc>
        <w:tc>
          <w:tcPr>
            <w:tcW w:w="6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gridSpan w:val="3"/>
          </w:tcPr>
          <w:p>
            <w:pPr>
              <w:spacing w:after="0"/>
              <w:rPr>
                <w:sz w:val="24"/>
                <w:szCs w:val="24"/>
                <w:color w:val="auto"/>
              </w:rPr>
            </w:pPr>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3.</w:t>
              </w:r>
            </w:hyperlink>
          </w:p>
        </w:tc>
        <w:tc>
          <w:tcPr>
            <w:tcW w:w="48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Quantitative and Qualitative Disclosures About Market Risk</w:t>
              </w:r>
            </w:hyperlink>
          </w:p>
        </w:tc>
        <w:tc>
          <w:tcPr>
            <w:tcW w:w="4360" w:type="dxa"/>
            <w:vAlign w:val="bottom"/>
            <w:gridSpan w:val="5"/>
          </w:tcPr>
          <w:p>
            <w:pPr>
              <w:spacing w:after="0"/>
              <w:rPr>
                <w:sz w:val="24"/>
                <w:szCs w:val="24"/>
                <w:color w:val="auto"/>
              </w:rPr>
            </w:pPr>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480" w:type="dxa"/>
            <w:vAlign w:val="bottom"/>
            <w:gridSpan w:val="3"/>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34">
              <w:r>
                <w:rPr>
                  <w:rFonts w:ascii="Times New Roman" w:cs="Times New Roman" w:eastAsia="Times New Roman" w:hAnsi="Times New Roman"/>
                  <w:sz w:val="18"/>
                  <w:szCs w:val="18"/>
                  <w:color w:val="0000EE"/>
                  <w:w w:val="95"/>
                </w:rPr>
                <w:t>PART II.</w:t>
              </w:r>
            </w:hyperlink>
          </w:p>
        </w:tc>
        <w:tc>
          <w:tcPr>
            <w:tcW w:w="3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OTHER INFORMATION</w:t>
              </w:r>
            </w:hyperlink>
          </w:p>
        </w:tc>
        <w:tc>
          <w:tcPr>
            <w:tcW w:w="6840" w:type="dxa"/>
            <w:vAlign w:val="bottom"/>
            <w:gridSpan w:val="10"/>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1.</w:t>
              </w:r>
            </w:hyperlink>
          </w:p>
        </w:tc>
        <w:tc>
          <w:tcPr>
            <w:tcW w:w="480" w:type="dxa"/>
            <w:vAlign w:val="bottom"/>
            <w:gridSpan w:val="3"/>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Unregistered Sales of Equity Securities and Use of Proceeds</w:t>
              </w:r>
            </w:hyperlink>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3.</w:t>
              </w:r>
            </w:hyperlink>
          </w:p>
        </w:tc>
        <w:tc>
          <w:tcPr>
            <w:tcW w:w="48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380" w:type="dxa"/>
            <w:vAlign w:val="bottom"/>
            <w:gridSpan w:val="6"/>
          </w:tcPr>
          <w:p>
            <w:pPr>
              <w:spacing w:after="0"/>
              <w:rPr>
                <w:sz w:val="24"/>
                <w:szCs w:val="24"/>
                <w:color w:val="auto"/>
              </w:rPr>
            </w:pPr>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4.</w:t>
              </w:r>
            </w:hyperlink>
          </w:p>
        </w:tc>
        <w:tc>
          <w:tcPr>
            <w:tcW w:w="480" w:type="dxa"/>
            <w:vAlign w:val="bottom"/>
            <w:gridSpan w:val="3"/>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Submission of Matters to a Vote of Security Holders</w:t>
              </w:r>
            </w:hyperlink>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5.</w:t>
              </w:r>
            </w:hyperlink>
          </w:p>
        </w:tc>
        <w:tc>
          <w:tcPr>
            <w:tcW w:w="480" w:type="dxa"/>
            <w:vAlign w:val="bottom"/>
            <w:gridSpan w:val="3"/>
          </w:tcPr>
          <w:p>
            <w:pPr>
              <w:spacing w:after="0"/>
              <w:rPr>
                <w:sz w:val="24"/>
                <w:szCs w:val="24"/>
                <w:color w:val="auto"/>
              </w:rPr>
            </w:pPr>
          </w:p>
        </w:tc>
        <w:tc>
          <w:tcPr>
            <w:tcW w:w="37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Other Information</w:t>
              </w:r>
            </w:hyperlink>
          </w:p>
        </w:tc>
        <w:tc>
          <w:tcPr>
            <w:tcW w:w="4960" w:type="dxa"/>
            <w:vAlign w:val="bottom"/>
            <w:gridSpan w:val="7"/>
          </w:tcPr>
          <w:p>
            <w:pPr>
              <w:spacing w:after="0"/>
              <w:rPr>
                <w:sz w:val="24"/>
                <w:szCs w:val="24"/>
                <w:color w:val="auto"/>
              </w:rPr>
            </w:pPr>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6.</w:t>
              </w:r>
            </w:hyperlink>
          </w:p>
        </w:tc>
        <w:tc>
          <w:tcPr>
            <w:tcW w:w="48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2"/>
          </w:tcPr>
          <w:p>
            <w:pPr>
              <w:spacing w:after="0"/>
              <w:rPr>
                <w:sz w:val="24"/>
                <w:szCs w:val="24"/>
                <w:color w:val="auto"/>
              </w:rPr>
            </w:pPr>
          </w:p>
        </w:tc>
        <w:tc>
          <w:tcPr>
            <w:tcW w:w="7400" w:type="dxa"/>
            <w:vAlign w:val="bottom"/>
            <w:gridSpan w:val="12"/>
          </w:tcPr>
          <w:p>
            <w:pPr>
              <w:spacing w:after="0"/>
              <w:rPr>
                <w:sz w:val="24"/>
                <w:szCs w:val="24"/>
                <w:color w:val="auto"/>
              </w:rPr>
            </w:pPr>
          </w:p>
        </w:tc>
        <w:tc>
          <w:tcPr>
            <w:tcW w:w="170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CEO PURSUANT TO SECTION 302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CFO PURSUANT TO SECTION 302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CEO PURSUANT TO SECTION 906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 OF CFO PURSUANT TO SECTION 906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EX-31.1: 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7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$221and $171 at December 31, 2005 and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September 30, 2006,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13,092</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40,208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99,626</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(deficiency) equity</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Accrued expenses ($577 and $0 was due to a related party at December 31, 2005 and September 30, 2006,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portion of equipment loan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loan payable, less current portion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$.0001 par value; 13,103 shares authorized, 11,549 shares issued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outstanding at December 31, 2005 (aggregate liquidation preference of $66,985 at December 31, 2005); No</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A shares outstanding as of September 30, 2006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33,493</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1 convertible preferred stock, $.0001 par value; 2,000 shares authorized, issued and outstanding at December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2005 (aggregate liquidation preference of $12,000 at December 31, 2005); No Series 1 shares outstanding as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September 30, 2006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(deficiency)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 and 100,000 shares authorized, 10,517 and 32,031 shares issued;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10,422 and 31,936 outstanding at December 31, 2005 and September 30, 2006, 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at cost (95 shares at December 31, 2005 and September 30, 2006)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stock-based compensation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(deficiency) equity</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(deficiency) equity</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40,208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14,114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39,241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 of services ($2,322 and $0 were purchased from a related party during the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three months ended September 30, 2005 and 2006, respectively, and $6,106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$3,714 were purchased from a related party during the nine months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ended September 30, 2005 and 2006, respectively)*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7,976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8,685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22,204</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42,854</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(2,286)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accretion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2,199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per common share:</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31,711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32,502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24,676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6,029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 related party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fixed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repayment of notes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 available for sale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marketable securities available for sale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2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 related party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offering costs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over-allotment option, net of offering costs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equipment loan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53,221</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Synchronoss Technologies, Inc. (the “Company” or “Synchronoss”) is a leading provider of e-commerce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software platform enables communications service providers (“CSPs”) to take, manage and provision orders and other customer-oriented transactions and perform related critical service tasks. The Company targets complex and high-growth industry segments including wireless, Voice over Internet Protocol (“VoIP”), wireline and other markets. By simplifying technological complexities through the automation and integration of disparate systems, the Company enables CSPs to acquire, retain and service customers quickly, reliably and cost-effectively.</w:t>
      </w:r>
    </w:p>
    <w:p>
      <w:pPr>
        <w:spacing w:after="0" w:line="81"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(“U.S. GAAP”) for interim financial information and the rules and regulations of the Securities and Exchange Commission (“SEC”) for interim financial information. Accordingly, they do not include all of the information and footnotes required by U.S. GAAP for complete financial statements and should be read in conjunction with the Company’s financial statements for the years ended December 31, 2004 and December 31, 2005 included in the Company’s Registration Statement on Form S-1, as amended (Registration No. 333-132080), which was filed with the SEC and declared effective on June 14, 2006. In the opinion of management, all adjustments (consisting of normal recurring accruals) considered necessary for a fair presentation have been included. Operating results for the three and nine months ended September 30, 2006 are not necessarily indicative of the results that may be expected for the year ending December 31, 2006. The balance sheet at December 31, 2005 has been derived from the audited financial statements at that date but does not include all of the information and footnotes required by U.S. GAAP for complete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21" w:lineRule="exact"/>
        <w:rPr>
          <w:sz w:val="20"/>
          <w:szCs w:val="20"/>
          <w:color w:val="auto"/>
        </w:rPr>
      </w:pPr>
    </w:p>
    <w:p>
      <w:pPr>
        <w:ind w:right="420" w:firstLine="222"/>
        <w:spacing w:after="0" w:line="282" w:lineRule="auto"/>
        <w:rPr>
          <w:sz w:val="20"/>
          <w:szCs w:val="20"/>
          <w:color w:val="auto"/>
        </w:rPr>
      </w:pPr>
      <w:r>
        <w:rPr>
          <w:rFonts w:ascii="Times New Roman" w:cs="Times New Roman" w:eastAsia="Times New Roman" w:hAnsi="Times New Roman"/>
          <w:sz w:val="18"/>
          <w:szCs w:val="18"/>
          <w:color w:val="auto"/>
        </w:rPr>
        <w:t>The Company provides services principally on a transaction fee basis or, at times, on a fixed fee basis and recognizes the revenues as the services are performed or delivered as described below:</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17" w:lineRule="exact"/>
        <w:rPr>
          <w:sz w:val="20"/>
          <w:szCs w:val="20"/>
          <w:color w:val="auto"/>
        </w:rPr>
      </w:pPr>
    </w:p>
    <w:p>
      <w:pPr>
        <w:ind w:firstLine="22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Service Arrangements: </w:t>
      </w:r>
      <w:r>
        <w:rPr>
          <w:rFonts w:ascii="Times New Roman" w:cs="Times New Roman" w:eastAsia="Times New Roman" w:hAnsi="Times New Roman"/>
          <w:sz w:val="18"/>
          <w:szCs w:val="18"/>
          <w:color w:val="auto"/>
        </w:rPr>
        <w:t>Transaction revenues consist of revenues derived from the processing of transactions through the Company’s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represent approximately 83% and 87% of net revenues for the three months ended September 30, 2005 and 2006, respectively, and approximately 81% and 86% of net revenues for the nine months ended September 30, 2005 and 2006, respectively. Transaction service arrangements include services such as equipment orders, new account set-up, number port requests, credit checks and inventory management.</w:t>
      </w:r>
    </w:p>
    <w:p>
      <w:pPr>
        <w:spacing w:after="0" w:line="73"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Transaction revenues are principally based on a contractual price per transaction and are recognized based on the number of transactions processed during each reporting period. For these arrangements, revenues are recorded based on the total number of transactions processed at the applicable price established in the relevant contract. The total amount of revenues recognized is based primarily on the volume of transactions. At times, transaction revenues may also include billings to customers that reimburse the Company based on the number of individuals dedicated to processing transactions. The Company records revenues based on the applicable hourly rate per employee for each reporting period.</w:t>
      </w:r>
    </w:p>
    <w:p>
      <w:pPr>
        <w:spacing w:after="0" w:line="76" w:lineRule="exact"/>
        <w:rPr>
          <w:sz w:val="20"/>
          <w:szCs w:val="20"/>
          <w:color w:val="auto"/>
        </w:rPr>
      </w:pPr>
    </w:p>
    <w:p>
      <w:pPr>
        <w:ind w:right="520" w:firstLine="225"/>
        <w:spacing w:after="0" w:line="313" w:lineRule="auto"/>
        <w:rPr>
          <w:sz w:val="20"/>
          <w:szCs w:val="20"/>
          <w:color w:val="auto"/>
        </w:rPr>
      </w:pPr>
      <w:r>
        <w:rPr>
          <w:rFonts w:ascii="Times New Roman" w:cs="Times New Roman" w:eastAsia="Times New Roman" w:hAnsi="Times New Roman"/>
          <w:sz w:val="17"/>
          <w:szCs w:val="17"/>
          <w:color w:val="auto"/>
        </w:rPr>
        <w:t>Some of the Company’s contracts guarantee minimum volume transactions from the Company’s customer. In these instances, if the customer’s total transaction volume for the reporting period is less than the contractual amount, the Company records revenues at the minimum guaranteed amount.</w:t>
      </w:r>
    </w:p>
    <w:p>
      <w:pPr>
        <w:spacing w:after="0" w:line="30" w:lineRule="exact"/>
        <w:rPr>
          <w:sz w:val="20"/>
          <w:szCs w:val="20"/>
          <w:color w:val="auto"/>
        </w:rPr>
      </w:pPr>
    </w:p>
    <w:p>
      <w:pPr>
        <w:ind w:right="560" w:firstLine="225"/>
        <w:spacing w:after="0" w:line="282" w:lineRule="auto"/>
        <w:rPr>
          <w:sz w:val="20"/>
          <w:szCs w:val="20"/>
          <w:color w:val="auto"/>
        </w:rPr>
      </w:pPr>
      <w:r>
        <w:rPr>
          <w:rFonts w:ascii="Times New Roman" w:cs="Times New Roman" w:eastAsia="Times New Roman" w:hAnsi="Times New Roman"/>
          <w:sz w:val="18"/>
          <w:szCs w:val="18"/>
          <w:color w:val="auto"/>
        </w:rPr>
        <w:t>Revenues are presented net of a provision for discounts, which are customer volume level driven, or credits, which are performance driven, and are determined in the period in which the volume thresholds are met or the services are provided.</w:t>
      </w:r>
    </w:p>
    <w:p>
      <w:pPr>
        <w:spacing w:after="0" w:line="54"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in revenues during the three months ended September 30, 2005 and 2006 were $66 and $94, respectively, and $114 and $239 for the nine months ended September 30, 2005 and 2006, respectively. Deferred revenues principally represent set-up fees.</w:t>
      </w:r>
    </w:p>
    <w:p>
      <w:pPr>
        <w:spacing w:after="0" w:line="68" w:lineRule="exact"/>
        <w:rPr>
          <w:sz w:val="20"/>
          <w:szCs w:val="20"/>
          <w:color w:val="auto"/>
        </w:rPr>
      </w:pPr>
    </w:p>
    <w:p>
      <w:pPr>
        <w:ind w:right="160" w:firstLine="22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Service Arrangements: </w:t>
      </w:r>
      <w:r>
        <w:rPr>
          <w:rFonts w:ascii="Times New Roman" w:cs="Times New Roman" w:eastAsia="Times New Roman" w:hAnsi="Times New Roman"/>
          <w:sz w:val="18"/>
          <w:szCs w:val="18"/>
          <w:color w:val="auto"/>
        </w:rPr>
        <w:t>Subscription service arrangements which are generally based upon fixed fees, represent approximately 6% and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revenues for the three months ended September 30, 2005 and 2006, respectively, and approximately 7% and 2% of net revenues for the nine months ended September 30, 2005 and 2006, respectively, and relate principally to the Company’s enterprise portal management services. The Company records revenues on a straight-line basis over the life of the contract for its subscription service contracts.</w:t>
      </w:r>
    </w:p>
    <w:p>
      <w:pPr>
        <w:spacing w:after="0" w:line="69" w:lineRule="exact"/>
        <w:rPr>
          <w:sz w:val="20"/>
          <w:szCs w:val="20"/>
          <w:color w:val="auto"/>
        </w:rPr>
      </w:pPr>
    </w:p>
    <w:p>
      <w:pPr>
        <w:ind w:right="160"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Service and Other Service Arrangements: </w:t>
      </w:r>
      <w:r>
        <w:rPr>
          <w:rFonts w:ascii="Times New Roman" w:cs="Times New Roman" w:eastAsia="Times New Roman" w:hAnsi="Times New Roman"/>
          <w:sz w:val="18"/>
          <w:szCs w:val="18"/>
          <w:color w:val="auto"/>
        </w:rPr>
        <w:t>Professional services and other services arrangements represent approximately 11% and 12%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for the three months ended September 30, 2005 and 2006, respectively, and approximately 12% of net revenues for the nine months ended September 30, 2005 and 2006, 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each deliverable. When accounted for separately, professional service (i.e. consulting services) revenues are recognized on a monthly basis, as services are performed and billed, according to the terms of the contract.</w:t>
      </w:r>
    </w:p>
    <w:p>
      <w:pPr>
        <w:spacing w:after="0" w:line="79"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76" w:lineRule="exact"/>
        <w:rPr>
          <w:sz w:val="20"/>
          <w:szCs w:val="20"/>
          <w:color w:val="auto"/>
        </w:rPr>
      </w:pPr>
    </w:p>
    <w:p>
      <w:pPr>
        <w:jc w:val="both"/>
        <w:ind w:right="240" w:firstLine="225"/>
        <w:spacing w:after="0" w:line="266" w:lineRule="auto"/>
        <w:rPr>
          <w:sz w:val="20"/>
          <w:szCs w:val="20"/>
          <w:color w:val="auto"/>
        </w:rPr>
      </w:pPr>
      <w:r>
        <w:rPr>
          <w:rFonts w:ascii="Times New Roman" w:cs="Times New Roman" w:eastAsia="Times New Roman" w:hAnsi="Times New Roman"/>
          <w:sz w:val="18"/>
          <w:szCs w:val="18"/>
          <w:color w:val="auto"/>
        </w:rPr>
        <w:t>If a professional service arrangement does not qualify for separate accounting, the Company would recognize the professional service revenues ratably over the remaining term of the transaction contract. For the three and nine months ended September 30, 2005 and 2006, all professional services have been accounted for separately.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and cash equivalents. Concentration of credit risk with respect to accounts receivable is limited because of the creditworthiness of the Company’s major customers.</w:t>
      </w:r>
    </w:p>
    <w:p>
      <w:pPr>
        <w:spacing w:after="0" w:line="76"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Two customers accounted for 83% and 73% of net revenues for the three months ended September 30, 2005 and 2006, respectively, and 86% and 79% of net revenues for the nine months ended September 30, 2005 and 2006, respectively. Two customers accounted for 87% and 75% of accounts receivable at December 31, 2005 and September 30, 2006,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 xml:space="preserve">Statement of Financial Accounting Standards (“SFAS”) No. 107, </w:t>
      </w:r>
      <w:r>
        <w:rPr>
          <w:rFonts w:ascii="Times New Roman" w:cs="Times New Roman" w:eastAsia="Times New Roman" w:hAnsi="Times New Roman"/>
          <w:sz w:val="18"/>
          <w:szCs w:val="18"/>
          <w:i w:val="1"/>
          <w:iCs w:val="1"/>
          <w:color w:val="auto"/>
        </w:rPr>
        <w:t>Disclosures about Fair Value of Financial Instruments</w:t>
      </w:r>
      <w:r>
        <w:rPr>
          <w:rFonts w:ascii="Times New Roman" w:cs="Times New Roman" w:eastAsia="Times New Roman" w:hAnsi="Times New Roman"/>
          <w:sz w:val="18"/>
          <w:szCs w:val="18"/>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accounts payable and accrued expenses. The Company believes the carrying amount of its equipment loan approximates its fair value as of December 31, 2005 and September 30, 2006, since the interest rate of the equipment loan approximates a market rate. The fair value of the Company’s convertible preferred stock was not practicable to determine, as no quoted market price existed for the convertible preferred stock as of December 31, 2005. On June 20, 2006, the Company’s convertible preferred stock converted into common stock of the Company upon consummation of the IPO.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at the date of acquisition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income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right="220" w:firstLine="215"/>
        <w:spacing w:after="0" w:line="266" w:lineRule="auto"/>
        <w:rPr>
          <w:sz w:val="20"/>
          <w:szCs w:val="20"/>
          <w:color w:val="auto"/>
        </w:rPr>
      </w:pPr>
      <w:r>
        <w:rPr>
          <w:rFonts w:ascii="Times New Roman" w:cs="Times New Roman" w:eastAsia="Times New Roman" w:hAnsi="Times New Roman"/>
          <w:sz w:val="18"/>
          <w:szCs w:val="18"/>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Expenditures for routine maintenance and repairs are charged against operations. Major replacements, improvements and additions are capitalized.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Costs directly attributable to the Company’s offering of its equity securities have been deferred and capitalized as part of Other Assets as of December 31, 2005. The total amount related to the offering deferred as of December 31, 2005 was approximately $850. Upon the completion of the IPO and the exercise of the over-allotment option by the Company’s underwriters, approximately $7,277 of offering costs, including the amounts deferred at December 31, 2005, were offset against the proceeds received from the IPO and the exercise of the over-allotment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9" w:lineRule="exact"/>
        <w:rPr>
          <w:sz w:val="20"/>
          <w:szCs w:val="20"/>
          <w:color w:val="auto"/>
        </w:rPr>
      </w:pPr>
    </w:p>
    <w:p>
      <w:pPr>
        <w:ind w:right="100" w:firstLine="225"/>
        <w:spacing w:after="0" w:line="275" w:lineRule="auto"/>
        <w:rPr>
          <w:sz w:val="20"/>
          <w:szCs w:val="20"/>
          <w:color w:val="auto"/>
        </w:rPr>
      </w:pPr>
      <w:r>
        <w:rPr>
          <w:rFonts w:ascii="Times New Roman" w:cs="Times New Roman" w:eastAsia="Times New Roman" w:hAnsi="Times New Roman"/>
          <w:sz w:val="17"/>
          <w:szCs w:val="17"/>
          <w:color w:val="auto"/>
        </w:rPr>
        <w:t xml:space="preserve">In accordance with SFAS No. 144, </w:t>
      </w:r>
      <w:r>
        <w:rPr>
          <w:rFonts w:ascii="Times New Roman" w:cs="Times New Roman" w:eastAsia="Times New Roman" w:hAnsi="Times New Roman"/>
          <w:sz w:val="17"/>
          <w:szCs w:val="17"/>
          <w:i w:val="1"/>
          <w:iCs w:val="1"/>
          <w:color w:val="auto"/>
        </w:rPr>
        <w:t>Accounting for the Impairment or Disposal of Long-Lived Assets</w:t>
      </w:r>
      <w:r>
        <w:rPr>
          <w:rFonts w:ascii="Times New Roman" w:cs="Times New Roman" w:eastAsia="Times New Roman" w:hAnsi="Times New Roman"/>
          <w:sz w:val="17"/>
          <w:szCs w:val="17"/>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three and nine month periods ended September 30, 2005 and 2006.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21"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enhancements of its existing technology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right="680" w:firstLine="222"/>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as incurred. Advertising expenses were $15 and $1 for the three months ended September 30, 2005 and 2006, respectively, and $20 and $13 for the nine months ended September 30, 2005 and 2006,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40" w:firstLine="222"/>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determines the related deferred tax asset using enacted tax rates in effect in the years in which the differences are expected to reverse. A valuation allowance is recorded if it is “more likely than not” that a portion or all of a deferred tax asset will not be realized. During the fourth quarter of 2005, the Company determined that it was more likely than not that it will realize its future tax benefits and reduced its valuation allowance to zero.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19" w:lineRule="exact"/>
        <w:rPr>
          <w:sz w:val="20"/>
          <w:szCs w:val="20"/>
          <w:color w:val="auto"/>
        </w:rPr>
      </w:pPr>
    </w:p>
    <w:p>
      <w:pPr>
        <w:ind w:right="700" w:firstLine="225"/>
        <w:spacing w:after="0" w:line="261" w:lineRule="auto"/>
        <w:rPr>
          <w:sz w:val="20"/>
          <w:szCs w:val="20"/>
          <w:color w:val="auto"/>
        </w:rPr>
      </w:pPr>
      <w:r>
        <w:rPr>
          <w:rFonts w:ascii="Times New Roman" w:cs="Times New Roman" w:eastAsia="Times New Roman" w:hAnsi="Times New Roman"/>
          <w:sz w:val="18"/>
          <w:szCs w:val="18"/>
          <w:color w:val="auto"/>
        </w:rPr>
        <w:t xml:space="preserve">SFAS No. 130,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requires components of other comprehensive income, including unrealized gains and losses on available-for-sale securities, to be included as part of total comprehensive income. Comprehensive income is comprised of net income and other comprehensive income. Other comprehensive income includes changes in the fair value of the Company’s available-for-sale marketable securities. Comprehensive income for the three and nine months ended September 30, 2005 and 2006 is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6,029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6,010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Attributable to Common Stockholders per Common Share</w:t>
      </w:r>
    </w:p>
    <w:p>
      <w:pPr>
        <w:spacing w:after="0" w:line="119" w:lineRule="exact"/>
        <w:rPr>
          <w:sz w:val="20"/>
          <w:szCs w:val="20"/>
          <w:color w:val="auto"/>
        </w:rPr>
      </w:pPr>
    </w:p>
    <w:p>
      <w:pPr>
        <w:ind w:right="120" w:firstLine="222"/>
        <w:spacing w:after="0" w:line="259" w:lineRule="auto"/>
        <w:rPr>
          <w:sz w:val="20"/>
          <w:szCs w:val="20"/>
          <w:color w:val="auto"/>
        </w:rPr>
      </w:pPr>
      <w:r>
        <w:rPr>
          <w:rFonts w:ascii="Times New Roman" w:cs="Times New Roman" w:eastAsia="Times New Roman" w:hAnsi="Times New Roman"/>
          <w:sz w:val="18"/>
          <w:szCs w:val="18"/>
          <w:color w:val="auto"/>
        </w:rPr>
        <w:t xml:space="preserve">The Company calculates net income per share in accordance with SFAS No. 128,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The Company has determined that its Series A redeemable convertible preferred stock represents a participating security. Because the Series A redeemable preferred convertible stock participates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Times New Roman" w:cs="Times New Roman" w:eastAsia="Times New Roman" w:hAnsi="Times New Roman"/>
          <w:sz w:val="18"/>
          <w:szCs w:val="18"/>
          <w:i w:val="1"/>
          <w:iCs w:val="1"/>
          <w:color w:val="auto"/>
        </w:rPr>
        <w:t>Participating Securities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Two-Class Method under FASB Statement No. 128</w:t>
      </w:r>
      <w:r>
        <w:rPr>
          <w:rFonts w:ascii="Times New Roman" w:cs="Times New Roman" w:eastAsia="Times New Roman" w:hAnsi="Times New Roman"/>
          <w:sz w:val="18"/>
          <w:szCs w:val="18"/>
          <w:color w:val="auto"/>
        </w:rPr>
        <w:t>. Net losses are not allocated to the Series A redeemable convertible preferred stockholders.</w:t>
      </w:r>
    </w:p>
    <w:p>
      <w:pPr>
        <w:spacing w:after="0" w:line="74" w:lineRule="exact"/>
        <w:rPr>
          <w:sz w:val="20"/>
          <w:szCs w:val="20"/>
          <w:color w:val="auto"/>
        </w:rPr>
      </w:pPr>
    </w:p>
    <w:p>
      <w:pPr>
        <w:ind w:right="240" w:firstLine="225"/>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IPO, all of the Company’s Series A and Series 1 redeemable convertible preferred stock was automatically converted into common stock. Since the Series A redeemable convertible preferred stock participates in dividend rights on a one-for-one basis with common stockholders, the security is included in the denominator of basic earnings per share for the period such preferred stock was outstanding. The Company’s Series 1 redeemable convertible preferred stock that converted to common stock is included in the denominator of diluted earnings per share for the actual period outstanding prior to the IPO.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right="24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 and denominator used in computing basic and diluted net income attributable to common stockholders per common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6,029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convertible preferred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31,711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Dilutive effect of:</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stock-based awards and warrants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Series 1 convertible preferred stock into common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215"/>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2006, the Company maintains two stock-based compensation plans, which are described more fully in Note 9. Effective January 1, 2006, the Company adopted the fair value recognition provisions of SFAS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using the prospective method. Under the prospective method, compensation cost is recognized for all share-based payments granted subsequent to January 1, 2006 and is based on the grant-date fair value estimated in accordance with the provisions of SFAS 123(R). Results for prior periods have not been restated. Prior to January 1, 2006, the Company accounted for its stock-based compensation plan under the recognition and measurement provisions of Accounting Principles Board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(“APB 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related Interpretations, as permitted by SFAS No. 123, </w:t>
      </w:r>
      <w:r>
        <w:rPr>
          <w:rFonts w:ascii="Times New Roman" w:cs="Times New Roman" w:eastAsia="Times New Roman" w:hAnsi="Times New Roman"/>
          <w:sz w:val="18"/>
          <w:szCs w:val="18"/>
          <w:i w:val="1"/>
          <w:iCs w:val="1"/>
          <w:color w:val="auto"/>
        </w:rPr>
        <w:t xml:space="preserve">Accounting for Stock-Based Compensation </w:t>
      </w:r>
      <w:r>
        <w:rPr>
          <w:rFonts w:ascii="Times New Roman" w:cs="Times New Roman" w:eastAsia="Times New Roman" w:hAnsi="Times New Roman"/>
          <w:sz w:val="18"/>
          <w:szCs w:val="18"/>
          <w:color w:val="auto"/>
        </w:rPr>
        <w:t>(“SFAS 123”)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adopting SFAS 123(R) on January 1, 2006, the Company’s income before income tax expense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September 30, 2006 was $205 and $569 lower, respectively, than if the Company had continued to account for share-based compensation under APB 25. The Company’s net income for the three and nine months ended September 30, 2006 was $119, or $0.004 per basic and diluted share, and $331, or $0.01 per basic and diluted share, lower, respectively, than if it had continued to account for share-based compensation under APB 25.</w:t>
      </w:r>
    </w:p>
    <w:p>
      <w:pPr>
        <w:spacing w:after="0" w:line="78" w:lineRule="exact"/>
        <w:rPr>
          <w:sz w:val="20"/>
          <w:szCs w:val="20"/>
          <w:color w:val="auto"/>
        </w:rPr>
      </w:pPr>
    </w:p>
    <w:p>
      <w:pPr>
        <w:jc w:val="both"/>
        <w:ind w:right="80" w:firstLine="225"/>
        <w:spacing w:after="0" w:line="258" w:lineRule="auto"/>
        <w:rPr>
          <w:sz w:val="20"/>
          <w:szCs w:val="20"/>
          <w:color w:val="auto"/>
        </w:rPr>
      </w:pPr>
      <w:r>
        <w:rPr>
          <w:rFonts w:ascii="Times New Roman" w:cs="Times New Roman" w:eastAsia="Times New Roman" w:hAnsi="Times New Roman"/>
          <w:sz w:val="18"/>
          <w:szCs w:val="18"/>
          <w:color w:val="auto"/>
        </w:rPr>
        <w:t>Prior to the adoption of SFAS 123(R), the Company presented its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76" w:lineRule="exact"/>
        <w:rPr>
          <w:sz w:val="20"/>
          <w:szCs w:val="20"/>
          <w:color w:val="auto"/>
        </w:rPr>
      </w:pPr>
    </w:p>
    <w:p>
      <w:pPr>
        <w:jc w:val="both"/>
        <w:ind w:right="160" w:firstLine="222"/>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effect on net income and earnings per share if the Company had applied the provisions of SFAS 123 to options granted under the Company’s stock option plans for all periods presented prior to the adoption of SFAS 123(R). For purposes of this pro forma disclosure, the value of the options is estimated using a minimum value option-pricing formula and amortized to expense over the options’ vesting periods.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 as reported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Add: Non-cash stock-based employee compensation — as reported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Total stock-based employee compensation expense determined under the minimum value method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 all awards, net of related tax effects</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 pro forma</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Basic — as reported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pro forma</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 as reported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pro forma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60" w:firstLine="225"/>
        <w:spacing w:after="0" w:line="282" w:lineRule="auto"/>
        <w:rPr>
          <w:sz w:val="20"/>
          <w:szCs w:val="20"/>
          <w:color w:val="auto"/>
        </w:rPr>
      </w:pPr>
      <w:r>
        <w:rPr>
          <w:rFonts w:ascii="Times New Roman" w:cs="Times New Roman" w:eastAsia="Times New Roman" w:hAnsi="Times New Roman"/>
          <w:sz w:val="18"/>
          <w:szCs w:val="18"/>
          <w:color w:val="auto"/>
        </w:rPr>
        <w:t>Upon adoption of SFAS 123(R), the Company selected the Black-Scholes option pricing model as the most appropriate model for determining the estimated fair value for stock-based awards. The weighted-average assumptions used in the Black-Scholes option pricing model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75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5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2006</w:t>
            </w:r>
          </w:p>
        </w:tc>
        <w:tc>
          <w:tcPr>
            <w:tcW w:w="2340" w:type="dxa"/>
            <w:vAlign w:val="bottom"/>
            <w:gridSpan w:val="2"/>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Incentive Stock Options (“ISOs”)</w:t>
            </w:r>
          </w:p>
        </w:tc>
        <w:tc>
          <w:tcPr>
            <w:tcW w:w="1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45.72%</w:t>
            </w:r>
          </w:p>
        </w:tc>
        <w:tc>
          <w:tcPr>
            <w:tcW w:w="23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4.87%</w:t>
            </w:r>
          </w:p>
        </w:tc>
        <w:tc>
          <w:tcPr>
            <w:tcW w:w="23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50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6.25</w:t>
            </w:r>
          </w:p>
        </w:tc>
        <w:tc>
          <w:tcPr>
            <w:tcW w:w="234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Non-Qualified Stock Options (“NSOs”)</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w:t>
            </w:r>
          </w:p>
        </w:tc>
        <w:tc>
          <w:tcPr>
            <w:tcW w:w="23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42.00%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w:t>
            </w:r>
          </w:p>
        </w:tc>
        <w:tc>
          <w:tcPr>
            <w:tcW w:w="23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6.00 – 6.25</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w:t>
            </w:r>
          </w:p>
        </w:tc>
        <w:tc>
          <w:tcPr>
            <w:tcW w:w="23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issued during the three months ended September 30, 2006.</w:t>
      </w:r>
    </w:p>
    <w:p>
      <w:pPr>
        <w:spacing w:after="0" w:line="117" w:lineRule="exact"/>
        <w:rPr>
          <w:sz w:val="20"/>
          <w:szCs w:val="20"/>
          <w:color w:val="auto"/>
        </w:rPr>
      </w:pPr>
    </w:p>
    <w:p>
      <w:pPr>
        <w:ind w:right="20" w:firstLine="222"/>
        <w:spacing w:after="0" w:line="282" w:lineRule="auto"/>
        <w:rPr>
          <w:sz w:val="20"/>
          <w:szCs w:val="20"/>
          <w:color w:val="auto"/>
        </w:rPr>
      </w:pPr>
      <w:r>
        <w:rPr>
          <w:rFonts w:ascii="Times New Roman" w:cs="Times New Roman" w:eastAsia="Times New Roman" w:hAnsi="Times New Roman"/>
          <w:sz w:val="18"/>
          <w:szCs w:val="18"/>
          <w:color w:val="auto"/>
        </w:rPr>
        <w:t>The weighted-average fair value (as of the date of grant) of the options granted during the three months ended September 30, 2006 was $3.66 for ISOs (the only type of options issued during that period) and $4.04 and $4.37 for ISOs and NSOs, respectively, for the nine months ended September 30, 2006.</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three months and nine months ended September 30, 2006, the Company recorded total pre-tax stock-based compensation expense of $256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 after tax or $0.005 per diluted share) and $722 ($420 after tax or $0.02 per diluted share), respectively, which includes both intrinsic value for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issued during 2005 and fair value for equity awards issued during 2006. The total stock-based compensation cost related to non-vested equity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yet recognized as an expense as of September 30, 2006 is $2,996.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Recently Issued Accounting Standards</w:t>
      </w:r>
    </w:p>
    <w:p>
      <w:pPr>
        <w:spacing w:after="0" w:line="119" w:lineRule="exact"/>
        <w:rPr>
          <w:sz w:val="20"/>
          <w:szCs w:val="20"/>
          <w:color w:val="auto"/>
        </w:rPr>
      </w:pPr>
    </w:p>
    <w:p>
      <w:pPr>
        <w:ind w:right="160" w:firstLine="225"/>
        <w:spacing w:after="0" w:line="259" w:lineRule="auto"/>
        <w:rPr>
          <w:sz w:val="20"/>
          <w:szCs w:val="20"/>
          <w:color w:val="auto"/>
        </w:rPr>
      </w:pPr>
      <w:r>
        <w:rPr>
          <w:rFonts w:ascii="Times New Roman" w:cs="Times New Roman" w:eastAsia="Times New Roman" w:hAnsi="Times New Roman"/>
          <w:sz w:val="18"/>
          <w:szCs w:val="18"/>
          <w:color w:val="auto"/>
        </w:rPr>
        <w:t xml:space="preserve">In February 2006, the Financial Accounting Standards Board (“FASB”) issued SFAS No. 155, </w:t>
      </w:r>
      <w:r>
        <w:rPr>
          <w:rFonts w:ascii="Times New Roman" w:cs="Times New Roman" w:eastAsia="Times New Roman" w:hAnsi="Times New Roman"/>
          <w:sz w:val="18"/>
          <w:szCs w:val="18"/>
          <w:i w:val="1"/>
          <w:iCs w:val="1"/>
          <w:color w:val="auto"/>
        </w:rPr>
        <w:t>Accounting for Certain Hybrid Financial Instruments</w:t>
      </w:r>
      <w:r>
        <w:rPr>
          <w:rFonts w:ascii="Times New Roman" w:cs="Times New Roman" w:eastAsia="Times New Roman" w:hAnsi="Times New Roman"/>
          <w:sz w:val="18"/>
          <w:szCs w:val="18"/>
          <w:color w:val="auto"/>
        </w:rPr>
        <w:t xml:space="preserve"> (“SFAS 155”). SFAS 155 allows financial instruments that have embedded derivatives to be accounted for as a whole (eliminating the need to bifurcate the derivative from its host) if the holder elects to account for the whole instrument on a fair value basis. This statement is effective for all financial instruments acquired or issued after the beginning of an entity’s first fiscal year that begins after September 15, 2006. The Company does not expect that the adoption of SFAS 155 will impact the Company’s financial statements.</w:t>
      </w:r>
    </w:p>
    <w:p>
      <w:pPr>
        <w:spacing w:after="0" w:line="72" w:lineRule="exact"/>
        <w:rPr>
          <w:sz w:val="20"/>
          <w:szCs w:val="20"/>
          <w:color w:val="auto"/>
        </w:rPr>
      </w:pPr>
    </w:p>
    <w:p>
      <w:pPr>
        <w:ind w:right="20" w:firstLine="225"/>
        <w:spacing w:after="0" w:line="259" w:lineRule="auto"/>
        <w:rPr>
          <w:sz w:val="20"/>
          <w:szCs w:val="20"/>
          <w:color w:val="auto"/>
        </w:rPr>
      </w:pPr>
      <w:r>
        <w:rPr>
          <w:rFonts w:ascii="Times New Roman" w:cs="Times New Roman" w:eastAsia="Times New Roman" w:hAnsi="Times New Roman"/>
          <w:sz w:val="18"/>
          <w:szCs w:val="18"/>
          <w:color w:val="auto"/>
        </w:rPr>
        <w:t xml:space="preserve">In June 2006, the FASB issued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(“FIN 48”). This authoritative interpretation clarifies and standardizes the manner by which companies will be required to account for uncertain tax positions. Adoption of FIN 48 is required for fiscal years beginning after December 15, 2006. The Company will be required to adopt FIN 48 no later than the quarter beginning January 1, 2007. The Company is currently in the process of evaluating the interpretation and has not yet determined the impact, if any, that FIN 48 will have on its financial position or results of operations.</w:t>
      </w:r>
    </w:p>
    <w:p>
      <w:pPr>
        <w:spacing w:after="0" w:line="72"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2006, the FASB issued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is currently evaluating the impact of this Statement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Times New Roman" w:cs="Times New Roman" w:eastAsia="Times New Roman" w:hAnsi="Times New Roman"/>
          <w:sz w:val="18"/>
          <w:szCs w:val="18"/>
          <w:i w:val="1"/>
          <w:iCs w:val="1"/>
          <w:color w:val="auto"/>
        </w:rPr>
        <w:t>, Disclosure About Segments of an Enterprise and Related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Marketable Securities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is a summary of available-for-sale securities held by the Company at December 31, 2005 and September 30,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2006</w:t>
            </w:r>
          </w:p>
        </w:tc>
        <w:tc>
          <w:tcPr>
            <w:tcW w:w="2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2,594</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2005</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3,416</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Company’s available-for-sale securities have the following maturities: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45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8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4,286</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less than five years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0"/>
        </w:trPr>
        <w:tc>
          <w:tcPr>
            <w:tcW w:w="5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Unrealized gains and losses are reported as a component of accumulated other comprehensive loss in stockholders’ equity. Realized losses were $15 and $12 for the three months ended September 30, 2005 and 2006, respectively, and $29 and $17 for the nine months ended September 30, 2005 and 2006, respectively. The cost of securities sold is based on specific identification method.</w:t>
      </w:r>
    </w:p>
    <w:p>
      <w:pPr>
        <w:spacing w:after="0" w:line="68"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Unrealized loss positions for which other than temporary impairments have not been recognized at December 31, 2005 and as of September 30, 2006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100" w:type="dxa"/>
            <w:vAlign w:val="bottom"/>
            <w:gridSpan w:val="4"/>
          </w:tcPr>
          <w:p>
            <w:pPr>
              <w:ind w:left="3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3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12 months</w:t>
            </w:r>
          </w:p>
        </w:tc>
        <w:tc>
          <w:tcPr>
            <w:tcW w:w="378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12 months</w:t>
            </w:r>
          </w:p>
        </w:tc>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Unrealized losses in the Company’s portfolio relate primarily to fixed income debt securities. For these securities, the unrealized losses are due to increases in interest rates and not changes in credit risk. The Company has concluded that the unrealized losses in its available-for-sale marketable securities are not other-than-temporary as the Company has the ability and intent to hold the securities to maturity.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5820" w:type="dxa"/>
            <w:vAlign w:val="bottom"/>
            <w:gridSpan w:val="4"/>
          </w:tcPr>
          <w:p>
            <w:pPr>
              <w:ind w:left="4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500" w:type="dxa"/>
            <w:vAlign w:val="bottom"/>
            <w:gridSpan w:val="2"/>
            <w:shd w:val="clear" w:color="auto" w:fill="CCEEFF"/>
          </w:tcPr>
          <w:p>
            <w:pPr>
              <w:ind w:left="4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15,212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4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(11,005)</w:t>
            </w: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320" w:type="dxa"/>
            <w:vAlign w:val="bottom"/>
            <w:vMerge w:val="restart"/>
          </w:tcPr>
          <w:p>
            <w:pPr>
              <w:jc w:val="right"/>
              <w:ind w:right="3036"/>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210"/>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r>
      <w:tr>
        <w:trPr>
          <w:trHeight w:val="223"/>
        </w:trPr>
        <w:tc>
          <w:tcPr>
            <w:tcW w:w="8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Arrangements</w:t>
      </w:r>
    </w:p>
    <w:p>
      <w:pPr>
        <w:spacing w:after="0" w:line="121"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On October 6, 2004, the Company entered into a Loan and Security Agreement (the “Agreement”) with a bank which expires on December 1, 2007. The Agreement includes a Revolving Promissory Note for up to $2,000 and an Equipment Term Note for up to $3,000.</w:t>
      </w:r>
    </w:p>
    <w:p>
      <w:pPr>
        <w:spacing w:after="0" w:line="54" w:lineRule="exact"/>
        <w:rPr>
          <w:sz w:val="20"/>
          <w:szCs w:val="20"/>
          <w:color w:val="auto"/>
        </w:rPr>
      </w:pPr>
    </w:p>
    <w:p>
      <w:pPr>
        <w:ind w:right="100" w:firstLine="215"/>
        <w:spacing w:after="0" w:line="258" w:lineRule="auto"/>
        <w:rPr>
          <w:sz w:val="20"/>
          <w:szCs w:val="20"/>
          <w:color w:val="auto"/>
        </w:rPr>
      </w:pPr>
      <w:r>
        <w:rPr>
          <w:rFonts w:ascii="Times New Roman" w:cs="Times New Roman" w:eastAsia="Times New Roman" w:hAnsi="Times New Roman"/>
          <w:sz w:val="18"/>
          <w:szCs w:val="18"/>
          <w:color w:val="auto"/>
        </w:rPr>
        <w:t>Availability under the Agreement for the Revolving Promissory Note is based on defined percentages of eligible accounts receivable. Borrowings on the revolving credit agreement bear interest at the prime rate plus 1.25% (8.5% and 9.5% at December 31, 2005 and September 30, 2006, respectively).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draws against the Revolving Promissory Note as of December 31, 2005 and September 30, 2006.</w:t>
      </w:r>
    </w:p>
    <w:p>
      <w:pPr>
        <w:spacing w:after="0" w:line="76" w:lineRule="exact"/>
        <w:rPr>
          <w:sz w:val="20"/>
          <w:szCs w:val="20"/>
          <w:color w:val="auto"/>
        </w:rPr>
      </w:pPr>
    </w:p>
    <w:p>
      <w:pPr>
        <w:ind w:right="340" w:firstLine="215"/>
        <w:spacing w:after="0" w:line="266" w:lineRule="auto"/>
        <w:rPr>
          <w:sz w:val="20"/>
          <w:szCs w:val="20"/>
          <w:color w:val="auto"/>
        </w:rPr>
      </w:pPr>
      <w:r>
        <w:rPr>
          <w:rFonts w:ascii="Times New Roman" w:cs="Times New Roman" w:eastAsia="Times New Roman" w:hAnsi="Times New Roman"/>
          <w:sz w:val="18"/>
          <w:szCs w:val="18"/>
          <w:color w:val="auto"/>
        </w:rPr>
        <w:t>As of December 31, 2005 and September 30, 2006, the Company had outstanding borrowings of $1,333 and $833, respectively, against the Equipment Term Note to fund purchases of eligible equipment. Borrowings on the equipment line bear interest at the prime rate plus 1.75% (9% and 10% at December 31, 2005 and September 30, 2006, respectively) and principal and interest are payable monthly.</w:t>
      </w:r>
    </w:p>
    <w:p>
      <w:pPr>
        <w:spacing w:after="0" w:line="68" w:lineRule="exact"/>
        <w:rPr>
          <w:sz w:val="20"/>
          <w:szCs w:val="20"/>
          <w:color w:val="auto"/>
        </w:rPr>
      </w:pPr>
    </w:p>
    <w:p>
      <w:pPr>
        <w:jc w:val="both"/>
        <w:ind w:right="100" w:firstLine="222"/>
        <w:spacing w:after="0" w:line="266" w:lineRule="auto"/>
        <w:rPr>
          <w:sz w:val="20"/>
          <w:szCs w:val="20"/>
          <w:color w:val="auto"/>
        </w:rPr>
      </w:pPr>
      <w:r>
        <w:rPr>
          <w:rFonts w:ascii="Times New Roman" w:cs="Times New Roman" w:eastAsia="Times New Roman" w:hAnsi="Times New Roman"/>
          <w:sz w:val="18"/>
          <w:szCs w:val="18"/>
          <w:color w:val="auto"/>
        </w:rPr>
        <w:t>The Company paid a facility fee and certain other bank fees in connection with the financing arrangement. The agreement requires the Company to meet certain financial covenants. The Company was in compliance with the financial covenants at December 31, 2005 and at September 30, 2006. Borrowings are collateralized by all of the assets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 Structure</w:t>
      </w:r>
    </w:p>
    <w:p>
      <w:pPr>
        <w:spacing w:after="0" w:line="121" w:lineRule="exact"/>
        <w:rPr>
          <w:sz w:val="20"/>
          <w:szCs w:val="20"/>
          <w:color w:val="auto"/>
        </w:rPr>
      </w:pPr>
    </w:p>
    <w:p>
      <w:pPr>
        <w:ind w:right="100" w:firstLine="215"/>
        <w:spacing w:after="0" w:line="261" w:lineRule="auto"/>
        <w:rPr>
          <w:sz w:val="20"/>
          <w:szCs w:val="20"/>
          <w:color w:val="auto"/>
        </w:rPr>
      </w:pPr>
      <w:r>
        <w:rPr>
          <w:rFonts w:ascii="Times New Roman" w:cs="Times New Roman" w:eastAsia="Times New Roman" w:hAnsi="Times New Roman"/>
          <w:sz w:val="18"/>
          <w:szCs w:val="18"/>
          <w:color w:val="auto"/>
        </w:rPr>
        <w:t>As of December 31, 2005, the Company’s authorized capital stock was 45,103 shares of stock with a par value of $0.0001, of which 30,000 shares were designated common stock and 15,103 shares were designated preferred stock (Series A and Series 1). During the nine months ended September 30, 2006, the Company’s board of directors revised the Company’s Certificate of Incorporation and authorized 100,000 shares of common stock and 10,000 shares of preferred stock. As of September 30, 2006 there are no shares of preferred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At December 31, 2005, there were 13,549 shares of common stock reserved for issuance upon the conversion of the Series 1 and Series A convertible preferred stock. On June 20, 2006, all 13,549 outstanding shares of the Company’s Series 1 and Series A convertible preferred stock were converted into shares of common stock on a one-for-one basis. As of September 30, 2006, there were 31,936 shares of common stock issued, 5,097 shares of common stock reserved for issuance under the Company’s 2000 Stock Plan (the “2000 Plan”) and 2,000 shares of common stock reserved for issuance under the Company’s 2006 Equity Incentive Plan (the “2006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Preferred stock may be issued from time to time. The Company designated 2,000 shares of preferred stock as Series 1 convertible preferred stock and 13,103 shares of preferred stock as Series A redeemable convertible preferred stock as of December 31, 2005. During the three months ended June 30, 2006, all of the Company’s Series 1 and Series A convertible preferred stock converted into common stock on a one-for-one basis as a result of the IPO. There are no shares of preferred stock outstanding as of September 30,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Prior to 2003, the Company issued warrants to a bank as part of a loan and security agreement. As of December 31, 2005 and September 30, 2006, warrants to purchase 95 shares of Series A redeemable convertible preferred stock and 95 shares of common stock, respectively, were outstanding. The warrants have an exercise price of $2.90 per share (adjusted for stock splits, stock dividends, etc.). The value of the warrants was capitalized as debt issuance cost and amortized to interest expense over the term of the loan. The warrants may be exercised at any time, in whole or in part, during the exercise period, which expires on May 20, 2008. No warrants were issued or exercised during the nine months ended September 30, 2006 or 2005. The warrants automatically became exercisable for shares of common stock upon the closing of the IPO which occurred on June 20,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Holders of shares of common stock which were issued upon conversion of the Company’s Series A preferred stock and holders of shares of common stock issuable upon exercise of the Company’s warrants are entitled to have their shares registered under the Securities Act of 1933, as amended (the “Securities Act”).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Plans</w:t>
      </w:r>
    </w:p>
    <w:p>
      <w:pPr>
        <w:spacing w:after="0" w:line="121" w:lineRule="exact"/>
        <w:rPr>
          <w:sz w:val="20"/>
          <w:szCs w:val="20"/>
          <w:color w:val="auto"/>
        </w:rPr>
      </w:pPr>
    </w:p>
    <w:p>
      <w:pPr>
        <w:ind w:right="20" w:firstLine="215"/>
        <w:spacing w:after="0" w:line="258" w:lineRule="auto"/>
        <w:rPr>
          <w:sz w:val="20"/>
          <w:szCs w:val="20"/>
          <w:color w:val="auto"/>
        </w:rPr>
      </w:pPr>
      <w:r>
        <w:rPr>
          <w:rFonts w:ascii="Times New Roman" w:cs="Times New Roman" w:eastAsia="Times New Roman" w:hAnsi="Times New Roman"/>
          <w:sz w:val="18"/>
          <w:szCs w:val="18"/>
          <w:color w:val="auto"/>
        </w:rPr>
        <w:t>As of September 30, 2006, the Company maintains two stock incentive plans, the 2000 Plan and the 2006 Plan. 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 options. In April 2006, the Company’s board of directors adopted the 2006 Plan. The 2006 Plan became effective upon the IPO.</w:t>
      </w:r>
    </w:p>
    <w:p>
      <w:pPr>
        <w:spacing w:after="0" w:line="76"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Under the 2006 Plan, the Company may grant to its employees, outside directors and consultants awards in the form of incentive stock options, non-qualified stock options, shares of restricted stock and stock units or stock appreciation rights. The aggregate number of shares of common stock with respect to which all awards may be granted under the 2006 Plan is 2,000 plus any shares that remain available for issuance under the 2000 Plan. As of September 30, 2006, there were 506 and 1,720 shares available for grant or award under the 2000 and 2006 Plan, respectively. During the three months ended September 30, 2006, options to purchase 280 shares of common stock were granted under the 2006 Plan.</w:t>
      </w:r>
    </w:p>
    <w:p>
      <w:pPr>
        <w:spacing w:after="0" w:line="76"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 xml:space="preserve">The Company’s board of directors administers the 2000 Plan and the 2006 Plan and is responsible for determining the individuals to be granted options or shares, the number of options or shares each individual will receive, the price per share and the exercise period of each option. In establishing its estimates of fair value of the Company’s common stock prior to the completion of the IPO, the Company considered the guidance set forth in the American Institute of Certified Public Accountants Practice Aid, </w:t>
      </w:r>
      <w:r>
        <w:rPr>
          <w:rFonts w:ascii="Times New Roman" w:cs="Times New Roman" w:eastAsia="Times New Roman" w:hAnsi="Times New Roman"/>
          <w:sz w:val="18"/>
          <w:szCs w:val="18"/>
          <w:i w:val="1"/>
          <w:iCs w:val="1"/>
          <w:color w:val="auto"/>
        </w:rPr>
        <w:t>Valuation prior to being a public company of Privately-Held-Company Equity Securities Issued as Compensation</w:t>
      </w:r>
      <w:r>
        <w:rPr>
          <w:rFonts w:ascii="Times New Roman" w:cs="Times New Roman" w:eastAsia="Times New Roman" w:hAnsi="Times New Roman"/>
          <w:sz w:val="18"/>
          <w:szCs w:val="18"/>
          <w:color w:val="auto"/>
        </w:rPr>
        <w:t>, and performed a retrospective determination of the fair value of its common stock for the year ended December 31, 2005, utilizing a combination of valuation methods. In 2006, prior to the IPO, the fair value of the common stock was 90% of the mid-point of the Company’s anticipated price range.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right="380" w:firstLine="225"/>
        <w:spacing w:after="0" w:line="258" w:lineRule="auto"/>
        <w:rPr>
          <w:sz w:val="20"/>
          <w:szCs w:val="20"/>
          <w:color w:val="auto"/>
        </w:rPr>
      </w:pPr>
      <w:r>
        <w:rPr>
          <w:rFonts w:ascii="Times New Roman" w:cs="Times New Roman" w:eastAsia="Times New Roman" w:hAnsi="Times New Roman"/>
          <w:sz w:val="18"/>
          <w:szCs w:val="18"/>
          <w:color w:val="auto"/>
        </w:rPr>
        <w:t>On January 1, 2006, the Company adopted SFAS 123(R) using the prospective method. Under SFAS 123(R), the Company elected to recognize the compensation cost of all share-based awards on a straight-line basis over the vesting period of the award. Benefits of tax deductions (if any) in excess of recognized stock-based compensation expense are now reported as a financing cash flow, rather than an operating cash flow as prescribed under the prior accounting rules. Stock-based compensation expense of $69 was recognized during the nine months ended September 30, 2005 before adoption of SFAS 123(R) for options issued with grant prices below the deemed fair value of the common stock in accordance with APB 25.</w:t>
      </w:r>
    </w:p>
    <w:p>
      <w:pPr>
        <w:spacing w:after="0" w:line="76"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On April 5, 2006, the Company’s board of directors initiated an exchange offer to certain employees who received stock options with an exercise price less than the fair market value. Under the terms of the offer, such employees were given the opportunity to exchange their options for new options with exercise prices equal to fair value at the time of the grant. The Company has evaluated and determined that there was no incremental compensation expense associated with these modifications. In addition, these employees also received a number of shares of restricted common stock having a value equal to the amount by which the aggregate exercise price of the new stock option exceeded the aggregate price of the exchanged option. On April 5, 2006, the Company granted 116 shares of restricted stock at a value determined by the Company’s board of directors of $8.98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from the 2000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28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6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29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981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1,079</w:t>
            </w:r>
          </w:p>
        </w:tc>
        <w:tc>
          <w:tcPr>
            <w:tcW w:w="18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$ 0.29 - $10.00</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options available for grant</w:t>
            </w:r>
          </w:p>
        </w:tc>
        <w:tc>
          <w:tcPr>
            <w:tcW w:w="29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614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29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(1,055)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8.98</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18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  0.29 - $1.84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and restricted stock forfeited</w:t>
            </w:r>
          </w:p>
        </w:tc>
        <w:tc>
          <w:tcPr>
            <w:tcW w:w="29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8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0.29 - $8.98</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purchased from the 2000 Plan</w:t>
            </w:r>
          </w:p>
        </w:tc>
        <w:tc>
          <w:tcPr>
            <w:tcW w:w="29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8.98</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grants</w:t>
            </w:r>
          </w:p>
        </w:tc>
        <w:tc>
          <w:tcPr>
            <w:tcW w:w="29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8.98</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2006</w:t>
            </w:r>
          </w:p>
        </w:tc>
        <w:tc>
          <w:tcPr>
            <w:tcW w:w="1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$ 0.29 - $10.00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September 30, 2006</w:t>
            </w: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30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$ 0.29 - $10.00</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December 31, 2005</w:t>
            </w: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September 30, 2006</w:t>
            </w: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from the 2006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3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0"/>
                <w:szCs w:val="10"/>
                <w:color w:val="auto"/>
              </w:rPr>
            </w:pPr>
          </w:p>
        </w:tc>
        <w:tc>
          <w:tcPr>
            <w:tcW w:w="14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2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6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Plan adoption (April 26, 2006)</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$ 6.95 - $7.75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2006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9"/>
                <w:szCs w:val="19"/>
                <w:color w:val="auto"/>
              </w:rPr>
            </w:pP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$ 6.95 - $7.75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September 30, 2006</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$ 6.95 - $7.75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September 30, 2006</w:t>
            </w: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20" w:firstLine="215"/>
        <w:spacing w:after="0" w:line="282" w:lineRule="auto"/>
        <w:rPr>
          <w:sz w:val="20"/>
          <w:szCs w:val="20"/>
          <w:color w:val="auto"/>
        </w:rPr>
      </w:pPr>
      <w:r>
        <w:rPr>
          <w:rFonts w:ascii="Times New Roman" w:cs="Times New Roman" w:eastAsia="Times New Roman" w:hAnsi="Times New Roman"/>
          <w:sz w:val="18"/>
          <w:szCs w:val="18"/>
          <w:color w:val="auto"/>
        </w:rPr>
        <w:t>A summary of the Company’s non-vested restricted stock at September 30, 2006, and changes during the nine months ended September 30, 2006, is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Restricted Stock</w:t>
            </w:r>
          </w:p>
        </w:tc>
        <w:tc>
          <w:tcPr>
            <w:tcW w:w="580" w:type="dxa"/>
            <w:vAlign w:val="bottom"/>
          </w:tcPr>
          <w:p>
            <w:pPr>
              <w:spacing w:after="0"/>
              <w:rPr>
                <w:sz w:val="13"/>
                <w:szCs w:val="1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99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2006</w:t>
            </w: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2006</w:t>
            </w:r>
          </w:p>
        </w:tc>
        <w:tc>
          <w:tcPr>
            <w:tcW w:w="15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40" w:firstLine="215"/>
        <w:spacing w:after="0" w:line="282" w:lineRule="auto"/>
        <w:rPr>
          <w:sz w:val="20"/>
          <w:szCs w:val="20"/>
          <w:color w:val="auto"/>
        </w:rPr>
      </w:pPr>
      <w:r>
        <w:rPr>
          <w:rFonts w:ascii="Times New Roman" w:cs="Times New Roman" w:eastAsia="Times New Roman" w:hAnsi="Times New Roman"/>
          <w:sz w:val="18"/>
          <w:szCs w:val="18"/>
          <w:color w:val="auto"/>
        </w:rPr>
        <w:t>As of September 30, 2006, there was $2,996 of total unrecognized compensation cost related to non-vested share-based compensation arrangements granted under the 2000 and 2006 Plans. That cost is expected to be recognized over a weighted-average period of approximately 3.4 years for 2006.</w:t>
      </w:r>
    </w:p>
    <w:p>
      <w:pPr>
        <w:spacing w:after="0" w:line="54" w:lineRule="exact"/>
        <w:rPr>
          <w:sz w:val="20"/>
          <w:szCs w:val="20"/>
          <w:color w:val="auto"/>
        </w:rPr>
      </w:pPr>
    </w:p>
    <w:p>
      <w:pPr>
        <w:ind w:right="100" w:firstLine="215"/>
        <w:spacing w:after="0" w:line="266" w:lineRule="auto"/>
        <w:rPr>
          <w:sz w:val="20"/>
          <w:szCs w:val="20"/>
          <w:color w:val="auto"/>
        </w:rPr>
      </w:pPr>
      <w:r>
        <w:rPr>
          <w:rFonts w:ascii="Times New Roman" w:cs="Times New Roman" w:eastAsia="Times New Roman" w:hAnsi="Times New Roman"/>
          <w:sz w:val="18"/>
          <w:szCs w:val="18"/>
          <w:color w:val="auto"/>
        </w:rPr>
        <w:t>As of December 31, 2005 and September 30, 2006, the average remaining contractual life of outstanding options was approximately 8.4 and 8.9 years, respectively. Shares vested and expected to vest as of September 30, 2006 have an aggregate intrinsic value of approximately $6,403. The average remaining contractual life was 7.5 years for stock options outstanding and exercisable as of September 30, 2006 and the total intrinsic value was approximately $3,367.</w:t>
      </w:r>
    </w:p>
    <w:p>
      <w:pPr>
        <w:spacing w:after="0" w:line="68" w:lineRule="exact"/>
        <w:rPr>
          <w:sz w:val="20"/>
          <w:szCs w:val="20"/>
          <w:color w:val="auto"/>
        </w:rPr>
      </w:pPr>
    </w:p>
    <w:p>
      <w:pPr>
        <w:ind w:right="140" w:firstLine="222"/>
        <w:spacing w:after="0" w:line="261" w:lineRule="auto"/>
        <w:rPr>
          <w:sz w:val="20"/>
          <w:szCs w:val="20"/>
          <w:color w:val="auto"/>
        </w:rPr>
      </w:pPr>
      <w:r>
        <w:rPr>
          <w:rFonts w:ascii="Times New Roman" w:cs="Times New Roman" w:eastAsia="Times New Roman" w:hAnsi="Times New Roman"/>
          <w:sz w:val="18"/>
          <w:szCs w:val="18"/>
          <w:color w:val="auto"/>
        </w:rPr>
        <w:t>The total intrinsic value for stock options exercised during the three and nine months ended September 30, 2006 was approximately $222 and $345, respectively. The amount of cash received from the exercise of stock options for the three and nine months ended September 30, 2006 was approximately $8 and $62, respectively. There were no related tax benefits associated with the exercise of the stock options during the three and nine months ended September 30, 2006.</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nine months ended September 30, 2005 and 2006, the total fair value of vested options was approximately $51 and $429,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Under the 2000 Plan, options may be exercised in whole or in part for 100% of the shares subject to vesting at any time after the date of grant. Options under the 2000 Plan generally vest 25% on the first year anniversary of the date of grant plus an additional 1/48 for each month thereafter. If an option is exercised prior to vesting, the underlying shares are subject to a right of repurchase at the exercise price paid by the option holder. The right of repurchase generally lapses with respect to the first 25% of the purchased shares when the purchaser completes 12 months of continuous service and lapses with respect to an additional 1/48 of the purchased shares when the purchaser completes each month of continuous service thereafter. Under the 2006 Plan, options may be exercised once they become vested. Options under the 2006 Plan generally vest 25% on the first anniversary of the date of grant plus an additional 1/48 for each month thereafter. There were no options exercised prior to vesting during 2005 or during the nine months ended September 30, 2006.</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nine months ended September 30, 2006, the Company granted stock options with exercise prices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Grant</w:t>
            </w:r>
          </w:p>
        </w:tc>
        <w:tc>
          <w:tcPr>
            <w:tcW w:w="500" w:type="dxa"/>
            <w:vAlign w:val="bottom"/>
          </w:tcPr>
          <w:p>
            <w:pPr>
              <w:spacing w:after="0"/>
              <w:rPr>
                <w:sz w:val="13"/>
                <w:szCs w:val="13"/>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5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Black-Scholes</w:t>
            </w: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5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Grant</w:t>
            </w: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360" w:type="dxa"/>
            <w:vAlign w:val="bottom"/>
            <w:gridSpan w:val="3"/>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10, 2006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ISOs</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$8.98</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$8.98</w:t>
            </w: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10, 2006</w:t>
            </w:r>
          </w:p>
        </w:tc>
        <w:tc>
          <w:tcPr>
            <w:tcW w:w="22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NSOs</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$8.98</w:t>
            </w:r>
          </w:p>
        </w:tc>
        <w:tc>
          <w:tcPr>
            <w:tcW w:w="15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$8.98</w:t>
            </w:r>
          </w:p>
        </w:tc>
        <w:tc>
          <w:tcPr>
            <w:tcW w:w="156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 2006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ISOs</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$8.98</w:t>
            </w:r>
          </w:p>
        </w:tc>
        <w:tc>
          <w:tcPr>
            <w:tcW w:w="15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$8.98</w:t>
            </w:r>
          </w:p>
        </w:tc>
        <w:tc>
          <w:tcPr>
            <w:tcW w:w="156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 2006</w:t>
            </w:r>
          </w:p>
        </w:tc>
        <w:tc>
          <w:tcPr>
            <w:tcW w:w="22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NSOs</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646</w:t>
            </w:r>
          </w:p>
        </w:tc>
        <w:tc>
          <w:tcPr>
            <w:tcW w:w="50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$8.98</w:t>
            </w:r>
          </w:p>
        </w:tc>
        <w:tc>
          <w:tcPr>
            <w:tcW w:w="15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$8.98</w:t>
            </w:r>
          </w:p>
        </w:tc>
        <w:tc>
          <w:tcPr>
            <w:tcW w:w="156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ISOs</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204</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$6.95</w:t>
            </w:r>
          </w:p>
        </w:tc>
        <w:tc>
          <w:tcPr>
            <w:tcW w:w="15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$6.95</w:t>
            </w:r>
          </w:p>
        </w:tc>
        <w:tc>
          <w:tcPr>
            <w:tcW w:w="156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31, 2006</w:t>
            </w:r>
          </w:p>
        </w:tc>
        <w:tc>
          <w:tcPr>
            <w:tcW w:w="22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ISOs</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$7.75</w:t>
            </w:r>
          </w:p>
        </w:tc>
        <w:tc>
          <w:tcPr>
            <w:tcW w:w="15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$7.75</w:t>
            </w:r>
          </w:p>
        </w:tc>
        <w:tc>
          <w:tcPr>
            <w:tcW w:w="1560" w:type="dxa"/>
            <w:vAlign w:val="bottom"/>
            <w:gridSpan w:val="2"/>
          </w:tcPr>
          <w:p>
            <w:pPr>
              <w:jc w:val="right"/>
              <w:ind w:right="284"/>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ISOs</w:t>
            </w:r>
          </w:p>
        </w:tc>
        <w:tc>
          <w:tcPr>
            <w:tcW w:w="10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$7.35</w:t>
            </w:r>
          </w:p>
        </w:tc>
        <w:tc>
          <w:tcPr>
            <w:tcW w:w="15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$7.35</w:t>
            </w:r>
          </w:p>
        </w:tc>
        <w:tc>
          <w:tcPr>
            <w:tcW w:w="156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The following table summarizes information about vested stock options at September 30, 2006:</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Stock Options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 and exercisable at September 30,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0"/>
                <w:szCs w:val="10"/>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700" w:type="dxa"/>
            <w:vAlign w:val="bottom"/>
          </w:tcPr>
          <w:p>
            <w:pPr>
              <w:spacing w:after="0"/>
              <w:rPr>
                <w:sz w:val="10"/>
                <w:szCs w:val="10"/>
                <w:color w:val="auto"/>
              </w:rPr>
            </w:pPr>
          </w:p>
        </w:tc>
        <w:tc>
          <w:tcPr>
            <w:tcW w:w="13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480" w:type="dxa"/>
            <w:vAlign w:val="bottom"/>
            <w:vMerge w:val="restart"/>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700" w:type="dxa"/>
            <w:vAlign w:val="bottom"/>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0.29</w:t>
            </w:r>
          </w:p>
        </w:tc>
        <w:tc>
          <w:tcPr>
            <w:tcW w:w="3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0.29</w:t>
            </w: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7.25</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0.45</w:t>
            </w:r>
          </w:p>
        </w:tc>
        <w:tc>
          <w:tcPr>
            <w:tcW w:w="34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0.45</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8.66</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1.84</w:t>
            </w:r>
          </w:p>
        </w:tc>
        <w:tc>
          <w:tcPr>
            <w:tcW w:w="3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1.84</w:t>
            </w: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8.53</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6.19</w:t>
            </w:r>
          </w:p>
        </w:tc>
        <w:tc>
          <w:tcPr>
            <w:tcW w:w="34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6.19</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8.79</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6.95</w:t>
            </w:r>
          </w:p>
        </w:tc>
        <w:tc>
          <w:tcPr>
            <w:tcW w:w="3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6.95</w:t>
            </w: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9.82</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7.35</w:t>
            </w:r>
          </w:p>
        </w:tc>
        <w:tc>
          <w:tcPr>
            <w:tcW w:w="34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7.35</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9.82</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7.75</w:t>
            </w:r>
          </w:p>
        </w:tc>
        <w:tc>
          <w:tcPr>
            <w:tcW w:w="3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7.75</w:t>
            </w: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9.82</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8.98</w:t>
            </w:r>
          </w:p>
        </w:tc>
        <w:tc>
          <w:tcPr>
            <w:tcW w:w="34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8.98</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9.48</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2"/>
              </w:rPr>
              <w:t>$10.00</w:t>
            </w:r>
          </w:p>
        </w:tc>
        <w:tc>
          <w:tcPr>
            <w:tcW w:w="3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10.00</w:t>
            </w: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9.06</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Purchases</w:t>
      </w:r>
    </w:p>
    <w:p>
      <w:pPr>
        <w:spacing w:after="0" w:line="121"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Under the 2000 Plan and 2006 Plan, certain eligible individuals may be given the opportunity to purchase the Company’s common stock at a price not less than the par value of the shares. The Company’s board of directors determines the purchase price at its sole discretion. Shares awarded or sold under the 2000 Plan and 2006 Plan are subject to certain special forfeiture conditions, rights of repurchase, rights of first refusal and other transfer restrictions as the Company’s board of directors may determine. Under most circumstances, the right of repurchase shall lapse with respect to the first 25% of the purchased shares when the purchaser completes 12 months of continuous service and shall lapse as to an additional 1/48 of the purchased shares when the purchaser completes each month of continuous service thereafter. Under the 2000 Plan, unless otherwise provided in the stock purchase agreement, upon the termination of the purchaser’s service, any right to repurchase the shares at the original purchase price shall lapse with respect to the number of shares that would vest over a 12 month period or shall lapse as to all remaining shares if the Company is subject to a change of control before the purchaser’s service terminates or if the purchaser is subject to an involuntary termination within 12 months following a change of control. No restricted shares were purchased or granted during 2005. In March 2006, 111 shares of restricted stock were purchased by a board member. The purchase price of these shares was $8.98 per share. The shares are not subject to any vesting schedule. In April 2006, the Company’s board of directors awarded 191 shares of restricted stock at a fair value of $8.98 per share to certain employees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Plan</w:t>
      </w:r>
    </w:p>
    <w:p>
      <w:pPr>
        <w:spacing w:after="0" w:line="121"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The Company has a 401(k) plan (the “Plan”) covering all eligible employees. The Plan allows for a discretionary employer match. The Company incurred and expensed $20 and $30 for the three months ended September 30, 2005 and 2006, respectively, and expensed $61 and $87 for the nine months ended September 30, 2005 and 2006, respectively, in Plan match contributions.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Omniglobe International, L.L.C.</w:t>
      </w:r>
    </w:p>
    <w:p>
      <w:pPr>
        <w:spacing w:after="0" w:line="121"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Omniglobe International, L.L.C., a Delaware limited liability company with operations in India, provides data entry services relating to the Company’s exception handling management. The Company pays Omniglobe an hourly rate for each hour worked by each of its data entry agents. As of December 31, 2005 and September 30, 2006, the Company had agreements with Omniglobe. One of the Company’s agreements with Omniglobe provides for minimum levels of staffing at a specific price level resulting in an overall minimum commitment of $350 over a six month period. Services provided include data entry and related services as well as development and testing services. The current agreements may be terminated by either party without cause with 30 or 60 days written notice prior to the end of the term. Unless terminated, the agreement will automatically renew in six month increments. As of September 30, 2006, the Company fulfilled the overall minimum contractual commitment. The Company does not intend to terminate its arrangements with Omniglobe.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UNAUDITED (Continued)</w:t>
      </w:r>
    </w:p>
    <w:p>
      <w:pPr>
        <w:spacing w:after="0" w:line="121"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On March 12, 2004, certain of the Company’s executive officers and their family members acquired indirect equity interests in Omniglobe by purchasing an ownership interest in Rumson Hitters, L.L.C., a Delaware limited liability company,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 of</w:t>
            </w:r>
          </w:p>
        </w:tc>
        <w:tc>
          <w:tcPr>
            <w:tcW w:w="3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Received from</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42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Position with Synchronoss</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3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 Rumson</w:t>
            </w:r>
          </w:p>
        </w:tc>
        <w:tc>
          <w:tcPr>
            <w:tcW w:w="3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 Rumson</w:t>
            </w:r>
          </w:p>
        </w:tc>
        <w:tc>
          <w:tcPr>
            <w:tcW w:w="0" w:type="dxa"/>
            <w:vAlign w:val="bottom"/>
          </w:tcPr>
          <w:p>
            <w:pPr>
              <w:spacing w:after="0"/>
              <w:rPr>
                <w:sz w:val="1"/>
                <w:szCs w:val="1"/>
                <w:color w:val="auto"/>
              </w:rPr>
            </w:pPr>
          </w:p>
        </w:tc>
      </w:tr>
      <w:tr>
        <w:trPr>
          <w:trHeight w:val="173"/>
        </w:trPr>
        <w:tc>
          <w:tcPr>
            <w:tcW w:w="25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Omniglobe</w:t>
            </w: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Hitters, L.L.C.</w:t>
            </w:r>
          </w:p>
        </w:tc>
        <w:tc>
          <w:tcPr>
            <w:tcW w:w="3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Hitters, L.L.C.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 Waldis</w:t>
            </w:r>
          </w:p>
        </w:tc>
        <w:tc>
          <w:tcPr>
            <w:tcW w:w="300" w:type="dxa"/>
            <w:vAlign w:val="bottom"/>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w:t>
            </w: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12.23%</w:t>
            </w:r>
          </w:p>
        </w:tc>
        <w:tc>
          <w:tcPr>
            <w:tcW w:w="3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$95,000</w:t>
            </w:r>
          </w:p>
        </w:tc>
        <w:tc>
          <w:tcPr>
            <w:tcW w:w="3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President and Chief</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Lawrence R. Irving</w:t>
            </w:r>
          </w:p>
        </w:tc>
        <w:tc>
          <w:tcPr>
            <w:tcW w:w="30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000" w:type="dxa"/>
            <w:vAlign w:val="bottom"/>
            <w:gridSpan w:val="2"/>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rPr>
              <w:t>2.58%</w:t>
            </w:r>
          </w:p>
        </w:tc>
        <w:tc>
          <w:tcPr>
            <w:tcW w:w="1500" w:type="dxa"/>
            <w:vAlign w:val="bottom"/>
            <w:gridSpan w:val="2"/>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9"/>
              </w:rPr>
              <w:t>$20,000</w:t>
            </w:r>
          </w:p>
        </w:tc>
        <w:tc>
          <w:tcPr>
            <w:tcW w:w="1800" w:type="dxa"/>
            <w:vAlign w:val="bottom"/>
            <w:gridSpan w:val="2"/>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$20,000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 Berry</w:t>
            </w:r>
          </w:p>
        </w:tc>
        <w:tc>
          <w:tcPr>
            <w:tcW w:w="3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Vice President and Chief</w:t>
            </w:r>
          </w:p>
        </w:tc>
        <w:tc>
          <w:tcPr>
            <w:tcW w:w="10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2.58%</w:t>
            </w:r>
          </w:p>
        </w:tc>
        <w:tc>
          <w:tcPr>
            <w:tcW w:w="15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$20,000</w:t>
            </w:r>
          </w:p>
        </w:tc>
        <w:tc>
          <w:tcPr>
            <w:tcW w:w="18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Officer</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Garcia</w:t>
            </w:r>
          </w:p>
        </w:tc>
        <w:tc>
          <w:tcPr>
            <w:tcW w:w="30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 of</w:t>
            </w:r>
          </w:p>
        </w:tc>
        <w:tc>
          <w:tcPr>
            <w:tcW w:w="1000" w:type="dxa"/>
            <w:vAlign w:val="bottom"/>
            <w:gridSpan w:val="2"/>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rPr>
              <w:t>1.29%</w:t>
            </w:r>
          </w:p>
        </w:tc>
        <w:tc>
          <w:tcPr>
            <w:tcW w:w="1500" w:type="dxa"/>
            <w:vAlign w:val="bottom"/>
            <w:gridSpan w:val="2"/>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w w:val="99"/>
              </w:rPr>
              <w:t>$10,000</w:t>
            </w:r>
          </w:p>
        </w:tc>
        <w:tc>
          <w:tcPr>
            <w:tcW w:w="1800" w:type="dxa"/>
            <w:vAlign w:val="bottom"/>
            <w:gridSpan w:val="2"/>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Product Management and Service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Delivery</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this date, Omniglobe is no longer a related party.</w:t>
      </w:r>
    </w:p>
    <w:p>
      <w:pPr>
        <w:spacing w:after="0" w:line="72"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From March 12, 2004 through June 12, 2006, Omniglobe has paid an aggregate of $1,300 in distributions to all of its interest holders, including Rumson Hitters. In turn, during this period, Rumson Hitters has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72" w:lineRule="exact"/>
        <w:rPr>
          <w:sz w:val="20"/>
          <w:szCs w:val="20"/>
          <w:color w:val="auto"/>
        </w:rPr>
      </w:pPr>
    </w:p>
    <w:p>
      <w:pPr>
        <w:jc w:val="both"/>
        <w:ind w:right="280" w:firstLine="225"/>
        <w:spacing w:after="0" w:line="266" w:lineRule="auto"/>
        <w:rPr>
          <w:sz w:val="20"/>
          <w:szCs w:val="20"/>
          <w:color w:val="auto"/>
        </w:rPr>
      </w:pPr>
      <w:r>
        <w:rPr>
          <w:rFonts w:ascii="Times New Roman" w:cs="Times New Roman" w:eastAsia="Times New Roman" w:hAnsi="Times New Roman"/>
          <w:sz w:val="18"/>
          <w:szCs w:val="18"/>
          <w:color w:val="auto"/>
        </w:rPr>
        <w:t>During the period which the Company’s employees and their family members owned equity interests in Rumson Hitters, the Company paid Omniglobe $2,322 for the three months ended September 30, 2005, and $6,106 and $3,714 for the nine months ended September 30, 2005 and 2006, respectively, for services under its agreements with Omniglobe. At December 31, 2005, amounts due to Omniglobe were $577.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21"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In October 2006, the Company’s board of directors amended the vesting schedule to certain stock options granted to management employees on April 3, 2006. These employees received a number of shares of restricted common stock in exchange for a portion of the original stock options. The Company is currently in the process of evaluating the incremental compensation cost, if any, that this stock option amendment will have on its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15" w:right="2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w:t>
      </w:r>
    </w:p>
    <w:p>
      <w:pPr>
        <w:spacing w:after="0" w:line="43"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sectPr>
          <w:pgSz w:w="11900" w:h="16838" w:orient="portrait"/>
          <w:cols w:equalWidth="0" w:num="2">
            <w:col w:w="3260" w:space="720"/>
            <w:col w:w="7420"/>
          </w:cols>
          <w:pgMar w:left="240" w:top="415" w:right="259" w:bottom="1440" w:gutter="0" w:footer="0" w:header="0"/>
          <w:type w:val="continuous"/>
        </w:sectPr>
      </w:pPr>
    </w:p>
    <w:p>
      <w:pPr>
        <w:ind w:right="80" w:firstLine="218"/>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information set forth in our financial statements and related notes included elsewhere in this quarterly report on Form 10-Q. All numbers are expressed in thousands unless otherwise stated.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our Registration Statement on Form S-1, as amended (Registration No. 333-132080), which was filed with the Securities and Exchange Commission (“SEC”) and declared effective on June 14, 2006. Our actual results may differ materially from those contained in or implied by any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2"/>
        <w:spacing w:after="0" w:line="272" w:lineRule="auto"/>
        <w:rPr>
          <w:sz w:val="20"/>
          <w:szCs w:val="20"/>
          <w:color w:val="auto"/>
        </w:rPr>
      </w:pPr>
      <w:r>
        <w:rPr>
          <w:rFonts w:ascii="Times New Roman" w:cs="Times New Roman" w:eastAsia="Times New Roman" w:hAnsi="Times New Roman"/>
          <w:sz w:val="17"/>
          <w:szCs w:val="17"/>
          <w:color w:val="auto"/>
        </w:rPr>
        <w:t>We are a leading provider of e-commerce transaction management solutions to the communications services marketplace based on our penetration with key communications service providers (“CSPs”). Our proprietary on-demand software platform enables CSPs to take, manage and provision orders and other customer-oriented transactions and create complex service bundles. We target complex and high-growth industry segments including wireless, Voice over Internet Protocol (“VoIP”), wireline and other markets. We have designed our solution to be flexible, allowing us to meet the rapidly changing and converging services offered by CSPs. By simplifying technological complexities through the automation and integration of disparate systems, we enable CSPs to acquire, retain and service customers quickly, reliably and cost-effectively. Our industry-leading customers include Cingular Wireless, Vonage Holdings, Cablevision Systems, Level 3 Communications, Verizon Business, Clearwire, 360networks, Time Warner Cable, Comcast, AT&amp;T, SunRocket, Covad and deltathree. Our CSP customers use our platform and technology to service both consumer and business customers, including over 300 of the Fortune 500 companies.</w:t>
      </w:r>
    </w:p>
    <w:p>
      <w:pPr>
        <w:spacing w:after="0" w:line="64"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We generate a substantial portion of our revenues on a per-transaction basis, most of which is derived from long-term contracts. For the three months ended September 30, 2006, we derived approximately 87% of our revenues from transactions processed. For the nine months ended September 30, 2006, we derived approximately 86% of our revenues from transactions processed. The remainder of our revenues was generated from professional services and subscription revenues, which have been decreasing as a percentage of our net revenues. We expect that this trend will continue and that we will derive an increasing percentage of our net revenues from transaction processing in future years.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costs and expenses consist of cost of services, research and development, selling, general and administrative and depreciation and amortization.</w:t>
      </w:r>
    </w:p>
    <w:p>
      <w:pPr>
        <w:spacing w:after="0" w:line="117"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76" w:lineRule="exact"/>
        <w:rPr>
          <w:sz w:val="20"/>
          <w:szCs w:val="20"/>
          <w:color w:val="auto"/>
        </w:rPr>
      </w:pPr>
    </w:p>
    <w:p>
      <w:pPr>
        <w:ind w:right="300" w:firstLine="22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costs related to personnel, including salaries and other personnel-related expenses, consulting fees and the costs of facilities, computer and support services used in service and technology development. We also expense costs relating to developing modifications to and enhancements of our existing technology and services.</w:t>
      </w:r>
    </w:p>
    <w:p>
      <w:pPr>
        <w:spacing w:after="0" w:line="68"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Selling expense consists of personnel costs including salaries and other personnel-related expenses, sales commissions, sales operations, travel and related expenses, trade shows, costs of communications equipment and support services, facilities costs, consulting fees and costs of marketing programs, such as Internet and print. General and administrative expense consists primarily of salaries and other personnel-related expenses for our executive, administrative, legal, finance and human resources functions, facilities costs, professional services fees, certain audit, tax and license fees and bad debt expense.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and amortization relates to our property and equipment and includes our network infrastructure and facilities related to our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 Affecting Our Results of Operations</w:t>
      </w:r>
    </w:p>
    <w:p>
      <w:pPr>
        <w:spacing w:after="0" w:line="121"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We have experienced increased demand for our services, which has been driven by market trends such as local number portability, the implementation of new technologies, such as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wireless customers and services, local number portability services and VoIP services.</w:t>
      </w:r>
    </w:p>
    <w:p>
      <w:pPr>
        <w:spacing w:after="0" w:line="72" w:lineRule="exact"/>
        <w:rPr>
          <w:sz w:val="20"/>
          <w:szCs w:val="20"/>
          <w:color w:val="auto"/>
        </w:rPr>
      </w:pPr>
    </w:p>
    <w:p>
      <w:pPr>
        <w:ind w:right="180" w:firstLine="222"/>
        <w:spacing w:after="0" w:line="261" w:lineRule="auto"/>
        <w:rPr>
          <w:sz w:val="20"/>
          <w:szCs w:val="20"/>
          <w:color w:val="auto"/>
        </w:rPr>
      </w:pPr>
      <w:r>
        <w:rPr>
          <w:rFonts w:ascii="Times New Roman" w:cs="Times New Roman" w:eastAsia="Times New Roman" w:hAnsi="Times New Roman"/>
          <w:sz w:val="18"/>
          <w:szCs w:val="18"/>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72"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In 2005, we were able to utilize a portion of our net operating loss carryforwards from previous years to offset taxable income and income tax expense related to U.S. federal and state income taxes. For the fourth quarter of 2005, these carryforwards were reflected as a tax benefit and will reduce taxes payable in the current year. Beginning in 2006, we expect our earnings to be subject to an effective tax rate of approximately 41.9%.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and correct, actual results may differ from those estimates.</w:t>
      </w:r>
    </w:p>
    <w:p>
      <w:pPr>
        <w:spacing w:after="0" w:line="77"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121" w:lineRule="exact"/>
        <w:rPr>
          <w:sz w:val="20"/>
          <w:szCs w:val="20"/>
          <w:color w:val="auto"/>
        </w:rPr>
      </w:pPr>
    </w:p>
    <w:p>
      <w:pPr>
        <w:ind w:right="520" w:firstLine="222"/>
        <w:spacing w:after="0" w:line="282" w:lineRule="auto"/>
        <w:rPr>
          <w:sz w:val="20"/>
          <w:szCs w:val="20"/>
          <w:color w:val="auto"/>
        </w:rPr>
      </w:pPr>
      <w:r>
        <w:rPr>
          <w:rFonts w:ascii="Times New Roman" w:cs="Times New Roman" w:eastAsia="Times New Roman" w:hAnsi="Times New Roman"/>
          <w:sz w:val="18"/>
          <w:szCs w:val="18"/>
          <w:color w:val="auto"/>
        </w:rPr>
        <w:t>We provide services principally on a transactional basis or, at times, on a fixed fee basis and recognize the revenues as the services are performed or delivered as discussed below:</w:t>
      </w:r>
    </w:p>
    <w:p>
      <w:pPr>
        <w:spacing w:after="0" w:line="50" w:lineRule="exact"/>
        <w:rPr>
          <w:sz w:val="20"/>
          <w:szCs w:val="20"/>
          <w:color w:val="auto"/>
        </w:rPr>
      </w:pPr>
    </w:p>
    <w:p>
      <w:pPr>
        <w:jc w:val="both"/>
        <w:ind w:right="20" w:firstLine="22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Transactional Service Arrangements: </w:t>
      </w:r>
      <w:r>
        <w:rPr>
          <w:rFonts w:ascii="Times New Roman" w:cs="Times New Roman" w:eastAsia="Times New Roman" w:hAnsi="Times New Roman"/>
          <w:sz w:val="18"/>
          <w:szCs w:val="18"/>
          <w:color w:val="auto"/>
        </w:rPr>
        <w:t>Transaction revenues consist of revenues derived from the processing of transactions through our service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represented approximately 83% and 87% of our revenues for the three months ended September 30, 2005 and 2006, respectively, and approximately 81% and 86% for the nine months ended September 30, 2005 and 2006, respectively. Transaction service arrangements include services such as equipment orders, new account set-up, number port requests, credit checks and inventory management.</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Transaction revenues are principally based on a set price per transaction and are recognized based on the number of transactions processed during each reporting period. For these contracts, revenues are recorded based on the total number of transactions processed at the applicable price established in the relevant contract. The total amount of revenues recognized is based primarily on the volume of transactions. At times, transaction revenues may also include billings to customers based on the number of individuals dedicated to processing transactions. For these contracts we record revenues based on the applicable hourly rate per employee for each reporting period.</w:t>
      </w:r>
    </w:p>
    <w:p>
      <w:pPr>
        <w:spacing w:after="0" w:line="76"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Many of our contracts guarantee minimum volume transactions from the customer. In these instances, if the customer’s total transaction volume for the period is less than the contractual amount, we record revenues at the minimum guaranteed amount.</w:t>
      </w:r>
    </w:p>
    <w:p>
      <w:pPr>
        <w:spacing w:after="0" w:line="54" w:lineRule="exact"/>
        <w:rPr>
          <w:sz w:val="20"/>
          <w:szCs w:val="20"/>
          <w:color w:val="auto"/>
        </w:rPr>
      </w:pPr>
    </w:p>
    <w:p>
      <w:pPr>
        <w:ind w:right="400" w:firstLine="225"/>
        <w:spacing w:after="0" w:line="282" w:lineRule="auto"/>
        <w:rPr>
          <w:sz w:val="20"/>
          <w:szCs w:val="20"/>
          <w:color w:val="auto"/>
        </w:rPr>
      </w:pPr>
      <w:r>
        <w:rPr>
          <w:rFonts w:ascii="Times New Roman" w:cs="Times New Roman" w:eastAsia="Times New Roman" w:hAnsi="Times New Roman"/>
          <w:sz w:val="18"/>
          <w:szCs w:val="18"/>
          <w:color w:val="auto"/>
        </w:rPr>
        <w:t>Set-up fees for transactional service arrangements are deferred and recognized on a straight-line basis over the life of the contract since these amounts would not have been paid by the customer without the related transactional service arrangement.</w:t>
      </w:r>
    </w:p>
    <w:p>
      <w:pPr>
        <w:spacing w:after="0" w:line="54" w:lineRule="exact"/>
        <w:rPr>
          <w:sz w:val="20"/>
          <w:szCs w:val="20"/>
          <w:color w:val="auto"/>
        </w:rPr>
      </w:pPr>
    </w:p>
    <w:p>
      <w:pPr>
        <w:ind w:right="580" w:firstLine="225"/>
        <w:spacing w:after="0" w:line="282" w:lineRule="auto"/>
        <w:rPr>
          <w:sz w:val="20"/>
          <w:szCs w:val="20"/>
          <w:color w:val="auto"/>
        </w:rPr>
      </w:pPr>
      <w:r>
        <w:rPr>
          <w:rFonts w:ascii="Times New Roman" w:cs="Times New Roman" w:eastAsia="Times New Roman" w:hAnsi="Times New Roman"/>
          <w:sz w:val="18"/>
          <w:szCs w:val="18"/>
          <w:color w:val="auto"/>
        </w:rPr>
        <w:t>Revenues are presented net of a provision for discounts, which are customer volume level driven, or credits, which are performance driven, and are determined in the period in which the volume thresholds are met or the services are provided.</w:t>
      </w:r>
    </w:p>
    <w:p>
      <w:pPr>
        <w:spacing w:after="0" w:line="54" w:lineRule="exact"/>
        <w:rPr>
          <w:sz w:val="20"/>
          <w:szCs w:val="20"/>
          <w:color w:val="auto"/>
        </w:rPr>
      </w:pPr>
    </w:p>
    <w:p>
      <w:pPr>
        <w:ind w:right="400" w:firstLine="225"/>
        <w:spacing w:after="0" w:line="282" w:lineRule="auto"/>
        <w:rPr>
          <w:sz w:val="20"/>
          <w:szCs w:val="20"/>
          <w:color w:val="auto"/>
        </w:rPr>
      </w:pPr>
      <w:r>
        <w:rPr>
          <w:rFonts w:ascii="Times New Roman" w:cs="Times New Roman" w:eastAsia="Times New Roman" w:hAnsi="Times New Roman"/>
          <w:sz w:val="18"/>
          <w:szCs w:val="18"/>
          <w:color w:val="auto"/>
        </w:rPr>
        <w:t>Deferred revenues represent billings to customers for services in advance of the performance of services, with revenues recognized as the services are rendered.</w:t>
      </w:r>
    </w:p>
    <w:p>
      <w:pPr>
        <w:spacing w:after="0" w:line="50" w:lineRule="exact"/>
        <w:rPr>
          <w:sz w:val="20"/>
          <w:szCs w:val="20"/>
          <w:color w:val="auto"/>
        </w:rPr>
      </w:pPr>
    </w:p>
    <w:p>
      <w:pPr>
        <w:ind w:right="200" w:firstLine="22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Service Arrangements: </w:t>
      </w:r>
      <w:r>
        <w:rPr>
          <w:rFonts w:ascii="Times New Roman" w:cs="Times New Roman" w:eastAsia="Times New Roman" w:hAnsi="Times New Roman"/>
          <w:sz w:val="18"/>
          <w:szCs w:val="18"/>
          <w:color w:val="auto"/>
        </w:rPr>
        <w:t>Subscription service arrangements represented approximately 6% and 1% of our revenues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2005 and 2006, respectively, and approximately 7% and 2% of our revenues for the nine months ended September 30, 2005 and 2006, respectively, and relate principally to our ActivationNow</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service which the customer accesses through a graphical user interface. We record revenues on a straight-line basis over the life of the contract for our subscription service contracts.</w:t>
      </w:r>
    </w:p>
    <w:p>
      <w:pPr>
        <w:spacing w:after="0" w:line="69" w:lineRule="exact"/>
        <w:rPr>
          <w:sz w:val="20"/>
          <w:szCs w:val="20"/>
          <w:color w:val="auto"/>
        </w:rPr>
      </w:pPr>
    </w:p>
    <w:p>
      <w:pPr>
        <w:ind w:right="20"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Service and Other Service Arrangements: </w:t>
      </w:r>
      <w:r>
        <w:rPr>
          <w:rFonts w:ascii="Times New Roman" w:cs="Times New Roman" w:eastAsia="Times New Roman" w:hAnsi="Times New Roman"/>
          <w:sz w:val="18"/>
          <w:szCs w:val="18"/>
          <w:color w:val="auto"/>
        </w:rPr>
        <w:t>Professional services and other service revenues represented approximately 11% and 12%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for the three months ended September 30, 2005 and 2006, respectively, and approximately 12% of our revenues for the nine months ended September 30, 2005 and 2006, respectively. Professional services, when sold with transactional service arrangements, are accounted for separately when these services have value to the customer on a standalone basis and there is objective and reliable evidence of the fair value of each deliverable. When accounted for separately, professional service (i.e. consulting services) revenues are recognized on a monthly basis, as services are performed and billed, according to the terms of the contract.</w:t>
      </w:r>
    </w:p>
    <w:p>
      <w:pPr>
        <w:spacing w:after="0" w:line="79"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determining whether professional services can be accounted for separately from transaction support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72" w:lineRule="exact"/>
        <w:rPr>
          <w:sz w:val="20"/>
          <w:szCs w:val="20"/>
          <w:color w:val="auto"/>
        </w:rPr>
      </w:pPr>
    </w:p>
    <w:p>
      <w:pPr>
        <w:jc w:val="both"/>
        <w:ind w:right="440" w:firstLine="225"/>
        <w:spacing w:after="0" w:line="282" w:lineRule="auto"/>
        <w:rPr>
          <w:sz w:val="20"/>
          <w:szCs w:val="20"/>
          <w:color w:val="auto"/>
        </w:rPr>
      </w:pPr>
      <w:r>
        <w:rPr>
          <w:rFonts w:ascii="Times New Roman" w:cs="Times New Roman" w:eastAsia="Times New Roman" w:hAnsi="Times New Roman"/>
          <w:sz w:val="18"/>
          <w:szCs w:val="18"/>
          <w:color w:val="auto"/>
        </w:rPr>
        <w:t>If a professional service arrangement does not qualify for separate accounting, we would recognize the professional service revenues ratably over the remaining term of the transaction contract. There were no such arrangements for the three or nine months ended September 30, 2006 and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Level Standards</w:t>
      </w:r>
    </w:p>
    <w:p>
      <w:pPr>
        <w:spacing w:after="0" w:line="121" w:lineRule="exact"/>
        <w:rPr>
          <w:sz w:val="20"/>
          <w:szCs w:val="20"/>
          <w:color w:val="auto"/>
        </w:rPr>
      </w:pPr>
    </w:p>
    <w:p>
      <w:pPr>
        <w:jc w:val="both"/>
        <w:ind w:right="460" w:firstLine="225"/>
        <w:spacing w:after="0" w:line="266" w:lineRule="auto"/>
        <w:rPr>
          <w:sz w:val="20"/>
          <w:szCs w:val="20"/>
          <w:color w:val="auto"/>
        </w:rPr>
      </w:pPr>
      <w:r>
        <w:rPr>
          <w:rFonts w:ascii="Times New Roman" w:cs="Times New Roman" w:eastAsia="Times New Roman" w:hAnsi="Times New Roman"/>
          <w:sz w:val="18"/>
          <w:szCs w:val="18"/>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ind w:right="60" w:firstLine="222"/>
        <w:spacing w:after="0" w:line="258"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We record a valuation allowance on our deferred tax assets when it is more likely than not that an asset will not be realized. Determining when we will recognize our deferred tax assets is a matter of judgment based on facts and circumstances. We determined that it was appropriate to record our deferred tax assets at full value during the fourth quarter of 2005 as well as for the nine months ended September 30, 2006, based on our recent cumulative earnings history and our expected future earnings. However, if there were a significant change in facts, such as a loss of a significant customer, we may determine that a valuation allowance is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SFAS No. 123(R)</w:t>
      </w:r>
    </w:p>
    <w:p>
      <w:pPr>
        <w:spacing w:after="0" w:line="119"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2006, we adopted Statement of Financial Accounting Standards (“SFAS”)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which requires compensation costs related to share-based transactions, including employee stock options, to be recognized in the financial statements based on fair value. SFAS 123(R) revises SFAS No. 123, as amended,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(“SFAS 123”), and supersedes Accounting Principles Board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(“APB 25”). We adopted SFAS 123(R) using the prospective method. Under this method, compensation cost is recognized pursuant to SFAS 123(R) for all share-based payments granted subsequent to December 31, 2005. Prior to January 1, 2006, we used the minimum value method to determine values of our pro forma stock-based compensation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firstLine="215"/>
        <w:spacing w:after="0" w:line="254" w:lineRule="auto"/>
        <w:rPr>
          <w:sz w:val="20"/>
          <w:szCs w:val="20"/>
          <w:color w:val="auto"/>
        </w:rPr>
      </w:pPr>
      <w:r>
        <w:rPr>
          <w:rFonts w:ascii="Times New Roman" w:cs="Times New Roman" w:eastAsia="Times New Roman" w:hAnsi="Times New Roman"/>
          <w:sz w:val="18"/>
          <w:szCs w:val="18"/>
          <w:color w:val="auto"/>
        </w:rPr>
        <w:t>As of September 30, 2006, we maintain two stock-based compensation plans, which are described more fully in Note 9 to the financial statements. Prior to January 1, 2006, we accounted for our stock-based compensation plan under the recognition and measurement provisions of APB 25 and related interpretations, as permitted by SFAS 123. Stock-based employee compensation cost was recognized in the statement of operations for 2005 to the extent options granted under the plan had an exercise price that was less than the fair market value of the underlying common stock on the date of grant. Under the prospective transition method, compensation cost recognized for all share-based payments granted subsequent to January 1, 2006 is based on the grant-date fair value estimated in accordance with the provisions of SFAS 123(R). Results for prior periods have not been restated. As a result of adopting SFAS 123(R) on January 1, 2006, approximately $0.1 million relating to stock-based employee compensation cost for stock options and restricted stock awards is reflected in net income for the three months ended September 30, 2006. Approximately $0.3 million relating to stock-based employee compensation cost for stock options and restricted stock awards is reflected in net income for the nine months ended September 30, 2006.</w:t>
      </w:r>
    </w:p>
    <w:p>
      <w:pPr>
        <w:spacing w:after="0" w:line="81"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Prior to the adoption of SFAS 123(R), we presented our unamortized portion of deferred compensation cost for non-vested stock options in the statement of changes in shareholders’ deficiency with a corresponding credit to additional paid-in capital. Upon the adoption of SFAS 123(R), these amounts 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76" w:lineRule="exact"/>
        <w:rPr>
          <w:sz w:val="20"/>
          <w:szCs w:val="20"/>
          <w:color w:val="auto"/>
        </w:rPr>
      </w:pPr>
    </w:p>
    <w:p>
      <w:pPr>
        <w:ind w:right="80" w:firstLine="225"/>
        <w:spacing w:after="0" w:line="277" w:lineRule="auto"/>
        <w:rPr>
          <w:sz w:val="20"/>
          <w:szCs w:val="20"/>
          <w:color w:val="auto"/>
        </w:rPr>
      </w:pPr>
      <w:r>
        <w:rPr>
          <w:rFonts w:ascii="Times New Roman" w:cs="Times New Roman" w:eastAsia="Times New Roman" w:hAnsi="Times New Roman"/>
          <w:sz w:val="17"/>
          <w:szCs w:val="17"/>
          <w:color w:val="auto"/>
        </w:rPr>
        <w:t>Upon adoption of SFAS 123(R), we selected the Black-Scholes option pricing model as the most appropriate model for determining the estimated fair value for stock-based awards. The fair value of stock option awards subsequent to December 31, 2005 is amortized on a straight-line basis over the requisite service periods of the awards, which is generally the vesting period. Use of a valuation model requires management to make certain assumptions with respect to selected model inputs. Expected volatility was calculated based on a blended weighted-average of historical information of our stock and the weighted average of historical information of similar public entities for which historical information was available. We will continue to use a blended weighted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average approach using our own historical volatility and other similar public entity volatility information until our historical volatility is relevant to measure expected volatility for future option grants. The average expected life was determined according to the SEC shortcut approach as described in Staff Accounting Bulletin (“SAB”) 107, </w:t>
      </w:r>
      <w:r>
        <w:rPr>
          <w:rFonts w:ascii="Times New Roman" w:cs="Times New Roman" w:eastAsia="Times New Roman" w:hAnsi="Times New Roman"/>
          <w:sz w:val="18"/>
          <w:szCs w:val="18"/>
          <w:i w:val="1"/>
          <w:iCs w:val="1"/>
          <w:color w:val="auto"/>
        </w:rPr>
        <w:t>Disclosure about Fair Value of Financial Instruments</w:t>
      </w:r>
      <w:r>
        <w:rPr>
          <w:rFonts w:ascii="Times New Roman" w:cs="Times New Roman" w:eastAsia="Times New Roman" w:hAnsi="Times New Roman"/>
          <w:sz w:val="18"/>
          <w:szCs w:val="18"/>
          <w:color w:val="auto"/>
        </w:rPr>
        <w:t>, which is the mid-point between the vesting date and the end of the contractual term. The risk-free interest rate is based on U.S. Treasury zero-coupon issues with a remaining term equal to the expected life assumed at the date of grant. Forfeitures are estimated based on voluntary termination behavior, as well as a historical analysis of actual option forfeitures.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4500" w:type="dxa"/>
            <w:vAlign w:val="bottom"/>
            <w:gridSpan w:val="3"/>
          </w:tcPr>
          <w:p>
            <w:pPr>
              <w:jc w:val="center"/>
              <w:ind w:left="20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700" w:type="dxa"/>
            <w:vAlign w:val="bottom"/>
          </w:tcPr>
          <w:p>
            <w:pPr>
              <w:spacing w:after="0"/>
              <w:rPr>
                <w:sz w:val="15"/>
                <w:szCs w:val="15"/>
                <w:color w:val="auto"/>
              </w:rPr>
            </w:pPr>
          </w:p>
        </w:tc>
        <w:tc>
          <w:tcPr>
            <w:tcW w:w="3960" w:type="dxa"/>
            <w:vAlign w:val="bottom"/>
            <w:gridSpan w:val="2"/>
          </w:tcPr>
          <w:p>
            <w:pPr>
              <w:jc w:val="center"/>
              <w:ind w:left="2594"/>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5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Incentive Stock Options (“ISOs”)</w:t>
            </w:r>
          </w:p>
        </w:tc>
        <w:tc>
          <w:tcPr>
            <w:tcW w:w="26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3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6.25</w:t>
            </w:r>
          </w:p>
        </w:tc>
        <w:tc>
          <w:tcPr>
            <w:tcW w:w="540" w:type="dxa"/>
            <w:vAlign w:val="bottom"/>
          </w:tcPr>
          <w:p>
            <w:pPr>
              <w:spacing w:after="0"/>
              <w:rPr>
                <w:sz w:val="18"/>
                <w:szCs w:val="18"/>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Non-Qualified Stock Options (“NSOs”)</w:t>
            </w: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3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6.00 – 6.25</w:t>
            </w: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issued during the three months ended September 30, 2006 .</w:t>
      </w:r>
    </w:p>
    <w:p>
      <w:pPr>
        <w:spacing w:after="0" w:line="117" w:lineRule="exact"/>
        <w:rPr>
          <w:sz w:val="20"/>
          <w:szCs w:val="20"/>
          <w:color w:val="auto"/>
        </w:rPr>
      </w:pPr>
    </w:p>
    <w:p>
      <w:pPr>
        <w:ind w:right="280" w:firstLine="222"/>
        <w:spacing w:after="0" w:line="261" w:lineRule="auto"/>
        <w:rPr>
          <w:sz w:val="20"/>
          <w:szCs w:val="20"/>
          <w:color w:val="auto"/>
        </w:rPr>
      </w:pPr>
      <w:r>
        <w:rPr>
          <w:rFonts w:ascii="Times New Roman" w:cs="Times New Roman" w:eastAsia="Times New Roman" w:hAnsi="Times New Roman"/>
          <w:sz w:val="18"/>
          <w:szCs w:val="18"/>
          <w:color w:val="auto"/>
        </w:rPr>
        <w:t>The weighted-average fair value (as of the date of grant) of the options granted for the three months ended September 30, 2006 was $3.66 for ISOs (the only type of options issued during that period) and $4.04 and $4.37 per share for ISOs and NSOs, respectively, for the nine months ended September 30,</w:t>
      </w:r>
    </w:p>
    <w:p>
      <w:pPr>
        <w:spacing w:after="0" w:line="255" w:lineRule="auto"/>
        <w:rPr>
          <w:sz w:val="20"/>
          <w:szCs w:val="20"/>
          <w:color w:val="auto"/>
        </w:rPr>
      </w:pPr>
      <w:r>
        <w:rPr>
          <w:rFonts w:ascii="Times New Roman" w:cs="Times New Roman" w:eastAsia="Times New Roman" w:hAnsi="Times New Roman"/>
          <w:sz w:val="18"/>
          <w:szCs w:val="18"/>
          <w:color w:val="auto"/>
        </w:rPr>
        <w:t>2006. Beginning in 2006, in certain cases, we granted members of our board of directors and certain employees NSOs in addition to ISOs. The total stock-based compensation cost related to non-vested stock options, non-vested restricted stock and stock option awards not yet recognized as of September 30, 2006 was approximately $3.0 million.</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nine months ended September 30, 2006 we granted stock options and restricted stock with exercise prices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3"/>
                <w:szCs w:val="13"/>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540" w:type="dxa"/>
            <w:vAlign w:val="bottom"/>
          </w:tcPr>
          <w:p>
            <w:pPr>
              <w:spacing w:after="0"/>
              <w:rPr>
                <w:sz w:val="12"/>
                <w:szCs w:val="12"/>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Grant</w:t>
            </w:r>
          </w:p>
        </w:tc>
        <w:tc>
          <w:tcPr>
            <w:tcW w:w="2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10, 2006</w:t>
            </w: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ISOs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February 10, 2006</w:t>
            </w:r>
          </w:p>
        </w:tc>
        <w:tc>
          <w:tcPr>
            <w:tcW w:w="5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NSOs</w:t>
            </w: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 2006</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ISOs</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April 3, 2006</w:t>
            </w:r>
          </w:p>
        </w:tc>
        <w:tc>
          <w:tcPr>
            <w:tcW w:w="5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NSOs</w:t>
            </w: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646</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 2006</w:t>
            </w:r>
          </w:p>
        </w:tc>
        <w:tc>
          <w:tcPr>
            <w:tcW w:w="198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April 5, 2006</w:t>
            </w:r>
          </w:p>
        </w:tc>
        <w:tc>
          <w:tcPr>
            <w:tcW w:w="198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2006</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ISOs</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July 31, 2006</w:t>
            </w:r>
          </w:p>
        </w:tc>
        <w:tc>
          <w:tcPr>
            <w:tcW w:w="5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ISOs</w:t>
            </w:r>
          </w:p>
        </w:tc>
        <w:tc>
          <w:tcPr>
            <w:tcW w:w="11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2006</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ISOs</w:t>
            </w:r>
          </w:p>
        </w:tc>
        <w:tc>
          <w:tcPr>
            <w:tcW w:w="11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 exercise prices for options granted in 2006 were set by our board of directors, with input from our management, based on our determination of the fair market value of our common stock at the time of the grants.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56" w:lineRule="auto"/>
        <w:rPr>
          <w:sz w:val="20"/>
          <w:szCs w:val="20"/>
          <w:color w:val="auto"/>
        </w:rPr>
      </w:pPr>
      <w:r>
        <w:rPr>
          <w:rFonts w:ascii="Times New Roman" w:cs="Times New Roman" w:eastAsia="Times New Roman" w:hAnsi="Times New Roman"/>
          <w:sz w:val="18"/>
          <w:szCs w:val="18"/>
          <w:color w:val="auto"/>
        </w:rPr>
        <w:t>On April 5, 2006, our board of directors initiated an exchange offer to certain employees who received stock options with an exercise price less than the fair market value. Under the terms of the offer, such employees were given the opportunity to exchange their options for new options with exercise prices equal to fair value at the time of the grant. We have evaluated and determined that there was no incremental compensation expense associated with these modifications. In addition, these employees also received a number of shares of restricted common stock having a value equal to the amount by which the aggregate exercise price of the new stock option exceeded the aggregate price of the exchanged option. On April 5, 2006, we granted 116 shares of restricted stock at a value determined by our board of directors of $8.98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2006 compared to the three months ended September 30, 2005</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the three months ended September 30, 2005 and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left="317"/>
              <w:spacing w:after="0" w:line="142" w:lineRule="exact"/>
              <w:rPr>
                <w:sz w:val="20"/>
                <w:szCs w:val="20"/>
                <w:color w:val="auto"/>
              </w:rPr>
            </w:pPr>
            <w:r>
              <w:rPr>
                <w:rFonts w:ascii="Times New Roman" w:cs="Times New Roman" w:eastAsia="Times New Roman" w:hAnsi="Times New Roman"/>
                <w:sz w:val="14"/>
                <w:szCs w:val="14"/>
                <w:b w:val="1"/>
                <w:bCs w:val="1"/>
                <w:color w:val="auto"/>
              </w:rPr>
              <w:t>2005 vs. 2006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660" w:type="dxa"/>
            <w:vAlign w:val="bottom"/>
          </w:tcPr>
          <w:p>
            <w:pPr>
              <w:jc w:val="right"/>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10"/>
                <w:szCs w:val="10"/>
                <w:color w:val="auto"/>
              </w:rPr>
            </w:pPr>
          </w:p>
        </w:tc>
        <w:tc>
          <w:tcPr>
            <w:tcW w:w="10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68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8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$ 18,909</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42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 (excluding depreciation</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amortization shown separately</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7,976</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56.5%</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8,685</w:t>
            </w:r>
          </w:p>
        </w:tc>
        <w:tc>
          <w:tcPr>
            <w:tcW w:w="1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1,614</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1,716</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c>
          <w:tcPr>
            <w:tcW w:w="1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2,185</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4,366</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40" w:firstLine="2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w:t>
      </w:r>
      <w:r>
        <w:rPr>
          <w:rFonts w:ascii="Times New Roman" w:cs="Times New Roman" w:eastAsia="Times New Roman" w:hAnsi="Times New Roman"/>
          <w:sz w:val="18"/>
          <w:szCs w:val="18"/>
          <w:color w:val="auto"/>
        </w:rPr>
        <w:t>Net revenues increased $4.8 million to $18.9 million for the three months ended September 30, 2006, compared to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2005. This increase includes the following: $2.2 million of additional revenues from existing customers and $2.6 million related to additional revenues generated by new CSP customers added since 2005. Transaction revenues recognized for the three months ended September 30, 2006 represented 87% of net revenues compared to 83% for the same period in 2005. The increase in transaction revenues of $4.7 million was partially offset by some decreases in subscription revenues. LNP and VoIP transactions accounted for $6.7 million of our revenues during the three months ended September 30, 2006, as compared to $3.4 million for the corresponding period last year. These additional revenues were offset by decreases in revenues from wireline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w:t>
      </w:r>
    </w:p>
    <w:p>
      <w:pPr>
        <w:spacing w:after="0" w:line="117" w:lineRule="exact"/>
        <w:rPr>
          <w:sz w:val="20"/>
          <w:szCs w:val="20"/>
          <w:color w:val="auto"/>
        </w:rPr>
      </w:pPr>
    </w:p>
    <w:p>
      <w:pPr>
        <w:ind w:right="240"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increased $0.7 million to $8.7 million for the three months ended September 30, 2006, compared to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2005, due primarily to the growth in personnel costs required to support higher transaction volumes submitted to us by our customers and increases in telecommunication costs. In particular, personnel and related costs increased $0.6 million to manage exception handling. Also, additional telecommunication expense in our data facilities contributed approximately $0.2 million to the increase in cost of services. In addition, stock-based compensation expense increased $0.1 million due to the adoption of SFAS 123(R). All of these increases were partially offset by a reduction in third-party consulting services costs of approximately $0.3 million. Cost of services as a percentage of revenues decreased to 45.9% for the three months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ended September 30, 2006, as compared to 56.5% for the three months ended September 30, 2005. We are continuing to realize the benefits and efficiencies gained by increased automation rates in both existing and new customers.</w:t>
      </w:r>
    </w:p>
    <w:p>
      <w:pPr>
        <w:spacing w:after="0" w:line="50" w:lineRule="exact"/>
        <w:rPr>
          <w:sz w:val="20"/>
          <w:szCs w:val="20"/>
          <w:color w:val="auto"/>
        </w:rPr>
      </w:pPr>
    </w:p>
    <w:p>
      <w:pPr>
        <w:ind w:firstLine="22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increased $0.3 million to $1.9 million for the three months ended September 30,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three months ended September 30, 2005, due to the continued investment in and further development of the ActivationNow</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to enhance our service offerings, particularly regarding VoIP services and increases in automation that have continued to allow us to gain operational efficiencies. Research and development expense as a percentage of revenues decreased to 10.2% for the three months ended September 30, 2006, as compared to 11.4% for the three months ended September 30, 2005.</w:t>
      </w:r>
    </w:p>
    <w:p>
      <w:pPr>
        <w:spacing w:after="0" w:line="72" w:lineRule="exact"/>
        <w:rPr>
          <w:sz w:val="20"/>
          <w:szCs w:val="20"/>
          <w:color w:val="auto"/>
        </w:rPr>
      </w:pPr>
    </w:p>
    <w:p>
      <w:pPr>
        <w:ind w:right="260" w:firstLine="2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$1.4 million to $3.1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2006, compared to the three months ended September 30, 2005, due to increases in personnel and related costs totaling $0.3 million and recruiting costs totaling $0.1 million as a result of the growth of our sales force, and increased expenses of $0.4 million associated with being a public company. In addition, stock-based compensation expense increased $0.1 million due to the adoption of SFAS 123(R). Selling, general and administrative expense as a percentage of revenues increased to 16.3% for the three months ended September 30, 2006, as compared to 12.2% for the three months ended September 30, 2005. We anticipate that our selling, general and administrative expenses will increase on an absolute basis in the future as we incur public company costs and make continued investments in sales and marketing.</w:t>
      </w:r>
    </w:p>
    <w:p>
      <w:pPr>
        <w:spacing w:after="0" w:line="75" w:lineRule="exact"/>
        <w:rPr>
          <w:sz w:val="20"/>
          <w:szCs w:val="20"/>
          <w:color w:val="auto"/>
        </w:rPr>
      </w:pPr>
    </w:p>
    <w:p>
      <w:pPr>
        <w:ind w:right="160" w:firstLine="22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$0.2 million to $0.9 million due to the commencement of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associated with recent fixed asset additions.</w:t>
      </w:r>
    </w:p>
    <w:p>
      <w:pPr>
        <w:spacing w:after="0" w:line="47"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color w:val="auto"/>
        </w:rPr>
        <w:t>Our effective tax rate was 0% and approximately 42.2% during the three months ended September 30, 2005 and 2006,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the effective rate is primarily due to the reversal of our deferred tax asset valuation allowance, which occurred during the fourth quarter of 2005. In addition,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September 30, 2005 and 2006, we recognized approximately $0.0 and $2.3 million in related tax expense,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2006, compared to the nine months ended September 30, 2005</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the nine months ended September 30, 2005 and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Borders>
              <w:bottom w:val="single" w:sz="8" w:color="auto"/>
            </w:tcBorders>
            <w:gridSpan w:val="3"/>
          </w:tcPr>
          <w:p>
            <w:pPr>
              <w:jc w:val="center"/>
              <w:ind w:left="497"/>
              <w:spacing w:after="0" w:line="142" w:lineRule="exact"/>
              <w:rPr>
                <w:sz w:val="20"/>
                <w:szCs w:val="20"/>
                <w:color w:val="auto"/>
              </w:rPr>
            </w:pPr>
            <w:r>
              <w:rPr>
                <w:rFonts w:ascii="Times New Roman" w:cs="Times New Roman" w:eastAsia="Times New Roman" w:hAnsi="Times New Roman"/>
                <w:sz w:val="14"/>
                <w:szCs w:val="14"/>
                <w:b w:val="1"/>
                <w:bCs w:val="1"/>
                <w:color w:val="auto"/>
              </w:rPr>
              <w:t>2005 vs 2006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660" w:type="dxa"/>
            <w:vAlign w:val="bottom"/>
          </w:tcPr>
          <w:p>
            <w:pPr>
              <w:jc w:val="right"/>
              <w:ind w:right="10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10"/>
                <w:szCs w:val="10"/>
                <w:color w:val="auto"/>
              </w:rPr>
            </w:pPr>
          </w:p>
        </w:tc>
        <w:tc>
          <w:tcPr>
            <w:tcW w:w="10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68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tcPr>
          <w:p>
            <w:pPr>
              <w:spacing w:after="0"/>
              <w:rPr>
                <w:sz w:val="10"/>
                <w:szCs w:val="10"/>
                <w:color w:val="auto"/>
              </w:rPr>
            </w:pPr>
          </w:p>
        </w:tc>
        <w:tc>
          <w:tcPr>
            <w:tcW w:w="14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8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gridSpan w:val="3"/>
            <w:vMerge w:val="continue"/>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$ 39,241</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$ 52,075</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$ 12,834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42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amortization shown separately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22,204</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56.6%</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27,091</w:t>
            </w:r>
          </w:p>
        </w:tc>
        <w:tc>
          <w:tcPr>
            <w:tcW w:w="1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52.0%</w:t>
            </w: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4,019</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5,391</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7,615</w:t>
            </w:r>
          </w:p>
        </w:tc>
        <w:tc>
          <w:tcPr>
            <w:tcW w:w="19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14.6%</w:t>
            </w: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1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84.8%</w:t>
            </w: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5,967</w:t>
            </w:r>
          </w:p>
        </w:tc>
        <w:tc>
          <w:tcPr>
            <w:tcW w:w="1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9,221</w:t>
            </w:r>
          </w:p>
        </w:tc>
        <w:tc>
          <w:tcPr>
            <w:tcW w:w="19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17.7%</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3,254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right="200" w:firstLine="22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w:t>
      </w:r>
      <w:r>
        <w:rPr>
          <w:rFonts w:ascii="Times New Roman" w:cs="Times New Roman" w:eastAsia="Times New Roman" w:hAnsi="Times New Roman"/>
          <w:sz w:val="18"/>
          <w:szCs w:val="18"/>
          <w:color w:val="auto"/>
        </w:rPr>
        <w:t>Net revenues increased $12.8 million to $52.1 million for the nine months ended September 30, 2006, compared to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2005. The increase in revenues for 2006 is primarily related to the contribution from VoIP related customers that were added during the first quarter of 2006, combined with the strongest quarterly transaction volumes in the history of our Cingular relationship in the second quarter of 2006.</w:t>
      </w:r>
    </w:p>
    <w:p>
      <w:pPr>
        <w:ind w:right="160"/>
        <w:spacing w:after="0" w:line="254" w:lineRule="auto"/>
        <w:rPr>
          <w:sz w:val="20"/>
          <w:szCs w:val="20"/>
          <w:color w:val="auto"/>
        </w:rPr>
      </w:pPr>
      <w:r>
        <w:rPr>
          <w:rFonts w:ascii="Times New Roman" w:cs="Times New Roman" w:eastAsia="Times New Roman" w:hAnsi="Times New Roman"/>
          <w:sz w:val="18"/>
          <w:szCs w:val="18"/>
          <w:color w:val="auto"/>
        </w:rPr>
        <w:t>Transaction revenues recognized for the nine months ended September 30, 2006 represented 86% of net revenues compared to 81% for the same period in 2005. This increase accounts for $13.0 million in revenues for the current period, offset by decreases in subscription revenues. For the nine months ended September 30, 2006, LNP and VoIP transactions added $16.3 million to our revenues, as compared to $5.4 million for the nine months ended September 30, 2005. These additional revenues were offset by decreases in revenues from wireline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w:t>
      </w:r>
    </w:p>
    <w:p>
      <w:pPr>
        <w:spacing w:after="0" w:line="117"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increased $4.9 million to $27.1 million for the nine months ended September 30, 2006, compared to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2005, due to growth in third-party costs required to support higher transaction volumes submitted to us by our customers and increases in telecommunication costs. In particular, third-party consulting services costs increased $2.8 million and personnel and related costs increased $0.6 million to manage exception handling. Approximately $3.7 million of the total cost of services was due to services provided from a related party. Also, additional telecommunication expense in our data facilities contributed approximately $0.7 million to the increase in cost of services, and approximately $0.3 million was attributable to additional repairs and maintenance costs associated with some of our fixed assets. In addition, stock-based compensation expense increased $0.2 million due to the adoption of SFAS 123(R). Cost of services as a percentage of revenues decreased to 52.0% for the nine months ended September 30, 2006, as compared to 56.6% for the nine months ended September 30, 2005, due to enhanced automation.</w:t>
      </w:r>
    </w:p>
    <w:p>
      <w:pPr>
        <w:spacing w:after="0" w:line="77"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increased $1.7 million to $5.8 million for the nine months ended September 30,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30, 2005, due to the further development of the ActivationNow</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to enhance our service offerings, particularly regarding VoIP services, and increases in automation that have continued to allow us to gain operational efficiencies. In addition, stock-based compensation expense increased $0.1 million due to the adoption of SFAS 123(R). Research and development expense as a percentage of revenues increased to 11.1% for the nine months ended September 30, 2006, as compared to 10.2% for the nine months ended September 30, 2005. We are continuing to invest in technical staff in order to drive operational efficiencies realized in the cost of services area.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$2.2 million to $7.6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2006, compared to the nine months ended September 30, 2005, due to increases in personnel and related costs totaling $0.6 million and recruiting expenses totaling $0.2 million, increased travel and entertainment of $0.2 million due to the expansion of our sales force and increased expenses of $0.7 million associated with being a public company. In addition, stock-based compensation expense increased $0.2 million due to the adoption of SFAS 123(R). Selling, general and administrative expense as a percentage of revenues increased to 14.6% for the nine months ended September 30, 2006, as compared to 13.7% for the nine months ended September 30, 2005. We anticipate that our selling, general and administrative expenses will increase on an absolute basis in the future as we incur public company costs and make continued investments in sales and marketing.</w:t>
      </w:r>
    </w:p>
    <w:p>
      <w:pPr>
        <w:spacing w:after="0" w:line="75" w:lineRule="exact"/>
        <w:rPr>
          <w:sz w:val="20"/>
          <w:szCs w:val="20"/>
          <w:color w:val="auto"/>
        </w:rPr>
      </w:pPr>
    </w:p>
    <w:p>
      <w:pPr>
        <w:ind w:right="160" w:firstLine="22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$0.7 million to $2.4 million due to the commencement of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associated with recent fixed asset additions.</w:t>
      </w:r>
    </w:p>
    <w:p>
      <w:pPr>
        <w:spacing w:after="0" w:line="47"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color w:val="auto"/>
        </w:rPr>
        <w:t>Our effective tax rate was 0% and approximately 41.9% during the nine months ended September 30, 2005 and 2006,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the effective rate is primarily due to the reversal of our deferred tax asset valuation allowance, which occurred during the fourth quarter of 2005. In addition, we review the expected annual effective income tax rate and make changes on a quarterly basis as necessary based on certain factors such as changes in forecasted annual operating income, changes to the actual and forecasted permanent book-to-tax differences, or changes from the impact of a tax law change. During the nine months ended September 30, 2005 and 2006, we recognized approximately $0.0 and $4.4 million in related tax expense,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225"/>
        <w:spacing w:after="0" w:line="261" w:lineRule="auto"/>
        <w:rPr>
          <w:sz w:val="20"/>
          <w:szCs w:val="20"/>
          <w:color w:val="auto"/>
        </w:rPr>
      </w:pPr>
      <w:r>
        <w:rPr>
          <w:rFonts w:ascii="Times New Roman" w:cs="Times New Roman" w:eastAsia="Times New Roman" w:hAnsi="Times New Roman"/>
          <w:sz w:val="18"/>
          <w:szCs w:val="18"/>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$52.7 million, which enabled us to strengthen our balance sheet. As a result, we had cash, cash equivalents and short- and long-term marketable securities of $73.0 million at September 30, 2006, an increase of $57.0 million as compared to the end of the prior fiscal year. We anticipate that our principal uses of cash in the future will be facility expansion, capital expenditures and working capital.</w:t>
      </w:r>
    </w:p>
    <w:p>
      <w:pPr>
        <w:spacing w:after="0" w:line="78" w:lineRule="exact"/>
        <w:rPr>
          <w:sz w:val="20"/>
          <w:szCs w:val="20"/>
          <w:color w:val="auto"/>
        </w:rPr>
      </w:pPr>
    </w:p>
    <w:p>
      <w:pPr>
        <w:ind w:right="60" w:firstLine="225"/>
        <w:spacing w:after="0" w:line="254" w:lineRule="auto"/>
        <w:rPr>
          <w:sz w:val="20"/>
          <w:szCs w:val="20"/>
          <w:color w:val="auto"/>
        </w:rPr>
      </w:pPr>
      <w:r>
        <w:rPr>
          <w:rFonts w:ascii="Times New Roman" w:cs="Times New Roman" w:eastAsia="Times New Roman" w:hAnsi="Times New Roman"/>
          <w:sz w:val="18"/>
          <w:szCs w:val="18"/>
          <w:color w:val="auto"/>
        </w:rPr>
        <w:t>On October 6, 2004, we entered into a Loan and Security Agreement (the “Agreement”) with a bank which expires on December 1, 2007. The Agreement includes a Revolving Promissory Note for up to $2.0 million and an Equipment Term Note for up to $3.0 million. Availability under the Agreement for the Revolving Promissory Note is based on defined percentages of eligible accounts receivable. Borrowings on the revolving credit agreement bear interest at the prime rate plus 1.25% (9.5% at September 30, 2006).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borrowings against the Revolving Promissory Note during the nine months ended September 30, 2006. As of September 30, 2006, we had outstanding borrowings of $0.8 million against the Equipment Term Note to fund purchases of eligible equipment. Borrowings on the equipment line bear interest at the prime rate plus 1.75% (10% at September 30, 2006) and principal and interest are payable monthly. Borrowings under the Agreement are collateralized by all of our assets.</w:t>
      </w:r>
    </w:p>
    <w:p>
      <w:pPr>
        <w:spacing w:after="0" w:line="81" w:lineRule="exact"/>
        <w:rPr>
          <w:sz w:val="20"/>
          <w:szCs w:val="20"/>
          <w:color w:val="auto"/>
        </w:rPr>
      </w:pPr>
    </w:p>
    <w:p>
      <w:pPr>
        <w:ind w:right="140" w:firstLine="222"/>
        <w:spacing w:after="0" w:line="261" w:lineRule="auto"/>
        <w:rPr>
          <w:sz w:val="20"/>
          <w:szCs w:val="20"/>
          <w:color w:val="auto"/>
        </w:rPr>
      </w:pPr>
      <w:r>
        <w:rPr>
          <w:rFonts w:ascii="Times New Roman" w:cs="Times New Roman" w:eastAsia="Times New Roman" w:hAnsi="Times New Roman"/>
          <w:sz w:val="18"/>
          <w:szCs w:val="18"/>
          <w:color w:val="auto"/>
        </w:rPr>
        <w:t>The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financial covenant at September 30, 2006. As of September 30, 2006, we had $2.0 million available under the revolving promissory note of our bank, subject to the terms and conditions of that facility.</w:t>
      </w:r>
    </w:p>
    <w:p>
      <w:pPr>
        <w:spacing w:after="0" w:line="72"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Upon the consummation of our IPO on June 20, 2006, all of our Series A and Series 1 convertible preferred stock were converted into shares of common stock on a one-for-one basis. As a result, no dividends are currently accruing. In connection with our IPO and the exercise of the over-allotment option by our IPO underwriters, we paid offering costs, excluding underwriting discounts and commissions, and other related expenses totaling $7.3 million. These offering costs were offset against the gross proceeds of our IPO and the exercise of the over-allotment option.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17"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operations. </w:t>
      </w:r>
      <w:r>
        <w:rPr>
          <w:rFonts w:ascii="Times New Roman" w:cs="Times New Roman" w:eastAsia="Times New Roman" w:hAnsi="Times New Roman"/>
          <w:sz w:val="18"/>
          <w:szCs w:val="18"/>
          <w:color w:val="auto"/>
        </w:rPr>
        <w:t>Net cash provided by operating activities for the nine months ended September 30, 2006 was $7.4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$7.3 million for the nine months ended September 30, 2005. The increase of $0.1 million was primarily due to an increase in positive adjustments for non-cash items of $3.8 million, offset by a decrease in cash provided by working capital and other activities of $3.7 million. Adjustments for non-cash items consisted primarily of depreciation and amortization, stock-based compensation and deferred income taxes. The cash provided by working capital decreased due to payments of approximately $2.0 million for accounts payable and accrued expenses relating to the annual payout of cash bonuses in the first quarter of 2006 for performance in the prior year. In addition, there was an increase in the build-up of accounts receivable of $1.1 million, which was primarily due to an increase in revenue during the three months ended September 30, 2006 generated by new customers added in 2006.</w:t>
      </w:r>
    </w:p>
    <w:p>
      <w:pPr>
        <w:spacing w:after="0" w:line="75" w:lineRule="exact"/>
        <w:rPr>
          <w:sz w:val="20"/>
          <w:szCs w:val="20"/>
          <w:color w:val="auto"/>
        </w:rPr>
      </w:pPr>
    </w:p>
    <w:p>
      <w:pPr>
        <w:ind w:firstLine="22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investing. </w:t>
      </w:r>
      <w:r>
        <w:rPr>
          <w:rFonts w:ascii="Times New Roman" w:cs="Times New Roman" w:eastAsia="Times New Roman" w:hAnsi="Times New Roman"/>
          <w:sz w:val="18"/>
          <w:szCs w:val="18"/>
          <w:color w:val="auto"/>
        </w:rPr>
        <w:t>Net cash used in investing activities for the nine months ended September 30, 2006 was $2.2 million, compared to $1.2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nine months ended September 30, 2005. The increased use of cash of $1.0 million was due to an increase of investing outlays for purchases of capital equipment of $3.7 million offset by cash yielded from the net sales of marketable securities of $1.5 million.</w:t>
      </w:r>
    </w:p>
    <w:p>
      <w:pPr>
        <w:spacing w:after="0" w:line="63" w:lineRule="exact"/>
        <w:rPr>
          <w:sz w:val="20"/>
          <w:szCs w:val="20"/>
          <w:color w:val="auto"/>
        </w:rPr>
      </w:pPr>
    </w:p>
    <w:p>
      <w:pPr>
        <w:ind w:right="160" w:firstLine="22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w:t>
      </w:r>
      <w:r>
        <w:rPr>
          <w:rFonts w:ascii="Times New Roman" w:cs="Times New Roman" w:eastAsia="Times New Roman" w:hAnsi="Times New Roman"/>
          <w:sz w:val="18"/>
          <w:szCs w:val="18"/>
          <w:color w:val="auto"/>
        </w:rPr>
        <w:t>Net cash provided by financing activities for the nine months ended September 30, 2006 was $53.2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of $0.5 million for the nine months ended September 30, 2005. The increase of $52.7 million was primarily due to net proceeds of $52.7 million received from the issuance of common stock sold in our initial public offering and the exercise of the over-allotment option by our IPO underwriters.</w:t>
      </w:r>
    </w:p>
    <w:p>
      <w:pPr>
        <w:spacing w:after="0" w:line="67" w:lineRule="exact"/>
        <w:rPr>
          <w:sz w:val="20"/>
          <w:szCs w:val="20"/>
          <w:color w:val="auto"/>
        </w:rPr>
      </w:pPr>
    </w:p>
    <w:p>
      <w:pPr>
        <w:ind w:right="160" w:firstLine="222"/>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21" w:lineRule="exact"/>
        <w:rPr>
          <w:sz w:val="20"/>
          <w:szCs w:val="20"/>
          <w:color w:val="auto"/>
        </w:rPr>
      </w:pPr>
    </w:p>
    <w:p>
      <w:pPr>
        <w:ind w:right="240" w:firstLine="215"/>
        <w:spacing w:after="0" w:line="282" w:lineRule="auto"/>
        <w:rPr>
          <w:sz w:val="20"/>
          <w:szCs w:val="20"/>
          <w:color w:val="auto"/>
        </w:rPr>
      </w:pPr>
      <w:r>
        <w:rPr>
          <w:rFonts w:ascii="Times New Roman" w:cs="Times New Roman" w:eastAsia="Times New Roman" w:hAnsi="Times New Roman"/>
          <w:sz w:val="18"/>
          <w:szCs w:val="18"/>
          <w:color w:val="auto"/>
        </w:rPr>
        <w:t>Although inflation generally affects us by increasing our cost of labor and equipment, we do not believe that inflation has had any material effect on our results of operations for the nine months ended September 30,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Standards</w:t>
      </w:r>
    </w:p>
    <w:p>
      <w:pPr>
        <w:spacing w:after="0" w:line="119" w:lineRule="exact"/>
        <w:rPr>
          <w:sz w:val="20"/>
          <w:szCs w:val="20"/>
          <w:color w:val="auto"/>
        </w:rPr>
      </w:pPr>
    </w:p>
    <w:p>
      <w:pPr>
        <w:ind w:right="140" w:firstLine="225"/>
        <w:spacing w:after="0" w:line="259" w:lineRule="auto"/>
        <w:rPr>
          <w:sz w:val="20"/>
          <w:szCs w:val="20"/>
          <w:color w:val="auto"/>
        </w:rPr>
      </w:pPr>
      <w:r>
        <w:rPr>
          <w:rFonts w:ascii="Times New Roman" w:cs="Times New Roman" w:eastAsia="Times New Roman" w:hAnsi="Times New Roman"/>
          <w:sz w:val="18"/>
          <w:szCs w:val="18"/>
          <w:color w:val="auto"/>
        </w:rPr>
        <w:t xml:space="preserve">In February 2006, the Financial Accounting Standards Board, (“FASB”) issued SFAS No. 155, </w:t>
      </w:r>
      <w:r>
        <w:rPr>
          <w:rFonts w:ascii="Times New Roman" w:cs="Times New Roman" w:eastAsia="Times New Roman" w:hAnsi="Times New Roman"/>
          <w:sz w:val="18"/>
          <w:szCs w:val="18"/>
          <w:i w:val="1"/>
          <w:iCs w:val="1"/>
          <w:color w:val="auto"/>
        </w:rPr>
        <w:t>Accounting for Certain Hybrid Financial Instruments</w:t>
      </w:r>
      <w:r>
        <w:rPr>
          <w:rFonts w:ascii="Times New Roman" w:cs="Times New Roman" w:eastAsia="Times New Roman" w:hAnsi="Times New Roman"/>
          <w:sz w:val="18"/>
          <w:szCs w:val="18"/>
          <w:color w:val="auto"/>
        </w:rPr>
        <w:t xml:space="preserve"> (“SFAS 155”). SFAS 155 allows financial instruments that have embedded derivatives to be accounted for as a whole (eliminating the need to bifurcate the derivative from its host) if the holder elects to account for the whole instrument on a fair value basis. SFAS is effective for all financial instruments acquired or issued after the beginning of an entity’s first fiscal year that begins after September 15, 2006. We do not expect that the adoption of SFAS 155 will impact our financial statements.</w:t>
      </w:r>
    </w:p>
    <w:p>
      <w:pPr>
        <w:spacing w:after="0" w:line="72" w:lineRule="exact"/>
        <w:rPr>
          <w:sz w:val="20"/>
          <w:szCs w:val="20"/>
          <w:color w:val="auto"/>
        </w:rPr>
      </w:pPr>
    </w:p>
    <w:p>
      <w:pPr>
        <w:ind w:right="160" w:firstLine="225"/>
        <w:spacing w:after="0" w:line="259" w:lineRule="auto"/>
        <w:rPr>
          <w:sz w:val="20"/>
          <w:szCs w:val="20"/>
          <w:color w:val="auto"/>
        </w:rPr>
      </w:pPr>
      <w:r>
        <w:rPr>
          <w:rFonts w:ascii="Times New Roman" w:cs="Times New Roman" w:eastAsia="Times New Roman" w:hAnsi="Times New Roman"/>
          <w:sz w:val="18"/>
          <w:szCs w:val="18"/>
          <w:color w:val="auto"/>
        </w:rPr>
        <w:t xml:space="preserve">In June 2006, the FASB issued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(“FIN 48”)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authoritative interpretation clarifies and standardizes the manner by which companies will be required to account for uncertain tax positions. Adoption of FIN 48 is required for fiscal years beginning after December 15, 2006. We will be required to adopt FIN 48 no later than the quarter beginning January 1, 2007. We are currently in the process of evaluating the interpretation and have not yet determined the impact, if any, that FIN 48 will have on our financial position or results of operations.</w:t>
      </w:r>
    </w:p>
    <w:p>
      <w:pPr>
        <w:spacing w:after="0" w:line="72" w:lineRule="exact"/>
        <w:rPr>
          <w:sz w:val="20"/>
          <w:szCs w:val="20"/>
          <w:color w:val="auto"/>
        </w:rPr>
      </w:pPr>
    </w:p>
    <w:p>
      <w:pPr>
        <w:ind w:right="24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September 2006, the FASB issued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We will adopt SFAS 157 as required and are currently evaluating the impact of this Statement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had no off-balance sheet arrangements as of September 30, 2006.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222"/>
        <w:spacing w:after="0" w:line="282" w:lineRule="auto"/>
        <w:rPr>
          <w:sz w:val="20"/>
          <w:szCs w:val="20"/>
          <w:color w:val="auto"/>
        </w:rPr>
      </w:pPr>
      <w:r>
        <w:rPr>
          <w:rFonts w:ascii="Times New Roman" w:cs="Times New Roman" w:eastAsia="Times New Roman" w:hAnsi="Times New Roman"/>
          <w:sz w:val="18"/>
          <w:szCs w:val="18"/>
          <w:color w:val="auto"/>
        </w:rPr>
        <w:t>To date, all of our sales have been denominated in U.S. dollars. Although we utilize third-party services outside the United States, all of these expenses are paid in U.S. dollars. In addition, we hold no derivative financial instruments and do not currently engage in hedging activities.</w:t>
      </w:r>
    </w:p>
    <w:p>
      <w:pPr>
        <w:spacing w:after="0" w:line="54"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in a variety of securities, including commercial paper, money market funds and corporate debt securities. Our cash and cash equivalents at September 30, 2006 included liquid money market accounts. Due to the short-term nature of our investments, we believe that there is no material exposure to interest rate risk arising from them.</w:t>
      </w:r>
    </w:p>
    <w:p>
      <w:pPr>
        <w:spacing w:after="0" w:line="76"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For additional quantitative and qualitative disclosures about market risk affecting us, see “Risk Factors” in our prospectus on Form S-1. Our exposure to market risk has not changed materially since the filing of the Form S-1.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firstLine="215"/>
        <w:spacing w:after="0" w:line="261" w:lineRule="auto"/>
        <w:rPr>
          <w:sz w:val="20"/>
          <w:szCs w:val="20"/>
          <w:color w:val="auto"/>
        </w:rPr>
      </w:pPr>
      <w:r>
        <w:rPr>
          <w:rFonts w:ascii="Times New Roman" w:cs="Times New Roman" w:eastAsia="Times New Roman" w:hAnsi="Times New Roman"/>
          <w:sz w:val="18"/>
          <w:szCs w:val="18"/>
          <w:color w:val="auto"/>
        </w:rPr>
        <w:t>As of September 30, 2006, we carried out an evaluation, under the supervision and with the participation of our management, our Chief Executive Officer and our Chief Financial Officer, of the effectiveness of the design and operation of our disclosure controls and procedures (as defined in Rule 13a-15(e) of the Securities Exchange Act of 1934, as amended). Based on the foregoing, our Chief Executive Officer and Chief Financial Officer concluded that our disclosure controls and procedures as of the end of the period covered by this report were effective and were operating at the reasonable assurance level.</w:t>
      </w:r>
    </w:p>
    <w:p>
      <w:pPr>
        <w:spacing w:after="0" w:line="72"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In addition, there were no changes in our internal control over financial reporting that occurred in the quarter ended September 30, 2006 that materially affected, or are reasonably likely to materially affect, our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our business. We do not believe that we are party to any pending legal action that could reasonably be expected to have a material adverse effect on our business or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report, the following factors should be considered carefully in evaluating our business and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Customer Concentration, with One Customer Accounting for a Substantial Portion of our Revenues through September 30, 2006.</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one customer, Cingular Wireless. Our relationship with Cingular Wireless dates back to January 2001 when we began providing service to AT&amp;T Wireless, which was subsequently acquired by Cingular Wireless. For the three months ended September 30, 2006, Cingular Wireless accounted for approximately 64% of our revenues, compared to 74% for the three months ended September 30, 2005. Our two largest customers, Cingular Wireless and Vonage, accounted for approximately 73% of our revenues for the three months ended September 30, 2006, and for 81% of our revenues for the three months ended June 30, 2006. For the three months ended September 30, 2006, Vonage accounted for approximately 9% of our revenues, and for the three months ended June 30, 2006, Vonage accounted for approximately 13% of our revenues.</w:t>
      </w:r>
    </w:p>
    <w:p>
      <w:pPr>
        <w:spacing w:after="0" w:line="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Slow Down in Market Acceptance and Government Regulation of Voice over Internet Protocol Technology Could Negatively Impact Our Ability to Grow Our Revenues.</w:t>
      </w:r>
    </w:p>
    <w:p>
      <w:pPr>
        <w:spacing w:after="0" w:line="51" w:lineRule="exact"/>
        <w:rPr>
          <w:sz w:val="20"/>
          <w:szCs w:val="20"/>
          <w:color w:val="auto"/>
        </w:rPr>
      </w:pPr>
    </w:p>
    <w:p>
      <w:pPr>
        <w:ind w:right="240" w:firstLine="225"/>
        <w:spacing w:after="0" w:line="256" w:lineRule="auto"/>
        <w:rPr>
          <w:sz w:val="20"/>
          <w:szCs w:val="20"/>
          <w:color w:val="auto"/>
        </w:rPr>
      </w:pPr>
      <w:r>
        <w:rPr>
          <w:rFonts w:ascii="Times New Roman" w:cs="Times New Roman" w:eastAsia="Times New Roman" w:hAnsi="Times New Roman"/>
          <w:sz w:val="18"/>
          <w:szCs w:val="18"/>
          <w:color w:val="auto"/>
        </w:rPr>
        <w:t>Serving providers of Voice over Internet Protocol (“VoIP”) is an important part of our business plan. A slow down in market acceptance and increased government regulation of VoIP technology could negatively impact our ability to achieve and maintain profitability and grow our revenues. The success of one key element of our growth strategy depends upon the success of VoIP as an alternative to traditional forms of telephone communication. We began targeting the VoIP market in 2004. VoIP customers contributed approximately 35.6% or $6.7 million of our revenues for the three months ended September 30, 2006, 30.5% or $5.3 million to our total revenues for the three months ended June 30, 2006, 16.3% or $8.8 million to our total revenues in 2005 and $0 in 2004.</w:t>
      </w:r>
    </w:p>
    <w:p>
      <w:pPr>
        <w:spacing w:after="0" w:line="80"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The regulatory status of VoIP is not clear and, in early 2004, the Federal Communications Commission (“FCC”) opened a proceeding to establish the regulatory framework for Internet Protocol-enabled services, including VoIP. In this proceeding, the FCC will address various regulatory issues, including universal service, intercarrier compensation, numbering, disability access, consumer protection and customer access to 911 emergency services. The outcome that the FCC reaches on these issues could have a material impact on our customers and potential customers and an adverse effect on our business. In addition, if access charges and tariffs are imposed on the use of Internet Protocol-enabled service, including VoIP, the cost of providing VoIP services would increase, which could have an adverse effect on our business.</w:t>
      </w:r>
    </w:p>
    <w:p>
      <w:pPr>
        <w:spacing w:after="0" w:line="80"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Market reluctance to embrace VoIP as an alternative to traditional forms of telephone communication and limitations and/or expenses incurred as a result of increased governmental regulation could negatively impact the growth prospects of a key target customer base, potentially impacting in a negative way our ability to successfully market certain of our products and services.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Adapt to Rapid Technological Change in the Communications Industry, We Could Lose Customers or Market Share.</w:t>
      </w:r>
    </w:p>
    <w:p>
      <w:pPr>
        <w:spacing w:after="0" w:line="121" w:lineRule="exact"/>
        <w:rPr>
          <w:sz w:val="20"/>
          <w:szCs w:val="20"/>
          <w:color w:val="auto"/>
        </w:rPr>
      </w:pPr>
    </w:p>
    <w:p>
      <w:pPr>
        <w:ind w:right="180" w:firstLine="225"/>
        <w:spacing w:after="0" w:line="258"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or market share.</w:t>
      </w:r>
    </w:p>
    <w:p>
      <w:pPr>
        <w:spacing w:after="0" w:line="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Continued Growth of Consumer and Business Transactions Related to Communications Services on the Internet.</w:t>
      </w:r>
    </w:p>
    <w:p>
      <w:pPr>
        <w:spacing w:after="0" w:line="51" w:lineRule="exact"/>
        <w:rPr>
          <w:sz w:val="20"/>
          <w:szCs w:val="20"/>
          <w:color w:val="auto"/>
        </w:rPr>
      </w:pPr>
    </w:p>
    <w:p>
      <w:pPr>
        <w:ind w:right="240" w:firstLine="222"/>
        <w:spacing w:after="0" w:line="261"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growth of consumer and business transactions on the Internet, including attracting consumers who have historically purchased wireless services and devices through traditional retail stores. Specific factors that could deter consumers from purchasing wireless services and devices on the Internet include concerns about buying wireless devices without a face-to-face interaction with sales personnel and the ability to physically handle and examine the devices.</w:t>
      </w:r>
    </w:p>
    <w:p>
      <w:pPr>
        <w:spacing w:after="0" w:line="72"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Our business growth would be impeded if the performance or perception of the Internet were harmed by security problems such as “viruses,” “worms” and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Compromises to Our Privacy Safeguards Could Impact Our Reputation.</w:t>
      </w:r>
    </w:p>
    <w:p>
      <w:pPr>
        <w:spacing w:after="0" w:line="121"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We do not currently carry insurance to protect us against this risk. Concerns about the security of online transactions and the privacy of personal information could deter consumers from transacting business with us on the Internet.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Fraudulent Internet Transactions Could Negatively Impact Our Business.</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communications service provider (“CSP”) customers currently bear the risk for a fraudulent credit card transaction, in the future we may be forced to share some of that risk and the associated costs with our CSP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the CSP and our business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Wireless Services Industry Experiences a Decline in Subscribers, Our Business May Suffer.</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wireless services industry has faced an increasing number of challenges, including a slowdown in new subscriber growth. According to the Telephone Industry Association’s 2005 Telecommunications Market Review and Forecast, because a majority of the U.S. population is already subscribing to mobile phone service, growth in the number of wireless communications subscribers will begin to slow and drop to single-digit increases beginning in 2005, with growth averaging 5.2% on a compound annual growth rate basis through 2008, resulting in roughly 200 million wireless communications subscribers in 2008. This reduction in the potential pool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of transactions to be handled by us is compounded by reduced wireless industry churn rates, which translate into fewer churn-related transactions for us to process. Revenues from services performed for customers in the wireless services industry accounted for 68% of our revenues for the nine months ended September 30, 2006, and 80% and 84% of our revenues in 2005 and 2004,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Short Operating History and Have Incurred Net Losses and We May Not Be Profitable in the Future.</w:t>
      </w:r>
    </w:p>
    <w:p>
      <w:pPr>
        <w:spacing w:after="0" w:line="121" w:lineRule="exact"/>
        <w:rPr>
          <w:sz w:val="20"/>
          <w:szCs w:val="20"/>
          <w:color w:val="auto"/>
        </w:rPr>
      </w:pPr>
    </w:p>
    <w:p>
      <w:pPr>
        <w:ind w:right="120" w:firstLine="222"/>
        <w:spacing w:after="0" w:line="256" w:lineRule="auto"/>
        <w:rPr>
          <w:sz w:val="20"/>
          <w:szCs w:val="20"/>
          <w:color w:val="auto"/>
        </w:rPr>
      </w:pPr>
      <w:r>
        <w:rPr>
          <w:rFonts w:ascii="Times New Roman" w:cs="Times New Roman" w:eastAsia="Times New Roman" w:hAnsi="Times New Roman"/>
          <w:sz w:val="18"/>
          <w:szCs w:val="18"/>
          <w:color w:val="auto"/>
        </w:rPr>
        <w:t>We have a limited operating history and have experienced net losses through 2004, but were profitable in 2005 and in the first nine months of 2006. We may incur losses and we cannot assure you that we will be profitable in future periods. We may not be able to adequately control costs and expenses or achieve or maintain adequate operating margins. As a result, our ability to achieve and sustain profitability will depend on our ability to generate and sustain substantially higher revenues while maintaining reasonable cost and expense levels. If we fail to generate sufficient revenues or achieve profitability, we will continue to incur significant losses. We may then be forced to reduce operating expenses by taking actions not contemplated in our business plan, such as discontinuing sales of certain of our wireless services, curtailing our marketing efforts or reducing the size of our workforce.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Expand Our Sales Capabilities, We May Not Be Able to Generate Increased Revenues.</w:t>
      </w:r>
    </w:p>
    <w:p>
      <w:pPr>
        <w:spacing w:after="0" w:line="121" w:lineRule="exact"/>
        <w:rPr>
          <w:sz w:val="20"/>
          <w:szCs w:val="20"/>
          <w:color w:val="auto"/>
        </w:rPr>
      </w:pPr>
    </w:p>
    <w:p>
      <w:pPr>
        <w:ind w:right="40" w:firstLine="222"/>
        <w:spacing w:after="0" w:line="281" w:lineRule="auto"/>
        <w:rPr>
          <w:sz w:val="20"/>
          <w:szCs w:val="20"/>
          <w:color w:val="auto"/>
        </w:rPr>
      </w:pPr>
      <w:r>
        <w:rPr>
          <w:rFonts w:ascii="Times New Roman" w:cs="Times New Roman" w:eastAsia="Times New Roman" w:hAnsi="Times New Roman"/>
          <w:sz w:val="17"/>
          <w:szCs w:val="17"/>
          <w:color w:val="auto"/>
        </w:rPr>
        <w:t>We must expand our sales force to generate increased revenues from new customers. We currently have a very small team of dedicated sales professionals. Our services require a sophisticated sales effort targeted at the senior management of our prospective customers. New hires will require training and will take time to achieve full productivity. We cannot be certain that new hires will become as productive as necessary or that we will be able to hire enough qualified individuals in the future. Failure to hire qualified sales personnel will preclude us from expanding our business and growing our revenues.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Consolidation in the Communications Industry Can Reduce the Number of Customers and Adversely Affect Our Business.</w:t>
      </w:r>
    </w:p>
    <w:p>
      <w:pPr>
        <w:spacing w:after="0" w:line="121"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and decide to either use a different service provider or to manage its transactions internally, this could have a negative material impact on our business. These consolidations and alliances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With Existing or New Competitors, Our Business Could Be Harmed.</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communications services companies. Rapid technological changes, such as advancements in software integration across multiple and incompatible systems, and economies of scale may make it more economical for CSPs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77"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established or new competitors may have a material adverse effect on our results of operations and financial condition. In particular, a failure to offset competitive pressures brought about by competitors or in-house solutions developed by Cingular Wireless could result in a substantial reduction in or the outright termination of our contract with Cingular Wireless, which would have a significant negative material impact on our business.</w:t>
      </w:r>
    </w:p>
    <w:p>
      <w:pPr>
        <w:spacing w:after="0" w:line="6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51"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provide reliable services to our customers and process a high volume of transactions in a timely and effective manner. Although we are in the process of constructing a disaster recovery facility, our network operations are currently located in a single facility in Bethlehem, Pennsylvania that is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w:t>
      </w:r>
    </w:p>
    <w:p>
      <w:pPr>
        <w:spacing w:after="0" w:line="76"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damage to or failure of our computer software or hardware or our connections and outsourced service arrangements with third parties;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errors in the processing of data by our system;</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computer viruses or software defects;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physical or electronic break-ins, sabotage, intentional acts of vandalism and similar events;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capacity demands or changes in systems requirements of our customers; or</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errors by our employees or third-party service providers.</w:t>
      </w:r>
    </w:p>
    <w:p>
      <w:pPr>
        <w:spacing w:after="0" w:line="117" w:lineRule="exact"/>
        <w:rPr>
          <w:sz w:val="20"/>
          <w:szCs w:val="20"/>
          <w:color w:val="auto"/>
        </w:rPr>
      </w:pPr>
    </w:p>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Obligations Under Our Service Level Agreements, We Would Be Subject to Penalties and Could Lose Customers.</w:t>
      </w:r>
    </w:p>
    <w:p>
      <w:pPr>
        <w:spacing w:after="0" w:line="121" w:lineRule="exact"/>
        <w:rPr>
          <w:sz w:val="20"/>
          <w:szCs w:val="20"/>
          <w:color w:val="auto"/>
        </w:rPr>
      </w:pPr>
    </w:p>
    <w:p>
      <w:pPr>
        <w:ind w:right="220" w:firstLine="222"/>
        <w:spacing w:after="0" w:line="261" w:lineRule="auto"/>
        <w:rPr>
          <w:sz w:val="20"/>
          <w:szCs w:val="20"/>
          <w:color w:val="auto"/>
        </w:rPr>
      </w:pPr>
      <w:r>
        <w:rPr>
          <w:rFonts w:ascii="Times New Roman" w:cs="Times New Roman" w:eastAsia="Times New Roman" w:hAnsi="Times New Roman"/>
          <w:sz w:val="18"/>
          <w:szCs w:val="18"/>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Operating Difficulties in the Telecommunications Sector May Negatively Affect Our Customers and Our Company.</w:t>
      </w:r>
    </w:p>
    <w:p>
      <w:pPr>
        <w:spacing w:after="0" w:line="12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Recently, the telecommunications sector has been facing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Providers for Communications Software, Services, Hardware and Infrastructure Exposes Us to a Variety of Risks We Cannot Control.</w:t>
      </w:r>
    </w:p>
    <w:p>
      <w:pPr>
        <w:spacing w:after="0" w:line="51"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72" w:lineRule="exact"/>
        <w:rPr>
          <w:sz w:val="20"/>
          <w:szCs w:val="20"/>
          <w:color w:val="auto"/>
        </w:rPr>
      </w:pPr>
    </w:p>
    <w:p>
      <w:pPr>
        <w:ind w:firstLine="225"/>
        <w:spacing w:after="0" w:line="273" w:lineRule="auto"/>
        <w:rPr>
          <w:sz w:val="20"/>
          <w:szCs w:val="20"/>
          <w:color w:val="auto"/>
        </w:rPr>
      </w:pPr>
      <w:r>
        <w:rPr>
          <w:rFonts w:ascii="Times New Roman" w:cs="Times New Roman" w:eastAsia="Times New Roman" w:hAnsi="Times New Roman"/>
          <w:sz w:val="17"/>
          <w:szCs w:val="17"/>
          <w:color w:val="auto"/>
        </w:rPr>
        <w:t>Our business also depends upon the capacity, reliability and security of the infrastructure owned and managed by third 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6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51" w:lineRule="exact"/>
        <w:rPr>
          <w:sz w:val="20"/>
          <w:szCs w:val="20"/>
          <w:color w:val="auto"/>
        </w:rPr>
      </w:pPr>
    </w:p>
    <w:p>
      <w:pPr>
        <w:ind w:right="40" w:firstLine="215"/>
        <w:spacing w:after="0" w:line="255" w:lineRule="auto"/>
        <w:rPr>
          <w:sz w:val="20"/>
          <w:szCs w:val="20"/>
          <w:color w:val="auto"/>
        </w:rPr>
      </w:pPr>
      <w:r>
        <w:rPr>
          <w:rFonts w:ascii="Times New Roman" w:cs="Times New Roman" w:eastAsia="Times New Roman" w:hAnsi="Times New Roman"/>
          <w:sz w:val="18"/>
          <w:szCs w:val="18"/>
          <w:color w:val="auto"/>
        </w:rPr>
        <w:t>A significant barrier to online commerce is concern about the secure transmission of confidential information over public networks. The encryption and authentication technology licensed from third 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51" w:lineRule="exact"/>
        <w:rPr>
          <w:sz w:val="20"/>
          <w:szCs w:val="20"/>
          <w:color w:val="auto"/>
        </w:rPr>
      </w:pPr>
    </w:p>
    <w:p>
      <w:pPr>
        <w:ind w:right="80" w:firstLine="225"/>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degree upon the protection of our software and other proprietary technology rights, particularly our ActivationNow</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software platform. We rely on trade secret, copyright and trademark laws and confidentiality agreements with employees and third parties, all of which offer only limited protection.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harm our business. Accordingly, despite our efforts, we may not be able to prevent third parties from infringing upon or misappropriating our intellectual property.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Could Harm Our Business.</w:t>
      </w:r>
    </w:p>
    <w:p>
      <w:pPr>
        <w:spacing w:after="0" w:line="121"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 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 parties.</w:t>
      </w:r>
    </w:p>
    <w:p>
      <w:pPr>
        <w:spacing w:after="0" w:line="81"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Acquire Companies or Technologies, Which Could Disrupt Our Ongoing Business, Disrupt Our Management and Employees and Adversely Affect Our Results of Operations.</w:t>
      </w:r>
    </w:p>
    <w:p>
      <w:pPr>
        <w:spacing w:after="0" w:line="51"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We may acquire companies where we believe we can acquire new products or services or otherwise enhance our market position or strategic strengths. We have not made any acquisitions to date, and therefore our ability as an organization to make acquisitions is unproven. We may not be able to find suitable acquisition candidates and we may not be able to complete acquisitions on favorable terms, if at all. If we do complete acquisitions, we cannot be sure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 Future acquisitions could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harm our business, financial condition and results of operation.</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Expansion into International Markets May Be Subject to Uncertainties That Could Increase Our Costs to Comply with Regulatory Requirements in Foreign Jurisdictions, Disrupt Our Operations and Require Increased Focus from Our Management.</w:t>
      </w:r>
    </w:p>
    <w:p>
      <w:pPr>
        <w:spacing w:after="0" w:line="51" w:lineRule="exact"/>
        <w:rPr>
          <w:sz w:val="20"/>
          <w:szCs w:val="20"/>
          <w:color w:val="auto"/>
        </w:rPr>
      </w:pPr>
    </w:p>
    <w:p>
      <w:pPr>
        <w:ind w:right="180" w:firstLine="225"/>
        <w:spacing w:after="0" w:line="255" w:lineRule="auto"/>
        <w:rPr>
          <w:sz w:val="20"/>
          <w:szCs w:val="20"/>
          <w:color w:val="auto"/>
        </w:rPr>
      </w:pPr>
      <w:r>
        <w:rPr>
          <w:rFonts w:ascii="Times New Roman" w:cs="Times New Roman" w:eastAsia="Times New Roman" w:hAnsi="Times New Roman"/>
          <w:sz w:val="18"/>
          <w:szCs w:val="18"/>
          <w:color w:val="auto"/>
        </w:rPr>
        <w:t>Our growth strategy involves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 associated with managing a large organization spread throughout various countries. If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is Important to Our Customer Relationships, and the Loss of One or More of Our Senior Managers Could Have a Negative Impact on Our Business.</w:t>
      </w:r>
    </w:p>
    <w:p>
      <w:pPr>
        <w:spacing w:after="0" w:line="5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Chairman of the Board of Directors, President and Chief Executive Officer, Stephen G. Waldis, and other members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Mr. Waldis or any other members of senior management could impair our ability to identify and</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new contracts and otherwise manage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Revenues and Profits Could Be Adversely Affected.</w:t>
      </w:r>
    </w:p>
    <w:p>
      <w:pPr>
        <w:spacing w:after="0" w:line="121"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Sustaining our growth will place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successfully without compromising our quality of service and our profit margins, or if new systems that we implement to assist in managing our growth do not produce the expected benefits, our revenues and profits could be adversely affected.</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Compliance Initiatives.</w:t>
      </w:r>
    </w:p>
    <w:p>
      <w:pPr>
        <w:spacing w:after="0" w:line="51"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color w:val="auto"/>
        </w:rPr>
        <w:t>Prior to our initial public offering in June 2006, we had never operated as a public company. As a public company, we incur significant legal, accounting and other expenses that we did not incur as a private company. In addition, the Sarbanes-Oxley Act of 2002, as well as new rules subsequently implemented by the Securities and Exchange Commission (“SEC”) and the Nasdaq Stock Market’s National Market, has imposed various new requirements on public companies, including requiring changes in corporate governance practices. Our management and other personnel need to devote a substantial amount of time to these new compliance initiatives. Moreover, these rules and regulations are increasing our legal and financial compliance costs and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81"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In addition, the Sarbanes-Oxley Act requires, among other things, that we report on the effectiveness of our internal control over financial reporting and disclosure controls and procedures. In particular, for the year ending on December 31, 2007,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Stock Market’s National Market, the Securities and Exchange Commission or other regulatory authorities, which would require additional financial and management resources.</w:t>
      </w:r>
    </w:p>
    <w:p>
      <w:pPr>
        <w:spacing w:after="0" w:line="8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Could Substantially Harm Our Business and Results of Operations.</w:t>
      </w:r>
    </w:p>
    <w:p>
      <w:pPr>
        <w:spacing w:after="0" w:line="51"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We and our customers are subject to general business regulations and laws as well as regulations and laws specifically governing the Internet and e-commerce. Existing and future laws and regulations may impede the growth of the Internet and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libel and personal privacy apply to the Internet and e-commerce. Unfavorable resolution of these issues may cause the demand for our services to change in ways that we cannot easily predict and our revenues could decline.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Likely to Be Volatile.</w:t>
      </w:r>
    </w:p>
    <w:p>
      <w:pPr>
        <w:spacing w:after="0" w:line="121" w:lineRule="exact"/>
        <w:rPr>
          <w:sz w:val="20"/>
          <w:szCs w:val="20"/>
          <w:color w:val="auto"/>
        </w:rPr>
      </w:pPr>
    </w:p>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have been highly volatile. Accordingly, the trading price of our common stock is likely to be subject to wide fluctuations. Factors affecting the trading price of our common stock include:</w:t>
      </w:r>
    </w:p>
    <w:p>
      <w:pPr>
        <w:spacing w:after="0" w:line="54" w:lineRule="exact"/>
        <w:rPr>
          <w:sz w:val="20"/>
          <w:szCs w:val="20"/>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in our operating results;</w:t>
      </w:r>
    </w:p>
    <w:p>
      <w:pPr>
        <w:spacing w:after="0" w:line="130" w:lineRule="exact"/>
        <w:rPr>
          <w:rFonts w:ascii="Times New Roman" w:cs="Times New Roman" w:eastAsia="Times New Roman" w:hAnsi="Times New Roman"/>
          <w:sz w:val="18"/>
          <w:szCs w:val="18"/>
          <w:b w:val="1"/>
          <w:bCs w:val="1"/>
          <w:color w:val="auto"/>
        </w:rPr>
      </w:pPr>
    </w:p>
    <w:p>
      <w:pPr>
        <w:ind w:left="540" w:right="460" w:hanging="316"/>
        <w:spacing w:after="0" w:line="282"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gain or loss of significant customers;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recruitment or departure of key personnel;</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 conditions in our industry, the industries of our customers and the economy as a whole; and</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adoption or modification of regulations, policies, procedures or programs applicable to our business.</w:t>
      </w:r>
    </w:p>
    <w:p>
      <w:pPr>
        <w:spacing w:after="0" w:line="117"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continued or greater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even if these events do not directly affect us. Each of these factors, among others, could have a material adverse effect on an investment in our common stock. Some companies that have had volatile market prices for their securities have had securities class actions filed against them. If a suit were filed against us, regardless of the outcome, it could result in substantial costs and a diversion of our management’s attention and resources. This could have a material adverse effect on our business, prospects,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180-day contractual lock-up and other legal restrictions on resale discussed in the final prospectus relating to our initial public offering lapse, the trading price of our common stock could decline. Based on shares outstanding as of September 30, 2006, upon completion of our initial public offering in June 2006, we had outstanding 31,935,860 shares of common stock. Of these shares, only the 8,125,962 shares of common stock sold in our initial public offering (including those shares sold upon the exercise of the over-allotment option) are freely tradable, without restriction, in the public market. Goldman, Sachs &amp; Co. may, in its sole discretion, permit our officers, directors, employees and current stockholders who are subject to the 180-day contractual lock-up to sell shares prior to the expiration of the lock-up agreements.</w:t>
      </w:r>
    </w:p>
    <w:p>
      <w:pPr>
        <w:spacing w:after="0" w:line="81" w:lineRule="exact"/>
        <w:rPr>
          <w:sz w:val="20"/>
          <w:szCs w:val="20"/>
          <w:color w:val="auto"/>
        </w:rPr>
      </w:pPr>
    </w:p>
    <w:p>
      <w:pPr>
        <w:ind w:right="80" w:firstLine="215"/>
        <w:spacing w:after="0" w:line="255" w:lineRule="auto"/>
        <w:rPr>
          <w:sz w:val="20"/>
          <w:szCs w:val="20"/>
          <w:color w:val="auto"/>
        </w:rPr>
      </w:pPr>
      <w:r>
        <w:rPr>
          <w:rFonts w:ascii="Times New Roman" w:cs="Times New Roman" w:eastAsia="Times New Roman" w:hAnsi="Times New Roman"/>
          <w:sz w:val="18"/>
          <w:szCs w:val="18"/>
          <w:color w:val="auto"/>
        </w:rPr>
        <w:t>After the lock-up agreements pertaining to our initial public offering in June 2006 expire 180 days from the date of the final prospectus relating to such offering, up to an additional 23,679,176 shares will be eligible for sale in the public market, 13,348,155 of which are held by directors, executive officers and other affiliates and will be subject to volume limitations under Rule 144 under the Securities Act of 1933 (the “Securities Act”), as amended, and various vesting agreements. In addition, the 94,828 shares subject to outstanding warrants and the 4,206,805 shares that are either subject to outstanding options or reserved for future issuance under our 2000 Stock Option Plan and 2006 Equity Incentive Plan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Some of our existing stockholders have demand and piggyback rights to require us to register with the SEC up to 10,940,309 shares of our common stock that they own. In addition, our existing warrant holders have piggyback rights to require us to register with the SEC up to 94,828 shares of our common stock that they acquire upon exercise of their warrants. If we register these shares of common stock, the stockholders can freely sell the shares in the public market. All of these shares are subject to lock-up agreements restricting their sale for 180 days after the date of the final prospectus relating to our initial public offering.</w:t>
      </w:r>
    </w:p>
    <w:p>
      <w:pPr>
        <w:spacing w:after="0" w:line="76" w:lineRule="exact"/>
        <w:rPr>
          <w:sz w:val="20"/>
          <w:szCs w:val="20"/>
          <w:color w:val="auto"/>
        </w:rPr>
      </w:pPr>
    </w:p>
    <w:p>
      <w:pPr>
        <w:ind w:right="100" w:firstLine="222"/>
        <w:spacing w:after="0" w:line="282" w:lineRule="auto"/>
        <w:rPr>
          <w:sz w:val="20"/>
          <w:szCs w:val="20"/>
          <w:color w:val="auto"/>
        </w:rPr>
      </w:pPr>
      <w:r>
        <w:rPr>
          <w:rFonts w:ascii="Times New Roman" w:cs="Times New Roman" w:eastAsia="Times New Roman" w:hAnsi="Times New Roman"/>
          <w:sz w:val="18"/>
          <w:szCs w:val="18"/>
          <w:color w:val="auto"/>
        </w:rPr>
        <w:t>We have registered 4,242,373 shares of our common stock that we may issue under our equity plans. These shares can be freely sold in the public market upon issuance, subject to the lock-up agreements, if applicable, described above.</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About Our Business, Our Stock Price and Trading Volume Could Decline.</w:t>
      </w:r>
    </w:p>
    <w:p>
      <w:pPr>
        <w:spacing w:after="0" w:line="51"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our stock price would likely decline. If one or more of these analysts ceases coverage of our company or fails to regularly publish reports on us, interest in the purchase of our stock could decrease, which could cause our stock price or trading volume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Stockholders Significantly Influence Us and Could Delay or Prevent an Acquisition By a Third Party.</w:t>
      </w:r>
    </w:p>
    <w:p>
      <w:pPr>
        <w:spacing w:after="0" w:line="121" w:lineRule="exact"/>
        <w:rPr>
          <w:sz w:val="20"/>
          <w:szCs w:val="20"/>
          <w:color w:val="auto"/>
        </w:rPr>
      </w:pPr>
    </w:p>
    <w:p>
      <w:pPr>
        <w:ind w:right="240" w:firstLine="225"/>
        <w:spacing w:after="0" w:line="261" w:lineRule="auto"/>
        <w:rPr>
          <w:sz w:val="20"/>
          <w:szCs w:val="20"/>
          <w:color w:val="auto"/>
        </w:rPr>
      </w:pPr>
      <w:r>
        <w:rPr>
          <w:rFonts w:ascii="Times New Roman" w:cs="Times New Roman" w:eastAsia="Times New Roman" w:hAnsi="Times New Roman"/>
          <w:sz w:val="18"/>
          <w:szCs w:val="18"/>
          <w:color w:val="auto"/>
        </w:rPr>
        <w:t>Upon completion of our initial public offering in June 2006 and the exercise of the over-allotment option by our IPO underwriters, executive officers, directors and their affiliates beneficially owned, in the aggregate, approximately 42.25% of our outstanding common stock. As a result, these stockholders will be able to exercise significant influence over all matters requiring stockholder approval, including the election of directors and approval of significant corporate transactions, which could have the effect of delaying or preventing a third party from acquiring control over us.</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51" w:lineRule="exact"/>
        <w:rPr>
          <w:sz w:val="20"/>
          <w:szCs w:val="20"/>
          <w:color w:val="auto"/>
        </w:rPr>
      </w:pPr>
    </w:p>
    <w:p>
      <w:pPr>
        <w:ind w:right="140" w:firstLine="222"/>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 over us that stockholders may consider favorable. Our amended and restated certificate of incorporation and bylaws:</w:t>
      </w:r>
    </w:p>
    <w:p>
      <w:pPr>
        <w:spacing w:after="0" w:line="76"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130" w:lineRule="exact"/>
        <w:rPr>
          <w:rFonts w:ascii="Times New Roman" w:cs="Times New Roman" w:eastAsia="Times New Roman" w:hAnsi="Times New Roman"/>
          <w:sz w:val="18"/>
          <w:szCs w:val="18"/>
          <w:b w:val="1"/>
          <w:bCs w:val="1"/>
          <w:color w:val="auto"/>
        </w:rPr>
      </w:pPr>
    </w:p>
    <w:p>
      <w:pPr>
        <w:ind w:left="540" w:right="64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prohibit cumulative voting in the election of directors, which would otherwise allow holders of less than a majority of the stock to elect some directors;</w:t>
      </w:r>
    </w:p>
    <w:p>
      <w:pPr>
        <w:spacing w:after="0" w:line="67" w:lineRule="exact"/>
        <w:rPr>
          <w:rFonts w:ascii="Times New Roman" w:cs="Times New Roman" w:eastAsia="Times New Roman" w:hAnsi="Times New Roman"/>
          <w:sz w:val="18"/>
          <w:szCs w:val="18"/>
          <w:b w:val="1"/>
          <w:bCs w:val="1"/>
          <w:color w:val="auto"/>
        </w:rPr>
      </w:pPr>
    </w:p>
    <w:p>
      <w:pPr>
        <w:ind w:left="540" w:right="4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that directors only be removed from office for cause;</w:t>
      </w:r>
    </w:p>
    <w:p>
      <w:pPr>
        <w:spacing w:after="0" w:line="130" w:lineRule="exact"/>
        <w:rPr>
          <w:rFonts w:ascii="Times New Roman" w:cs="Times New Roman" w:eastAsia="Times New Roman" w:hAnsi="Times New Roman"/>
          <w:sz w:val="18"/>
          <w:szCs w:val="18"/>
          <w:b w:val="1"/>
          <w:bCs w:val="1"/>
          <w:color w:val="auto"/>
        </w:rPr>
      </w:pPr>
    </w:p>
    <w:p>
      <w:pPr>
        <w:ind w:left="540" w:right="400" w:hanging="316"/>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w:t>
      </w:r>
    </w:p>
    <w:p>
      <w:pPr>
        <w:spacing w:after="0" w:line="67"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who may call special meetings of stockholders;</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 and</w:t>
      </w:r>
    </w:p>
    <w:p>
      <w:pPr>
        <w:spacing w:after="0" w:line="130" w:lineRule="exact"/>
        <w:rPr>
          <w:rFonts w:ascii="Times New Roman" w:cs="Times New Roman" w:eastAsia="Times New Roman" w:hAnsi="Times New Roman"/>
          <w:sz w:val="18"/>
          <w:szCs w:val="18"/>
          <w:b w:val="1"/>
          <w:bCs w:val="1"/>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advance notice requirements for nominating candidates for election to the board of directors or for proposing matters</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that can be acted upon by stockholders at stockholder meetings.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Our Initial Public Offering May Limit Our Ability to Use Our Net Operating Loss Carryforwards.</w:t>
      </w:r>
    </w:p>
    <w:p>
      <w:pPr>
        <w:spacing w:after="0" w:line="121" w:lineRule="exact"/>
        <w:rPr>
          <w:sz w:val="20"/>
          <w:szCs w:val="20"/>
          <w:color w:val="auto"/>
        </w:rPr>
      </w:pPr>
    </w:p>
    <w:p>
      <w:pPr>
        <w:ind w:firstLine="215"/>
        <w:spacing w:after="0" w:line="261" w:lineRule="auto"/>
        <w:rPr>
          <w:sz w:val="20"/>
          <w:szCs w:val="20"/>
          <w:color w:val="auto"/>
        </w:rPr>
      </w:pPr>
      <w:r>
        <w:rPr>
          <w:rFonts w:ascii="Times New Roman" w:cs="Times New Roman" w:eastAsia="Times New Roman" w:hAnsi="Times New Roman"/>
          <w:sz w:val="18"/>
          <w:szCs w:val="18"/>
          <w:color w:val="auto"/>
        </w:rPr>
        <w:t>As of December 31, 2005, we had substantial federal and state net operating loss carryforwards. Under the provisions of the Internal Revenue Code, substantial changes in our ownership may limit the amount of net operating loss carryforwards that can be utilized annually in the future to offset taxable income. We believe that, as a result of our IPO in June 2006, it is possible that a change in our ownership will be deemed to have occurred. If such a change in our ownership has occurred, our ability to use our net operating loss carryforwards in any fiscal year may be limited under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2006, we granted restricted stock awards and options to purchase an aggregate of 280,500 shares of common stock to our employees under the 2006 Plan. During this period, we issued an aggregate of 26,182 shares of common stock pursuant to the exercise of stock options for cash consideration with aggregate exercise proceeds of $7,843. The issuances relating to 6,199 of these shares were undertaken in reliance upon the exemption from registration requirements of Rule 701 of the Securities Act and Section 4(2) of the Securities Act.</w:t>
      </w:r>
    </w:p>
    <w:p>
      <w:pPr>
        <w:spacing w:after="0" w:line="72"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sold 6,532,107 shares of common stock in the IPO for net proceeds to us of $45.6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There has been no material change in our planned use of proceeds from the IPO from that described in the final prospectus filed with the SEC pursuant to Rule 424(b).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5"/>
                <w:szCs w:val="15"/>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34"/>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420"/>
          </w:cols>
          <w:pgMar w:left="240" w:top="415"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Waldis, certify that:</w:t>
      </w:r>
    </w:p>
    <w:p>
      <w:pPr>
        <w:spacing w:after="0" w:line="117"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Synchronoss Technologies, Inc. for the quarter ended September 30, 2006;</w:t>
      </w:r>
    </w:p>
    <w:p>
      <w:pPr>
        <w:spacing w:after="0" w:line="130" w:lineRule="exact"/>
        <w:rPr>
          <w:rFonts w:ascii="Times New Roman" w:cs="Times New Roman" w:eastAsia="Times New Roman" w:hAnsi="Times New Roman"/>
          <w:sz w:val="18"/>
          <w:szCs w:val="18"/>
          <w:color w:val="auto"/>
        </w:rPr>
      </w:pPr>
    </w:p>
    <w:p>
      <w:pPr>
        <w:jc w:val="both"/>
        <w:ind w:left="540" w:right="400" w:hanging="316"/>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780" w:right="420" w:hanging="326"/>
        <w:spacing w:after="0" w:line="266"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780" w:right="120" w:hanging="326"/>
        <w:spacing w:after="0" w:line="266"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1" w:lineRule="exact"/>
        <w:rPr>
          <w:rFonts w:ascii="Times New Roman" w:cs="Times New Roman" w:eastAsia="Times New Roman" w:hAnsi="Times New Roman"/>
          <w:sz w:val="18"/>
          <w:szCs w:val="18"/>
          <w:color w:val="auto"/>
        </w:rPr>
      </w:pPr>
    </w:p>
    <w:p>
      <w:pPr>
        <w:jc w:val="both"/>
        <w:ind w:left="780" w:right="920" w:hanging="326"/>
        <w:spacing w:after="0" w:line="313" w:lineRule="auto"/>
        <w:tabs>
          <w:tab w:leader="none" w:pos="7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780" w:right="80" w:hanging="326"/>
        <w:spacing w:after="0" w:line="266"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80" w:right="340" w:hanging="326"/>
        <w:spacing w:after="0" w:line="282"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80" w:right="300" w:hanging="326"/>
        <w:spacing w:after="0" w:line="282" w:lineRule="auto"/>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 Waldis</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420"/>
          </w:cols>
          <w:pgMar w:left="240" w:top="928"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R. Irving, certify that:</w:t>
      </w:r>
    </w:p>
    <w:p>
      <w:pPr>
        <w:spacing w:after="0" w:line="117"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Synchronoss Technologies, Inc. for the quarter ended September 30, 2006;</w:t>
      </w:r>
    </w:p>
    <w:p>
      <w:pPr>
        <w:spacing w:after="0" w:line="130" w:lineRule="exact"/>
        <w:rPr>
          <w:rFonts w:ascii="Times New Roman" w:cs="Times New Roman" w:eastAsia="Times New Roman" w:hAnsi="Times New Roman"/>
          <w:sz w:val="18"/>
          <w:szCs w:val="18"/>
          <w:color w:val="auto"/>
        </w:rPr>
      </w:pPr>
    </w:p>
    <w:p>
      <w:pPr>
        <w:jc w:val="both"/>
        <w:ind w:left="540" w:right="40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780" w:right="420" w:hanging="326"/>
        <w:spacing w:after="0" w:line="266"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780" w:right="120" w:hanging="326"/>
        <w:spacing w:after="0" w:line="266"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1" w:lineRule="exact"/>
        <w:rPr>
          <w:rFonts w:ascii="Times New Roman" w:cs="Times New Roman" w:eastAsia="Times New Roman" w:hAnsi="Times New Roman"/>
          <w:sz w:val="18"/>
          <w:szCs w:val="18"/>
          <w:color w:val="auto"/>
        </w:rPr>
      </w:pPr>
    </w:p>
    <w:p>
      <w:pPr>
        <w:jc w:val="both"/>
        <w:ind w:left="780" w:right="920" w:hanging="326"/>
        <w:spacing w:after="0" w:line="313" w:lineRule="auto"/>
        <w:tabs>
          <w:tab w:leader="none" w:pos="7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780" w:right="80" w:hanging="326"/>
        <w:spacing w:after="0" w:line="266"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80" w:right="340" w:hanging="326"/>
        <w:spacing w:after="0" w:line="282"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80" w:right="300" w:hanging="326"/>
        <w:spacing w:after="0" w:line="282"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R. Irving</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R. Irving</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420"/>
          </w:cols>
          <w:pgMar w:left="240" w:top="1360"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Synchronoss Technologies, Inc. (the “Company”) for the quarter ending September 30, 2006, as filed with the Securities and Exchange Commission on the date hereof (the “Report”), I, Stephen G. Waldis, the Chairman of the Board of Directors, President</w:t>
      </w:r>
    </w:p>
    <w:p>
      <w:pPr>
        <w:spacing w:after="0" w:line="1" w:lineRule="exact"/>
        <w:rPr>
          <w:sz w:val="20"/>
          <w:szCs w:val="20"/>
          <w:color w:val="auto"/>
        </w:rPr>
      </w:pPr>
    </w:p>
    <w:p>
      <w:pPr>
        <w:ind w:right="420" w:firstLine="8"/>
        <w:spacing w:after="0" w:line="261"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of the Company, hereby certify, pursuant to 18 U.S.C. 1350, as adopted pursuant to Section 906 of the Sarbanes-Oxley Act of 2002, to the best of my knowledge and belief that:</w:t>
      </w:r>
    </w:p>
    <w:p>
      <w:pPr>
        <w:spacing w:after="0" w:line="7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320" w:firstLine="222"/>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 Waldis</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360"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Synchronoss Technologies, Inc. (the “Company”) for the quarter ending September 30, 2006,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2"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320" w:firstLine="222"/>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2006</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R. Irving</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R. Irving</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amp;"/>
      <w:numFmt w:val="bullet"/>
      <w:start w:val="1"/>
    </w:lvl>
    <w:lvl w:ilvl="1">
      <w:lvlJc w:val="left"/>
      <w:lvlText w:val="(%2)"/>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2019-12-15T04:27:56Z</dcterms:created>
  <dcterms:modified xsi:type="dcterms:W3CDTF">2019-12-15T04:27:56Z</dcterms:modified>
</cp:coreProperties>
</file>