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351155</wp:posOffset>
            </wp:positionV>
            <wp:extent cx="712025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6"/>
          <w:szCs w:val="16"/>
          <w:color w:val="auto"/>
        </w:rPr>
        <w:t>(Mark One)</w:t>
      </w:r>
    </w:p>
    <w:p>
      <w:pPr>
        <w:spacing w:after="0" w:line="31" w:lineRule="exact"/>
        <w:rPr>
          <w:sz w:val="24"/>
          <w:szCs w:val="24"/>
          <w:color w:val="auto"/>
        </w:rPr>
      </w:pPr>
    </w:p>
    <w:p>
      <w:pPr>
        <w:ind w:left="1020" w:hanging="592"/>
        <w:spacing w:after="0"/>
        <w:tabs>
          <w:tab w:leader="none" w:pos="10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1" w:lineRule="exact"/>
        <w:rPr>
          <w:sz w:val="24"/>
          <w:szCs w:val="24"/>
          <w:color w:val="auto"/>
        </w:rPr>
      </w:pPr>
    </w:p>
    <w:p>
      <w:pPr>
        <w:ind w:left="1020" w:hanging="592"/>
        <w:spacing w:after="0"/>
        <w:tabs>
          <w:tab w:leader="none" w:pos="102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29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6" w:lineRule="exact"/>
        <w:rPr>
          <w:sz w:val="24"/>
          <w:szCs w:val="24"/>
          <w:color w:val="auto"/>
        </w:rPr>
      </w:pPr>
    </w:p>
    <w:p>
      <w:pPr>
        <w:sectPr>
          <w:pgSz w:w="11900" w:h="16838" w:orient="portrait"/>
          <w:cols w:equalWidth="0" w:num="2">
            <w:col w:w="6380" w:space="380"/>
            <w:col w:w="4480"/>
          </w:cols>
          <w:pgMar w:left="320" w:top="22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Commission file number 001-40574</w:t>
      </w:r>
    </w:p>
    <w:p>
      <w:pPr>
        <w:sectPr>
          <w:pgSz w:w="11900" w:h="16838" w:orient="portrait"/>
          <w:cols w:equalWidth="0" w:num="1">
            <w:col w:w="11240"/>
          </w:cols>
          <w:pgMar w:left="320" w:top="225"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SYNCHRONOSS TECHNOLOGIES, INC.</w:t>
      </w:r>
    </w:p>
    <w:p>
      <w:pPr>
        <w:spacing w:after="0" w:line="46" w:lineRule="exact"/>
        <w:rPr>
          <w:sz w:val="24"/>
          <w:szCs w:val="24"/>
          <w:color w:val="auto"/>
        </w:rPr>
      </w:pPr>
    </w:p>
    <w:tbl>
      <w:tblPr>
        <w:tblLayout w:type="fixed"/>
        <w:tblInd w:w="1580" w:type="dxa"/>
        <w:tblCellMar>
          <w:top w:w="0" w:type="dxa"/>
          <w:left w:w="0" w:type="dxa"/>
          <w:bottom w:w="0" w:type="dxa"/>
          <w:right w:w="0" w:type="dxa"/>
        </w:tblCellMar>
      </w:tblPr>
      <w:tr>
        <w:trPr>
          <w:trHeight w:val="203"/>
        </w:trPr>
        <w:tc>
          <w:tcPr>
            <w:tcW w:w="5960" w:type="dxa"/>
            <w:vAlign w:val="bottom"/>
          </w:tcPr>
          <w:p>
            <w:pPr>
              <w:jc w:val="center"/>
              <w:ind w:left="2042"/>
              <w:spacing w:after="0"/>
              <w:rPr>
                <w:sz w:val="20"/>
                <w:szCs w:val="20"/>
                <w:color w:val="auto"/>
              </w:rPr>
            </w:pPr>
            <w:r>
              <w:rPr>
                <w:rFonts w:ascii="Times New Roman" w:cs="Times New Roman" w:eastAsia="Times New Roman" w:hAnsi="Times New Roman"/>
                <w:sz w:val="16"/>
                <w:szCs w:val="16"/>
                <w:color w:val="auto"/>
                <w:w w:val="97"/>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4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06-1594540</w:t>
            </w:r>
          </w:p>
        </w:tc>
        <w:tc>
          <w:tcPr>
            <w:tcW w:w="0" w:type="dxa"/>
            <w:vAlign w:val="bottom"/>
          </w:tcPr>
          <w:p>
            <w:pPr>
              <w:spacing w:after="0"/>
              <w:rPr>
                <w:sz w:val="1"/>
                <w:szCs w:val="1"/>
                <w:color w:val="auto"/>
              </w:rPr>
            </w:pPr>
          </w:p>
        </w:tc>
      </w:tr>
      <w:tr>
        <w:trPr>
          <w:trHeight w:val="163"/>
        </w:trPr>
        <w:tc>
          <w:tcPr>
            <w:tcW w:w="5960" w:type="dxa"/>
            <w:vAlign w:val="bottom"/>
          </w:tcPr>
          <w:p>
            <w:pPr>
              <w:jc w:val="center"/>
              <w:ind w:right="3402"/>
              <w:spacing w:after="0" w:line="163" w:lineRule="exact"/>
              <w:rPr>
                <w:sz w:val="20"/>
                <w:szCs w:val="20"/>
                <w:color w:val="auto"/>
              </w:rPr>
            </w:pPr>
            <w:r>
              <w:rPr>
                <w:rFonts w:ascii="Times New Roman" w:cs="Times New Roman" w:eastAsia="Times New Roman" w:hAnsi="Times New Roman"/>
                <w:sz w:val="16"/>
                <w:szCs w:val="16"/>
                <w:color w:val="auto"/>
                <w:w w:val="96"/>
              </w:rPr>
              <w:t>(State or other jurisdiction of</w:t>
            </w:r>
          </w:p>
        </w:tc>
        <w:tc>
          <w:tcPr>
            <w:tcW w:w="1460" w:type="dxa"/>
            <w:vAlign w:val="bottom"/>
          </w:tcPr>
          <w:p>
            <w:pPr>
              <w:jc w:val="center"/>
              <w:ind w:left="222"/>
              <w:spacing w:after="0" w:line="163" w:lineRule="exact"/>
              <w:rPr>
                <w:sz w:val="20"/>
                <w:szCs w:val="20"/>
                <w:color w:val="auto"/>
              </w:rPr>
            </w:pPr>
            <w:r>
              <w:rPr>
                <w:rFonts w:ascii="Times New Roman" w:cs="Times New Roman" w:eastAsia="Times New Roman" w:hAnsi="Times New Roman"/>
                <w:sz w:val="16"/>
                <w:szCs w:val="16"/>
                <w:color w:val="auto"/>
                <w:w w:val="98"/>
              </w:rPr>
              <w:t>(I.R.S. Employer</w:t>
            </w:r>
          </w:p>
        </w:tc>
        <w:tc>
          <w:tcPr>
            <w:tcW w:w="0" w:type="dxa"/>
            <w:vAlign w:val="bottom"/>
          </w:tcPr>
          <w:p>
            <w:pPr>
              <w:spacing w:after="0"/>
              <w:rPr>
                <w:sz w:val="1"/>
                <w:szCs w:val="1"/>
                <w:color w:val="auto"/>
              </w:rPr>
            </w:pPr>
          </w:p>
        </w:tc>
      </w:tr>
      <w:tr>
        <w:trPr>
          <w:trHeight w:val="203"/>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Identification No.)</w:t>
            </w:r>
          </w:p>
        </w:tc>
        <w:tc>
          <w:tcPr>
            <w:tcW w:w="0" w:type="dxa"/>
            <w:vAlign w:val="bottom"/>
          </w:tcPr>
          <w:p>
            <w:pPr>
              <w:spacing w:after="0"/>
              <w:rPr>
                <w:sz w:val="1"/>
                <w:szCs w:val="1"/>
                <w:color w:val="auto"/>
              </w:rPr>
            </w:pPr>
          </w:p>
        </w:tc>
      </w:tr>
      <w:tr>
        <w:trPr>
          <w:trHeight w:val="370"/>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6"/>
              </w:rPr>
              <w:t>200 Crossing Boulevard, 8th Floor</w:t>
            </w:r>
          </w:p>
        </w:tc>
        <w:tc>
          <w:tcPr>
            <w:tcW w:w="14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08807</w:t>
            </w:r>
          </w:p>
        </w:tc>
        <w:tc>
          <w:tcPr>
            <w:tcW w:w="0" w:type="dxa"/>
            <w:vAlign w:val="bottom"/>
          </w:tcPr>
          <w:p>
            <w:pPr>
              <w:spacing w:after="0"/>
              <w:rPr>
                <w:sz w:val="1"/>
                <w:szCs w:val="1"/>
                <w:color w:val="auto"/>
              </w:rPr>
            </w:pPr>
          </w:p>
        </w:tc>
      </w:tr>
      <w:tr>
        <w:trPr>
          <w:trHeight w:val="205"/>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5"/>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(Zip Code)</w:t>
            </w:r>
          </w:p>
        </w:tc>
        <w:tc>
          <w:tcPr>
            <w:tcW w:w="0" w:type="dxa"/>
            <w:vAlign w:val="bottom"/>
          </w:tcPr>
          <w:p>
            <w:pPr>
              <w:spacing w:after="0"/>
              <w:rPr>
                <w:sz w:val="1"/>
                <w:szCs w:val="1"/>
                <w:color w:val="auto"/>
              </w:rPr>
            </w:pPr>
          </w:p>
        </w:tc>
      </w:tr>
      <w:tr>
        <w:trPr>
          <w:trHeight w:val="449"/>
        </w:trPr>
        <w:tc>
          <w:tcPr>
            <w:tcW w:w="5960" w:type="dxa"/>
            <w:vAlign w:val="bottom"/>
          </w:tcPr>
          <w:p>
            <w:pPr>
              <w:jc w:val="right"/>
              <w:ind w:right="1342"/>
              <w:spacing w:after="0"/>
              <w:rPr>
                <w:sz w:val="20"/>
                <w:szCs w:val="20"/>
                <w:color w:val="auto"/>
              </w:rPr>
            </w:pPr>
            <w:r>
              <w:rPr>
                <w:rFonts w:ascii="Times New Roman" w:cs="Times New Roman" w:eastAsia="Times New Roman" w:hAnsi="Times New Roman"/>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3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5"/>
          <w:szCs w:val="15"/>
          <w:color w:val="auto"/>
        </w:rPr>
        <w:t xml:space="preserve"> No </w:t>
      </w:r>
      <w:r>
        <w:rPr>
          <w:rFonts w:ascii="MS PGothic" w:cs="MS PGothic" w:eastAsia="MS PGothic" w:hAnsi="MS PGothic"/>
          <w:sz w:val="12"/>
          <w:szCs w:val="12"/>
          <w:color w:val="auto"/>
        </w:rPr>
        <w:t>☐</w:t>
      </w:r>
    </w:p>
    <w:p>
      <w:pPr>
        <w:spacing w:after="0" w:line="79"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3"/>
          <w:szCs w:val="13"/>
          <w:color w:val="auto"/>
        </w:rPr>
        <w:t>☐</w:t>
      </w:r>
    </w:p>
    <w:p>
      <w:pPr>
        <w:spacing w:after="0" w:line="158"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tbl>
      <w:tblPr>
        <w:tblLayout w:type="fixed"/>
        <w:tblInd w:w="680" w:type="dxa"/>
        <w:tblCellMar>
          <w:top w:w="0" w:type="dxa"/>
          <w:left w:w="0" w:type="dxa"/>
          <w:bottom w:w="0" w:type="dxa"/>
          <w:right w:w="0" w:type="dxa"/>
        </w:tblCellMar>
      </w:tblPr>
      <w:tr>
        <w:trPr>
          <w:trHeight w:val="193"/>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Large 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jc w:val="center"/>
              <w:ind w:left="2102"/>
              <w:spacing w:after="0"/>
              <w:rPr>
                <w:sz w:val="20"/>
                <w:szCs w:val="20"/>
                <w:color w:val="auto"/>
              </w:rPr>
            </w:pPr>
            <w:r>
              <w:rPr>
                <w:rFonts w:ascii="Times New Roman" w:cs="Times New Roman" w:eastAsia="Times New Roman" w:hAnsi="Times New Roman"/>
                <w:sz w:val="16"/>
                <w:szCs w:val="16"/>
                <w:color w:val="auto"/>
                <w:w w:val="98"/>
              </w:rPr>
              <w:t>Accelerated filer</w:t>
            </w:r>
          </w:p>
        </w:tc>
        <w:tc>
          <w:tcPr>
            <w:tcW w:w="520" w:type="dxa"/>
            <w:vAlign w:val="bottom"/>
          </w:tcPr>
          <w:p>
            <w:pPr>
              <w:ind w:left="380"/>
              <w:spacing w:after="0"/>
              <w:rPr>
                <w:sz w:val="20"/>
                <w:szCs w:val="20"/>
                <w:color w:val="auto"/>
              </w:rPr>
            </w:pPr>
            <w:r>
              <w:rPr>
                <w:rFonts w:ascii="Wingdings" w:cs="Wingdings" w:eastAsia="Wingdings" w:hAnsi="Wingdings"/>
                <w:sz w:val="14"/>
                <w:szCs w:val="14"/>
                <w:b w:val="1"/>
                <w:bCs w:val="1"/>
                <w:color w:val="auto"/>
                <w:w w:val="80"/>
              </w:rPr>
              <w:t>x</w:t>
            </w:r>
          </w:p>
        </w:tc>
      </w:tr>
      <w:tr>
        <w:trPr>
          <w:trHeight w:val="209"/>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Non-accelerated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7"/>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8"/>
              </w:rPr>
              <w:t>Emerging growth company</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10"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3"/>
          <w:szCs w:val="13"/>
          <w:b w:val="1"/>
          <w:bCs w:val="1"/>
          <w:color w:val="auto"/>
        </w:rPr>
        <w:t>x</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38"/>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0"/>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Common Stock, $.0001 par value</w:t>
            </w:r>
          </w:p>
        </w:tc>
        <w:tc>
          <w:tcPr>
            <w:tcW w:w="10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SNCR</w:t>
            </w:r>
          </w:p>
        </w:tc>
        <w:tc>
          <w:tcPr>
            <w:tcW w:w="100" w:type="dxa"/>
            <w:vAlign w:val="bottom"/>
          </w:tcPr>
          <w:p>
            <w:pPr>
              <w:spacing w:after="0"/>
              <w:rPr>
                <w:sz w:val="17"/>
                <w:szCs w:val="17"/>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11, 2025, there were 11,501,753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516890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760" w:type="dxa"/>
            <w:vAlign w:val="bottom"/>
            <w:gridSpan w:val="8"/>
          </w:tcPr>
          <w:p>
            <w:pPr>
              <w:jc w:val="right"/>
              <w:ind w:right="520"/>
              <w:spacing w:after="0"/>
              <w:rPr>
                <w:sz w:val="20"/>
                <w:szCs w:val="20"/>
                <w:color w:val="auto"/>
              </w:rPr>
            </w:pPr>
            <w:r>
              <w:rPr>
                <w:rFonts w:ascii="Times New Roman" w:cs="Times New Roman" w:eastAsia="Times New Roman" w:hAnsi="Times New Roman"/>
                <w:sz w:val="17"/>
                <w:szCs w:val="17"/>
                <w:color w:val="0000FF"/>
              </w:rPr>
              <w:t>Table of Contents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14"/>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60" w:type="dxa"/>
            <w:vAlign w:val="bottom"/>
            <w:gridSpan w:val="12"/>
          </w:tcPr>
          <w:p>
            <w:pPr>
              <w:jc w:val="center"/>
              <w:ind w:right="3900"/>
              <w:spacing w:after="0"/>
              <w:rPr>
                <w:sz w:val="20"/>
                <w:szCs w:val="20"/>
                <w:color w:val="auto"/>
              </w:rPr>
            </w:pPr>
            <w:r>
              <w:rPr>
                <w:rFonts w:ascii="Times New Roman" w:cs="Times New Roman" w:eastAsia="Times New Roman" w:hAnsi="Times New Roman"/>
                <w:sz w:val="17"/>
                <w:szCs w:val="17"/>
                <w:b w:val="1"/>
                <w:bCs w:val="1"/>
                <w:color w:val="auto"/>
              </w:rPr>
              <w:t>FORM 10-Q INDEX</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900" w:type="dxa"/>
            <w:vAlign w:val="bottom"/>
            <w:gridSpan w:val="29"/>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6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7"/>
                <w:szCs w:val="17"/>
                <w:color w:val="auto"/>
                <w:w w:val="88"/>
              </w:rPr>
              <w:t>Page N</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120" w:type="dxa"/>
            <w:vAlign w:val="bottom"/>
            <w:gridSpan w:val="7"/>
          </w:tcPr>
          <w:p>
            <w:pPr>
              <w:spacing w:after="0" w:line="143" w:lineRule="exact"/>
              <w:rPr>
                <w:sz w:val="20"/>
                <w:szCs w:val="20"/>
                <w:color w:val="auto"/>
              </w:rPr>
            </w:pPr>
            <w:r>
              <w:rPr>
                <w:rFonts w:ascii="Times New Roman" w:cs="Times New Roman" w:eastAsia="Times New Roman" w:hAnsi="Times New Roman"/>
                <w:sz w:val="16"/>
                <w:szCs w:val="16"/>
                <w:color w:val="0000FF"/>
              </w:rPr>
              <w:t>PART I.</w:t>
            </w:r>
          </w:p>
        </w:tc>
        <w:tc>
          <w:tcPr>
            <w:tcW w:w="8900" w:type="dxa"/>
            <w:vAlign w:val="bottom"/>
            <w:gridSpan w:val="29"/>
            <w:vMerge w:val="continue"/>
          </w:tcPr>
          <w:p>
            <w:pPr>
              <w:spacing w:after="0"/>
              <w:rPr>
                <w:sz w:val="14"/>
                <w:szCs w:val="14"/>
                <w:color w:val="auto"/>
              </w:rPr>
            </w:pPr>
          </w:p>
        </w:tc>
        <w:tc>
          <w:tcPr>
            <w:tcW w:w="600" w:type="dxa"/>
            <w:vAlign w:val="bottom"/>
            <w:gridSpan w:val="4"/>
          </w:tcPr>
          <w:p>
            <w:pPr>
              <w:jc w:val="center"/>
              <w:ind w:left="393"/>
              <w:spacing w:after="0" w:line="150" w:lineRule="exact"/>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1.</w:t>
            </w:r>
          </w:p>
        </w:tc>
        <w:tc>
          <w:tcPr>
            <w:tcW w:w="500" w:type="dxa"/>
            <w:vAlign w:val="bottom"/>
            <w:gridSpan w:val="3"/>
          </w:tcPr>
          <w:p>
            <w:pPr>
              <w:spacing w:after="0"/>
              <w:rPr>
                <w:sz w:val="18"/>
                <w:szCs w:val="18"/>
                <w:color w:val="auto"/>
              </w:rPr>
            </w:pP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and Notes</w:t>
            </w: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4920" w:type="dxa"/>
            <w:vAlign w:val="bottom"/>
            <w:gridSpan w:val="8"/>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4460" w:type="dxa"/>
            <w:vAlign w:val="bottom"/>
            <w:gridSpan w:val="5"/>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(unaudited)</w:t>
            </w:r>
          </w:p>
        </w:tc>
        <w:tc>
          <w:tcPr>
            <w:tcW w:w="3100" w:type="dxa"/>
            <w:vAlign w:val="bottom"/>
            <w:gridSpan w:val="2"/>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700" w:type="dxa"/>
            <w:vAlign w:val="bottom"/>
          </w:tcPr>
          <w:p>
            <w:pPr>
              <w:spacing w:after="0"/>
              <w:rPr>
                <w:sz w:val="17"/>
                <w:szCs w:val="17"/>
                <w:color w:val="auto"/>
              </w:rPr>
            </w:pPr>
          </w:p>
        </w:tc>
        <w:tc>
          <w:tcPr>
            <w:tcW w:w="3100" w:type="dxa"/>
            <w:vAlign w:val="bottom"/>
            <w:gridSpan w:val="2"/>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660" w:type="dxa"/>
            <w:vAlign w:val="bottom"/>
            <w:gridSpan w:val="2"/>
          </w:tcPr>
          <w:p>
            <w:pPr>
              <w:spacing w:after="0"/>
              <w:rPr>
                <w:sz w:val="17"/>
                <w:szCs w:val="17"/>
                <w:color w:val="auto"/>
              </w:rPr>
            </w:pPr>
          </w:p>
        </w:tc>
        <w:tc>
          <w:tcPr>
            <w:tcW w:w="3800" w:type="dxa"/>
            <w:vAlign w:val="bottom"/>
            <w:gridSpan w:val="3"/>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40" w:type="dxa"/>
            <w:vAlign w:val="bottom"/>
            <w:tcBorders>
              <w:left w:val="single" w:sz="8" w:color="0000FF"/>
            </w:tcBorders>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Note 1. Description of Business</w:t>
            </w: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Note 2. Basis of Presentation and Consolidation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 3. Revenue</w:t>
            </w:r>
          </w:p>
        </w:tc>
        <w:tc>
          <w:tcPr>
            <w:tcW w:w="2160" w:type="dxa"/>
            <w:vAlign w:val="bottom"/>
            <w:gridSpan w:val="13"/>
          </w:tcPr>
          <w:p>
            <w:pPr>
              <w:spacing w:after="0"/>
              <w:rPr>
                <w:sz w:val="17"/>
                <w:szCs w:val="17"/>
                <w:color w:val="auto"/>
              </w:rPr>
            </w:pPr>
          </w:p>
        </w:tc>
        <w:tc>
          <w:tcPr>
            <w:tcW w:w="5560" w:type="dxa"/>
            <w:vAlign w:val="bottom"/>
            <w:gridSpan w:val="12"/>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29"/>
          </w:tcPr>
          <w:p>
            <w:pPr>
              <w:spacing w:after="0" w:line="189" w:lineRule="exact"/>
              <w:rPr>
                <w:sz w:val="20"/>
                <w:szCs w:val="20"/>
                <w:color w:val="auto"/>
              </w:rPr>
            </w:pPr>
            <w:r>
              <w:rPr>
                <w:rFonts w:ascii="Times New Roman" w:cs="Times New Roman" w:eastAsia="Times New Roman" w:hAnsi="Times New Roman"/>
                <w:sz w:val="17"/>
                <w:szCs w:val="17"/>
                <w:color w:val="0000FF"/>
              </w:rPr>
              <w:t>Note 4. Segments</w:t>
            </w:r>
          </w:p>
        </w:tc>
        <w:tc>
          <w:tcPr>
            <w:tcW w:w="620" w:type="dxa"/>
            <w:vAlign w:val="bottom"/>
            <w:gridSpan w:val="5"/>
          </w:tcPr>
          <w:p>
            <w:pPr>
              <w:jc w:val="center"/>
              <w:ind w:left="373"/>
              <w:spacing w:after="0" w:line="189" w:lineRule="exact"/>
              <w:rPr>
                <w:sz w:val="20"/>
                <w:szCs w:val="20"/>
                <w:color w:val="auto"/>
              </w:rPr>
            </w:pPr>
            <w:r>
              <w:rPr>
                <w:rFonts w:ascii="Times New Roman" w:cs="Times New Roman" w:eastAsia="Times New Roman" w:hAnsi="Times New Roman"/>
                <w:sz w:val="17"/>
                <w:szCs w:val="17"/>
                <w:color w:val="0000FF"/>
                <w:w w:val="93"/>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Note 5. Accounts Receivable Securitization Facility</w:t>
            </w:r>
          </w:p>
        </w:tc>
        <w:tc>
          <w:tcPr>
            <w:tcW w:w="5280" w:type="dxa"/>
            <w:vAlign w:val="bottom"/>
            <w:gridSpan w:val="10"/>
          </w:tcPr>
          <w:p>
            <w:pPr>
              <w:spacing w:after="0"/>
              <w:rPr>
                <w:sz w:val="18"/>
                <w:szCs w:val="18"/>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Note 6. Fair Value Measurements</w:t>
            </w:r>
          </w:p>
        </w:tc>
        <w:tc>
          <w:tcPr>
            <w:tcW w:w="6560" w:type="dxa"/>
            <w:vAlign w:val="bottom"/>
            <w:gridSpan w:val="14"/>
          </w:tcPr>
          <w:p>
            <w:pPr>
              <w:spacing w:after="0"/>
              <w:rPr>
                <w:sz w:val="19"/>
                <w:szCs w:val="19"/>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 7. Note Receivable</w:t>
            </w:r>
          </w:p>
        </w:tc>
        <w:tc>
          <w:tcPr>
            <w:tcW w:w="620" w:type="dxa"/>
            <w:vAlign w:val="bottom"/>
            <w:gridSpan w:val="6"/>
          </w:tcPr>
          <w:p>
            <w:pPr>
              <w:spacing w:after="0"/>
              <w:rPr>
                <w:sz w:val="17"/>
                <w:szCs w:val="17"/>
                <w:color w:val="auto"/>
              </w:rPr>
            </w:pPr>
          </w:p>
        </w:tc>
        <w:tc>
          <w:tcPr>
            <w:tcW w:w="6560" w:type="dxa"/>
            <w:vAlign w:val="bottom"/>
            <w:gridSpan w:val="14"/>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 8. Leases</w:t>
            </w:r>
          </w:p>
        </w:tc>
        <w:tc>
          <w:tcPr>
            <w:tcW w:w="680" w:type="dxa"/>
            <w:vAlign w:val="bottom"/>
            <w:gridSpan w:val="6"/>
          </w:tcPr>
          <w:p>
            <w:pPr>
              <w:spacing w:after="0"/>
              <w:rPr>
                <w:sz w:val="17"/>
                <w:szCs w:val="17"/>
                <w:color w:val="auto"/>
              </w:rPr>
            </w:pPr>
          </w:p>
        </w:tc>
        <w:tc>
          <w:tcPr>
            <w:tcW w:w="7180" w:type="dxa"/>
            <w:vAlign w:val="bottom"/>
            <w:gridSpan w:val="20"/>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 9. Debt</w:t>
            </w:r>
          </w:p>
        </w:tc>
        <w:tc>
          <w:tcPr>
            <w:tcW w:w="7860" w:type="dxa"/>
            <w:vAlign w:val="bottom"/>
            <w:gridSpan w:val="26"/>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Note 10. Accumulated Other Comprehensive Loss</w:t>
            </w: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Note 11. Capital Structure</w:t>
            </w: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 12. Restructuring</w:t>
            </w:r>
          </w:p>
        </w:tc>
        <w:tc>
          <w:tcPr>
            <w:tcW w:w="220" w:type="dxa"/>
            <w:vAlign w:val="bottom"/>
            <w:gridSpan w:val="3"/>
          </w:tcPr>
          <w:p>
            <w:pPr>
              <w:spacing w:after="0"/>
              <w:rPr>
                <w:sz w:val="17"/>
                <w:szCs w:val="17"/>
                <w:color w:val="auto"/>
              </w:rPr>
            </w:pPr>
          </w:p>
        </w:tc>
        <w:tc>
          <w:tcPr>
            <w:tcW w:w="7080" w:type="dxa"/>
            <w:vAlign w:val="bottom"/>
            <w:gridSpan w:val="19"/>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Note 13. Income Taxes</w:t>
            </w:r>
          </w:p>
        </w:tc>
        <w:tc>
          <w:tcPr>
            <w:tcW w:w="72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Note 14. Earnings Per Common Share</w:t>
            </w: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Note 15. Commitments</w:t>
            </w:r>
          </w:p>
        </w:tc>
        <w:tc>
          <w:tcPr>
            <w:tcW w:w="2580" w:type="dxa"/>
            <w:vAlign w:val="bottom"/>
            <w:gridSpan w:val="14"/>
          </w:tcPr>
          <w:p>
            <w:pPr>
              <w:spacing w:after="0"/>
              <w:rPr>
                <w:sz w:val="17"/>
                <w:szCs w:val="17"/>
                <w:color w:val="auto"/>
              </w:rPr>
            </w:pP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 16. Legal Matters</w:t>
            </w:r>
          </w:p>
        </w:tc>
        <w:tc>
          <w:tcPr>
            <w:tcW w:w="72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Note 17. Subsequent Events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2.</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2040" w:type="dxa"/>
            <w:vAlign w:val="bottom"/>
            <w:tcBorders>
              <w:left w:val="single" w:sz="8" w:color="0000FF"/>
            </w:tcBorders>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3.</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4700" w:type="dxa"/>
            <w:vAlign w:val="bottom"/>
            <w:tcBorders>
              <w:left w:val="single" w:sz="8" w:color="0000FF"/>
            </w:tcBorders>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4.</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1.</w:t>
            </w:r>
          </w:p>
        </w:tc>
        <w:tc>
          <w:tcPr>
            <w:tcW w:w="500" w:type="dxa"/>
            <w:vAlign w:val="bottom"/>
            <w:gridSpan w:val="3"/>
          </w:tcPr>
          <w:p>
            <w:pPr>
              <w:spacing w:after="0"/>
              <w:rPr>
                <w:sz w:val="17"/>
                <w:szCs w:val="17"/>
                <w:color w:val="auto"/>
              </w:rPr>
            </w:pPr>
          </w:p>
        </w:tc>
        <w:tc>
          <w:tcPr>
            <w:tcW w:w="18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080" w:type="dxa"/>
            <w:vAlign w:val="bottom"/>
            <w:gridSpan w:val="19"/>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8"/>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1A.</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0000FF"/>
                <w:w w:val="95"/>
              </w:rPr>
              <w:t>Item 2.</w:t>
            </w:r>
          </w:p>
        </w:tc>
        <w:tc>
          <w:tcPr>
            <w:tcW w:w="400" w:type="dxa"/>
            <w:vAlign w:val="bottom"/>
            <w:gridSpan w:val="2"/>
          </w:tcPr>
          <w:p>
            <w:pPr>
              <w:spacing w:after="0"/>
              <w:rPr>
                <w:sz w:val="17"/>
                <w:szCs w:val="17"/>
                <w:color w:val="auto"/>
              </w:rPr>
            </w:pP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980" w:type="dxa"/>
            <w:vAlign w:val="bottom"/>
            <w:tcBorders>
              <w:left w:val="single" w:sz="8" w:color="0000FF"/>
            </w:tcBorders>
            <w:gridSpan w:val="8"/>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00FF"/>
            </w:tcBorders>
            <w:gridSpan w:val="5"/>
          </w:tcPr>
          <w:p>
            <w:pPr>
              <w:jc w:val="right"/>
              <w:ind w:right="460"/>
              <w:spacing w:after="0"/>
              <w:rPr>
                <w:sz w:val="20"/>
                <w:szCs w:val="20"/>
                <w:color w:val="auto"/>
              </w:rPr>
            </w:pPr>
            <w:r>
              <w:rPr>
                <w:rFonts w:ascii="Times New Roman" w:cs="Times New Roman" w:eastAsia="Times New Roman" w:hAnsi="Times New Roman"/>
                <w:sz w:val="17"/>
                <w:szCs w:val="17"/>
                <w:color w:val="0000FF"/>
                <w:w w:val="95"/>
              </w:rPr>
              <w:t>Item 3.</w:t>
            </w:r>
          </w:p>
        </w:tc>
        <w:tc>
          <w:tcPr>
            <w:tcW w:w="60" w:type="dxa"/>
            <w:vAlign w:val="bottom"/>
          </w:tcPr>
          <w:p>
            <w:pPr>
              <w:spacing w:after="0"/>
              <w:rPr>
                <w:sz w:val="17"/>
                <w:szCs w:val="17"/>
                <w:color w:val="auto"/>
              </w:rPr>
            </w:pPr>
          </w:p>
        </w:tc>
        <w:tc>
          <w:tcPr>
            <w:tcW w:w="2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640" w:type="dxa"/>
            <w:vAlign w:val="bottom"/>
            <w:gridSpan w:val="15"/>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4.</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8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5.</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7620" w:type="dxa"/>
            <w:vAlign w:val="bottom"/>
            <w:gridSpan w:val="2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6.</w:t>
            </w:r>
          </w:p>
        </w:tc>
        <w:tc>
          <w:tcPr>
            <w:tcW w:w="89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Exhibits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60" w:type="dxa"/>
            <w:vAlign w:val="bottom"/>
            <w:gridSpan w:val="8"/>
          </w:tcPr>
          <w:p>
            <w:pPr>
              <w:ind w:left="640"/>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0"/>
        </w:trPr>
        <w:tc>
          <w:tcPr>
            <w:tcW w:w="6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 AND NOTES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8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December 31, 2024</w:t>
            </w:r>
          </w:p>
        </w:tc>
        <w:tc>
          <w:tcPr>
            <w:tcW w:w="0" w:type="dxa"/>
            <w:vAlign w:val="bottom"/>
          </w:tcPr>
          <w:p>
            <w:pPr>
              <w:spacing w:after="0"/>
              <w:rPr>
                <w:sz w:val="1"/>
                <w:szCs w:val="1"/>
                <w:color w:val="auto"/>
              </w:rPr>
            </w:pPr>
          </w:p>
        </w:tc>
      </w:tr>
      <w:tr>
        <w:trPr>
          <w:trHeight w:val="209"/>
        </w:trPr>
        <w:tc>
          <w:tcPr>
            <w:tcW w:w="8240" w:type="dxa"/>
            <w:vAlign w:val="bottom"/>
            <w:tcBorders>
              <w:top w:val="single" w:sz="8" w:color="CCEEFF"/>
            </w:tcBorders>
            <w:shd w:val="clear" w:color="auto" w:fill="CCEEFF"/>
          </w:tcPr>
          <w:p>
            <w:pPr>
              <w:ind w:left="374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33,375</w:t>
            </w: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Prepaid &amp;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29,878</w:t>
            </w:r>
          </w:p>
        </w:tc>
        <w:tc>
          <w:tcPr>
            <w:tcW w:w="0" w:type="dxa"/>
            <w:vAlign w:val="bottom"/>
          </w:tcPr>
          <w:p>
            <w:pPr>
              <w:spacing w:after="0"/>
              <w:rPr>
                <w:sz w:val="1"/>
                <w:szCs w:val="1"/>
                <w:color w:val="auto"/>
              </w:rPr>
            </w:pPr>
          </w:p>
        </w:tc>
      </w:tr>
      <w:tr>
        <w:trPr>
          <w:trHeight w:val="215"/>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81,382</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8,445</w:t>
            </w: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179,408</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19,117</w:t>
            </w:r>
          </w:p>
        </w:tc>
        <w:tc>
          <w:tcPr>
            <w:tcW w:w="0" w:type="dxa"/>
            <w:vAlign w:val="bottom"/>
          </w:tcPr>
          <w:p>
            <w:pPr>
              <w:spacing w:after="0"/>
              <w:rPr>
                <w:sz w:val="1"/>
                <w:szCs w:val="1"/>
                <w:color w:val="auto"/>
              </w:rPr>
            </w:pPr>
          </w:p>
        </w:tc>
      </w:tr>
      <w:tr>
        <w:trPr>
          <w:trHeight w:val="222"/>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assets, non-current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218,591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212,443</w:t>
            </w:r>
          </w:p>
        </w:tc>
        <w:tc>
          <w:tcPr>
            <w:tcW w:w="0" w:type="dxa"/>
            <w:vAlign w:val="bottom"/>
          </w:tcPr>
          <w:p>
            <w:pPr>
              <w:spacing w:after="0"/>
              <w:rPr>
                <w:sz w:val="1"/>
                <w:szCs w:val="1"/>
                <w:color w:val="auto"/>
              </w:rPr>
            </w:pPr>
          </w:p>
        </w:tc>
      </w:tr>
      <w:tr>
        <w:trPr>
          <w:trHeight w:val="215"/>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291,418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293,825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40" w:type="dxa"/>
            <w:vAlign w:val="bottom"/>
            <w:shd w:val="clear" w:color="auto" w:fill="CCEEFF"/>
          </w:tcPr>
          <w:p>
            <w:pPr>
              <w:ind w:left="2280"/>
              <w:spacing w:after="0" w:line="188"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w:t>
            </w: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30,519</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revenues, current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r>
        <w:trPr>
          <w:trHeight w:val="222"/>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Debt, current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40,298</w:t>
            </w: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Long-term debt, net of debt issuance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184,840</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w:t>
            </w: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Leases, non-current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16,776</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w:t>
            </w:r>
          </w:p>
        </w:tc>
        <w:tc>
          <w:tcPr>
            <w:tcW w:w="0" w:type="dxa"/>
            <w:vAlign w:val="bottom"/>
          </w:tcPr>
          <w:p>
            <w:pPr>
              <w:spacing w:after="0"/>
              <w:rPr>
                <w:sz w:val="1"/>
                <w:szCs w:val="1"/>
                <w:color w:val="auto"/>
              </w:rPr>
            </w:pPr>
          </w:p>
        </w:tc>
      </w:tr>
      <w:tr>
        <w:trPr>
          <w:trHeight w:val="215"/>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251,550</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0"/>
              <w:spacing w:after="0" w:line="170" w:lineRule="exact"/>
              <w:rPr>
                <w:sz w:val="20"/>
                <w:szCs w:val="20"/>
                <w:color w:val="auto"/>
              </w:rPr>
            </w:pPr>
            <w:r>
              <w:rPr>
                <w:rFonts w:ascii="Times New Roman" w:cs="Times New Roman" w:eastAsia="Times New Roman" w:hAnsi="Times New Roman"/>
                <w:sz w:val="17"/>
                <w:szCs w:val="17"/>
                <w:color w:val="auto"/>
              </w:rPr>
              <w:t>Common stock, $0.0001 par value; 16,667 and 16,667 shares authorized, 11,497 and 11,075 shares issued and</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3"/>
        </w:trPr>
        <w:tc>
          <w:tcPr>
            <w:tcW w:w="82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outstanding at June 30, 2025 and December 31, 2024, respectively</w:t>
            </w: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495,906</w:t>
            </w:r>
          </w:p>
        </w:tc>
        <w:tc>
          <w:tcPr>
            <w:tcW w:w="0" w:type="dxa"/>
            <w:vAlign w:val="bottom"/>
          </w:tcPr>
          <w:p>
            <w:pPr>
              <w:spacing w:after="0"/>
              <w:rPr>
                <w:sz w:val="1"/>
                <w:szCs w:val="1"/>
                <w:color w:val="auto"/>
              </w:rPr>
            </w:pP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(41,137)</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(424,995)</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29,775</w:t>
            </w:r>
          </w:p>
        </w:tc>
        <w:tc>
          <w:tcPr>
            <w:tcW w:w="0" w:type="dxa"/>
            <w:vAlign w:val="bottom"/>
          </w:tcPr>
          <w:p>
            <w:pPr>
              <w:spacing w:after="0"/>
              <w:rPr>
                <w:sz w:val="1"/>
                <w:szCs w:val="1"/>
                <w:color w:val="auto"/>
              </w:rPr>
            </w:pPr>
          </w:p>
        </w:tc>
      </w:tr>
      <w:tr>
        <w:trPr>
          <w:trHeight w:val="240"/>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293,825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(Unaudited) (In thousands, except per share data)</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00" w:type="dxa"/>
            <w:vAlign w:val="bottom"/>
          </w:tcPr>
          <w:p>
            <w:pPr>
              <w:spacing w:after="0"/>
              <w:rPr>
                <w:sz w:val="19"/>
                <w:szCs w:val="19"/>
                <w:color w:val="auto"/>
              </w:rPr>
            </w:pPr>
          </w:p>
        </w:tc>
        <w:tc>
          <w:tcPr>
            <w:tcW w:w="2640" w:type="dxa"/>
            <w:vAlign w:val="bottom"/>
            <w:gridSpan w:val="4"/>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86,423</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40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20,624</w:t>
            </w:r>
          </w:p>
        </w:tc>
        <w:tc>
          <w:tcPr>
            <w:tcW w:w="0" w:type="dxa"/>
            <w:vAlign w:val="bottom"/>
          </w:tcPr>
          <w:p>
            <w:pPr>
              <w:spacing w:after="0"/>
              <w:rPr>
                <w:sz w:val="1"/>
                <w:szCs w:val="1"/>
                <w:color w:val="auto"/>
              </w:rPr>
            </w:pPr>
          </w:p>
        </w:tc>
      </w:tr>
      <w:tr>
        <w:trPr>
          <w:trHeight w:val="222"/>
        </w:trPr>
        <w:tc>
          <w:tcPr>
            <w:tcW w:w="5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22,227</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26,045</w:t>
            </w:r>
          </w:p>
        </w:tc>
        <w:tc>
          <w:tcPr>
            <w:tcW w:w="0" w:type="dxa"/>
            <w:vAlign w:val="bottom"/>
          </w:tcPr>
          <w:p>
            <w:pPr>
              <w:spacing w:after="0"/>
              <w:rPr>
                <w:sz w:val="1"/>
                <w:szCs w:val="1"/>
                <w:color w:val="auto"/>
              </w:rPr>
            </w:pPr>
          </w:p>
        </w:tc>
      </w:tr>
      <w:tr>
        <w:trPr>
          <w:trHeight w:val="222"/>
        </w:trPr>
        <w:tc>
          <w:tcPr>
            <w:tcW w:w="5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8,387</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35,626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69,610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77,550</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8,873</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Debt modification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(Loss) income from operations, before taxes</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(18,341)</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(20,880)</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7,292</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income attributable to redeemable non-controlling interests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Preferred stock dividend, net of gain on repurchase of preferred stock</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(loss) income attributable to Synchronoss</w:t>
            </w:r>
          </w:p>
        </w:tc>
        <w:tc>
          <w:tcPr>
            <w:tcW w:w="240" w:type="dxa"/>
            <w:vAlign w:val="bottom"/>
            <w:tcBorders>
              <w:top w:val="single" w:sz="8" w:color="auto"/>
              <w:bottom w:val="single" w:sz="8" w:color="auto"/>
            </w:tcBorders>
            <w:shd w:val="clear" w:color="auto" w:fill="CCEEFF"/>
          </w:tcPr>
          <w:p>
            <w:pPr>
              <w:jc w:val="right"/>
              <w:ind w:right="7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(19,604)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(23,421)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2,419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4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3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(2.27)</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3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0.24</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00" w:type="dxa"/>
            <w:vAlign w:val="bottom"/>
          </w:tcPr>
          <w:p>
            <w:pPr>
              <w:spacing w:after="0"/>
              <w:rPr>
                <w:sz w:val="19"/>
                <w:szCs w:val="19"/>
                <w:color w:val="auto"/>
              </w:rPr>
            </w:pPr>
          </w:p>
        </w:tc>
        <w:tc>
          <w:tcPr>
            <w:tcW w:w="2620" w:type="dxa"/>
            <w:vAlign w:val="bottom"/>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2"/>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2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(8,275)</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w:t>
            </w: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redeemable non-controlling interests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Synchronoss</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(4,294)</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left="340" w:right="2460"/>
        <w:spacing w:after="0" w:line="288" w:lineRule="auto"/>
        <w:rPr>
          <w:sz w:val="20"/>
          <w:szCs w:val="20"/>
          <w:color w:val="auto"/>
        </w:rPr>
      </w:pPr>
      <w:r>
        <w:rPr>
          <w:rFonts w:ascii="Times New Roman" w:cs="Times New Roman" w:eastAsia="Times New Roman" w:hAnsi="Times New Roman"/>
          <w:sz w:val="17"/>
          <w:szCs w:val="17"/>
          <w:b w:val="1"/>
          <w:bCs w:val="1"/>
          <w:color w:val="auto"/>
        </w:rPr>
        <w:t>SYNCHRONOSS TECHNOLOGIES, INC. CONDENSED CONSOLIDATED STATEMENTS OF STOCKHOLDERS’ EQUITY (Unaudited) (In thousands)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28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6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11,498</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496,533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(428,812)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35,438</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 net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(19,604)</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19,983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19,983</w:t>
            </w:r>
          </w:p>
        </w:tc>
        <w:tc>
          <w:tcPr>
            <w:tcW w:w="0" w:type="dxa"/>
            <w:vAlign w:val="bottom"/>
          </w:tcPr>
          <w:p>
            <w:pPr>
              <w:spacing w:after="0"/>
              <w:rPr>
                <w:sz w:val="1"/>
                <w:szCs w:val="1"/>
                <w:color w:val="auto"/>
              </w:rPr>
            </w:pPr>
          </w:p>
        </w:tc>
      </w:tr>
      <w:tr>
        <w:trPr>
          <w:trHeight w:val="209"/>
        </w:trPr>
        <w:tc>
          <w:tcPr>
            <w:tcW w:w="3720" w:type="dxa"/>
            <w:vAlign w:val="bottom"/>
          </w:tcPr>
          <w:p>
            <w:pPr>
              <w:ind w:left="140"/>
              <w:spacing w:after="0" w:line="208" w:lineRule="exact"/>
              <w:rPr>
                <w:sz w:val="20"/>
                <w:szCs w:val="20"/>
                <w:color w:val="auto"/>
              </w:rPr>
            </w:pPr>
            <w:r>
              <w:rPr>
                <w:rFonts w:ascii="Times New Roman" w:cs="Times New Roman" w:eastAsia="Times New Roman" w:hAnsi="Times New Roman"/>
                <w:sz w:val="16"/>
                <w:szCs w:val="16"/>
                <w:color w:val="auto"/>
              </w:rPr>
              <w:t>Zentry partnership termination</w:t>
            </w:r>
            <w:r>
              <w:rPr>
                <w:rFonts w:ascii="Times New Roman" w:cs="Times New Roman" w:eastAsia="Times New Roman" w:hAnsi="Times New Roman"/>
                <w:sz w:val="20"/>
                <w:szCs w:val="20"/>
                <w:color w:val="auto"/>
                <w:vertAlign w:val="superscript"/>
              </w:rPr>
              <w:t>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24"/>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11,497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49,433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3" w:lineRule="exact"/>
        <w:rPr>
          <w:sz w:val="20"/>
          <w:szCs w:val="20"/>
          <w:color w:val="auto"/>
        </w:rPr>
      </w:pPr>
    </w:p>
    <w:p>
      <w:pPr>
        <w:ind w:left="320" w:hanging="316"/>
        <w:spacing w:after="0" w:line="215" w:lineRule="auto"/>
        <w:tabs>
          <w:tab w:leader="none" w:pos="21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further detail on Zentry partnership termination refer to Note 11. Capital Structure of the Notes to Condensed Consolidated Financial Statements in Item 1 of this Form 10-Q.</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2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(Loss) Income</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(426,694)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0" w:type="dxa"/>
            <w:vAlign w:val="bottom"/>
          </w:tcPr>
          <w:p>
            <w:pPr>
              <w:spacing w:after="0"/>
              <w:rPr>
                <w:sz w:val="1"/>
                <w:szCs w:val="1"/>
                <w:color w:val="auto"/>
              </w:rPr>
            </w:pPr>
          </w:p>
        </w:tc>
      </w:tr>
      <w:tr>
        <w:trPr>
          <w:trHeight w:val="206"/>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9"/>
              </w:rPr>
              <w:t>Shares withheld for taxes in connection with issuance of</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24"/>
        </w:trPr>
        <w:tc>
          <w:tcPr>
            <w:tcW w:w="3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124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6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740" w:type="dxa"/>
            <w:vAlign w:val="bottom"/>
            <w:vMerge w:val="continue"/>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dividend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06"/>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1"/>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11"/>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Senior Notes repurchase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0" w:type="dxa"/>
            <w:vAlign w:val="bottom"/>
          </w:tcPr>
          <w:p>
            <w:pPr>
              <w:spacing w:after="0"/>
              <w:rPr>
                <w:sz w:val="1"/>
                <w:szCs w:val="1"/>
                <w:color w:val="auto"/>
              </w:rPr>
            </w:pPr>
          </w:p>
        </w:tc>
      </w:tr>
      <w:tr>
        <w:trPr>
          <w:trHeight w:val="206"/>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Series B Preferred stock redemption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22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left="340" w:right="2460"/>
        <w:spacing w:after="0" w:line="273" w:lineRule="auto"/>
        <w:rPr>
          <w:sz w:val="20"/>
          <w:szCs w:val="20"/>
          <w:color w:val="auto"/>
        </w:rPr>
      </w:pPr>
      <w:r>
        <w:rPr>
          <w:rFonts w:ascii="Times New Roman" w:cs="Times New Roman" w:eastAsia="Times New Roman" w:hAnsi="Times New Roman"/>
          <w:sz w:val="17"/>
          <w:szCs w:val="17"/>
          <w:b w:val="1"/>
          <w:bCs w:val="1"/>
          <w:color w:val="auto"/>
        </w:rPr>
        <w:t>SYNCHRONOSS TECHNOLOGIES, INC. CONDENSED CONSOLIDATED STATEMENTS OF STOCKHOLDERS’ EQUITY (Unaudited) (In thousands) (Continued)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28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60" w:type="dxa"/>
            <w:vAlign w:val="bottom"/>
          </w:tcPr>
          <w:p>
            <w:pPr>
              <w:spacing w:after="0"/>
              <w:rPr>
                <w:sz w:val="15"/>
                <w:szCs w:val="15"/>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11,075</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495,906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(424,995)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29,775</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 net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on exercise of options</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59"/>
        </w:trPr>
        <w:tc>
          <w:tcPr>
            <w:tcW w:w="372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8"/>
              </w:rPr>
              <w:t>Shares withheld for taxes in connection with issuance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124"/>
        </w:trPr>
        <w:tc>
          <w:tcPr>
            <w:tcW w:w="3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11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720" w:type="dxa"/>
            <w:vAlign w:val="bottom"/>
            <w:vMerge w:val="continue"/>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28,836</w:t>
            </w:r>
          </w:p>
        </w:tc>
        <w:tc>
          <w:tcPr>
            <w:tcW w:w="0" w:type="dxa"/>
            <w:vAlign w:val="bottom"/>
          </w:tcPr>
          <w:p>
            <w:pPr>
              <w:spacing w:after="0"/>
              <w:rPr>
                <w:sz w:val="1"/>
                <w:szCs w:val="1"/>
                <w:color w:val="auto"/>
              </w:rPr>
            </w:pPr>
          </w:p>
        </w:tc>
      </w:tr>
      <w:tr>
        <w:trPr>
          <w:trHeight w:val="209"/>
        </w:trPr>
        <w:tc>
          <w:tcPr>
            <w:tcW w:w="3720" w:type="dxa"/>
            <w:vAlign w:val="bottom"/>
          </w:tcPr>
          <w:p>
            <w:pPr>
              <w:ind w:left="140"/>
              <w:spacing w:after="0" w:line="208" w:lineRule="exact"/>
              <w:rPr>
                <w:sz w:val="20"/>
                <w:szCs w:val="20"/>
                <w:color w:val="auto"/>
              </w:rPr>
            </w:pPr>
            <w:r>
              <w:rPr>
                <w:rFonts w:ascii="Times New Roman" w:cs="Times New Roman" w:eastAsia="Times New Roman" w:hAnsi="Times New Roman"/>
                <w:sz w:val="16"/>
                <w:szCs w:val="16"/>
                <w:color w:val="auto"/>
              </w:rPr>
              <w:t>Zentry partnership termination</w:t>
            </w:r>
            <w:r>
              <w:rPr>
                <w:rFonts w:ascii="Times New Roman" w:cs="Times New Roman" w:eastAsia="Times New Roman" w:hAnsi="Times New Roman"/>
                <w:sz w:val="20"/>
                <w:szCs w:val="20"/>
                <w:color w:val="auto"/>
                <w:vertAlign w:val="superscript"/>
              </w:rPr>
              <w:t>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24"/>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11,497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49,433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3" w:lineRule="exact"/>
        <w:rPr>
          <w:sz w:val="20"/>
          <w:szCs w:val="20"/>
          <w:color w:val="auto"/>
        </w:rPr>
      </w:pPr>
    </w:p>
    <w:p>
      <w:pPr>
        <w:ind w:left="320" w:hanging="316"/>
        <w:spacing w:after="0" w:line="215" w:lineRule="auto"/>
        <w:tabs>
          <w:tab w:leader="none" w:pos="21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further detail on Zentry partnership termination refer to Note 11. Capital Structure of the Notes to Condensed Consolidated Financial Statements in Item 1 of this Form 10-Q.</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28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24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10,314</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(431,164)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26,632</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159"/>
        </w:trPr>
        <w:tc>
          <w:tcPr>
            <w:tcW w:w="372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8"/>
              </w:rPr>
              <w:t>Shares withheld for taxes in connection with issuance of</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24"/>
        </w:trPr>
        <w:tc>
          <w:tcPr>
            <w:tcW w:w="3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1240" w:type="dxa"/>
            <w:vAlign w:val="bottom"/>
            <w:gridSpan w:val="2"/>
            <w:vMerge w:val="continue"/>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720" w:type="dxa"/>
            <w:vAlign w:val="bottom"/>
            <w:vMerge w:val="continue"/>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dividend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0" w:type="dxa"/>
            <w:vAlign w:val="bottom"/>
          </w:tcPr>
          <w:p>
            <w:pPr>
              <w:spacing w:after="0"/>
              <w:rPr>
                <w:sz w:val="1"/>
                <w:szCs w:val="1"/>
                <w:color w:val="auto"/>
              </w:rPr>
            </w:pPr>
          </w:p>
        </w:tc>
      </w:tr>
      <w:tr>
        <w:trPr>
          <w:trHeight w:val="206"/>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Senior Notes repurchase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7,862</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Series B Preferred stock redemption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10,815</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491,808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(427,183)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30,619</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2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03"/>
        </w:trPr>
        <w:tc>
          <w:tcPr>
            <w:tcW w:w="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7000" w:type="dxa"/>
            <w:vAlign w:val="bottom"/>
          </w:tcPr>
          <w:p>
            <w:pPr>
              <w:jc w:val="center"/>
              <w:ind w:left="1673"/>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0" w:type="dxa"/>
            <w:vAlign w:val="bottom"/>
          </w:tcPr>
          <w:p>
            <w:pPr>
              <w:jc w:val="center"/>
              <w:ind w:left="169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0" w:type="dxa"/>
            <w:vAlign w:val="bottom"/>
          </w:tcPr>
          <w:p>
            <w:pPr>
              <w:jc w:val="center"/>
              <w:ind w:left="1693"/>
              <w:spacing w:after="0"/>
              <w:rPr>
                <w:sz w:val="20"/>
                <w:szCs w:val="20"/>
                <w:color w:val="auto"/>
              </w:rPr>
            </w:pPr>
            <w:r>
              <w:rPr>
                <w:rFonts w:ascii="Times New Roman" w:cs="Times New Roman" w:eastAsia="Times New Roman" w:hAnsi="Times New Roman"/>
                <w:sz w:val="17"/>
                <w:szCs w:val="17"/>
                <w:b w:val="1"/>
                <w:bCs w:val="1"/>
                <w:color w:val="auto"/>
              </w:rPr>
              <w:t>(Unaudited) (In thousands)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40" w:type="dxa"/>
            <w:vAlign w:val="bottom"/>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4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(loss) income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8,387</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debt discount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Sublease receivable impairment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Operating lease impairment,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foreign currency impact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(5,334)</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(6,358)</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revenues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40" w:type="dxa"/>
            <w:vAlign w:val="bottom"/>
          </w:tcPr>
          <w:p>
            <w:pPr>
              <w:spacing w:after="0"/>
              <w:rPr>
                <w:sz w:val="19"/>
                <w:szCs w:val="19"/>
                <w:color w:val="auto"/>
              </w:rPr>
            </w:pPr>
          </w:p>
        </w:tc>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r>
      <w:tr>
        <w:trPr>
          <w:trHeight w:val="215"/>
        </w:trPr>
        <w:tc>
          <w:tcPr>
            <w:tcW w:w="40" w:type="dxa"/>
            <w:vAlign w:val="bottom"/>
          </w:tcPr>
          <w:p>
            <w:pPr>
              <w:spacing w:after="0"/>
              <w:rPr>
                <w:sz w:val="18"/>
                <w:szCs w:val="18"/>
                <w:color w:val="auto"/>
              </w:rPr>
            </w:pPr>
          </w:p>
        </w:tc>
        <w:tc>
          <w:tcPr>
            <w:tcW w:w="82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11,840</w:t>
            </w:r>
          </w:p>
        </w:tc>
      </w:tr>
    </w:tbl>
    <w:p>
      <w:pPr>
        <w:spacing w:after="0" w:line="2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8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742"/>
        </w:trPr>
        <w:tc>
          <w:tcPr>
            <w:tcW w:w="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7040" w:type="dxa"/>
            <w:vAlign w:val="bottom"/>
          </w:tcPr>
          <w:p>
            <w:pPr>
              <w:ind w:left="262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tcPr>
          <w:p>
            <w:pPr>
              <w:jc w:val="center"/>
              <w:ind w:left="165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40" w:type="dxa"/>
            <w:vAlign w:val="bottom"/>
          </w:tcPr>
          <w:p>
            <w:pPr>
              <w:jc w:val="center"/>
              <w:ind w:left="1633"/>
              <w:spacing w:after="0"/>
              <w:rPr>
                <w:sz w:val="20"/>
                <w:szCs w:val="20"/>
                <w:color w:val="auto"/>
              </w:rPr>
            </w:pPr>
            <w:r>
              <w:rPr>
                <w:rFonts w:ascii="Times New Roman" w:cs="Times New Roman" w:eastAsia="Times New Roman" w:hAnsi="Times New Roman"/>
                <w:sz w:val="17"/>
                <w:szCs w:val="17"/>
                <w:b w:val="1"/>
                <w:bCs w:val="1"/>
                <w:color w:val="auto"/>
              </w:rPr>
              <w:t>(Unaudited) (In thousands) (Continued)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83"/>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40" w:type="dxa"/>
            <w:vAlign w:val="bottom"/>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4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Additions to capitalized software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(6,614)</w:t>
            </w:r>
          </w:p>
        </w:tc>
      </w:tr>
      <w:tr>
        <w:trPr>
          <w:trHeight w:val="215"/>
        </w:trPr>
        <w:tc>
          <w:tcPr>
            <w:tcW w:w="4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(7,510)</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Share-based compensation-related proceeds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Taxes paid on withholding shares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Cash proceeds from issuance of long-term debt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Debt issuance costs related to long-term debt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w:t>
            </w: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Retirement of Senior Notes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(11,524)</w:t>
            </w: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Debt extinguishment costs related to Senior Notes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Drawdown on A/R Facility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Repayment of A/R Facility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2"/>
        </w:trPr>
        <w:tc>
          <w:tcPr>
            <w:tcW w:w="40" w:type="dxa"/>
            <w:vAlign w:val="bottom"/>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Series B Preferred dividend paid in the form of cash</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r>
      <w:tr>
        <w:trPr>
          <w:trHeight w:val="222"/>
        </w:trPr>
        <w:tc>
          <w:tcPr>
            <w:tcW w:w="4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Redemption of Series B Preferred stock</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(57,576)</w:t>
            </w:r>
          </w:p>
        </w:tc>
      </w:tr>
      <w:tr>
        <w:trPr>
          <w:trHeight w:val="215"/>
        </w:trPr>
        <w:tc>
          <w:tcPr>
            <w:tcW w:w="40" w:type="dxa"/>
            <w:vAlign w:val="bottom"/>
          </w:tcPr>
          <w:p>
            <w:pPr>
              <w:spacing w:after="0"/>
              <w:rPr>
                <w:sz w:val="18"/>
                <w:szCs w:val="18"/>
                <w:color w:val="auto"/>
              </w:rPr>
            </w:pPr>
          </w:p>
        </w:tc>
        <w:tc>
          <w:tcPr>
            <w:tcW w:w="8240" w:type="dxa"/>
            <w:vAlign w:val="bottom"/>
            <w:tcBorders>
              <w:top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w:t>
            </w:r>
          </w:p>
        </w:tc>
      </w:tr>
      <w:tr>
        <w:trPr>
          <w:trHeight w:val="222"/>
        </w:trPr>
        <w:tc>
          <w:tcPr>
            <w:tcW w:w="40" w:type="dxa"/>
            <w:vAlign w:val="bottom"/>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5"/>
        </w:trPr>
        <w:tc>
          <w:tcPr>
            <w:tcW w:w="4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r>
      <w:tr>
        <w:trPr>
          <w:trHeight w:val="215"/>
        </w:trPr>
        <w:tc>
          <w:tcPr>
            <w:tcW w:w="40" w:type="dxa"/>
            <w:vAlign w:val="bottom"/>
          </w:tcPr>
          <w:p>
            <w:pPr>
              <w:spacing w:after="0"/>
              <w:rPr>
                <w:sz w:val="18"/>
                <w:szCs w:val="18"/>
                <w:color w:val="auto"/>
              </w:rPr>
            </w:pPr>
          </w:p>
        </w:tc>
        <w:tc>
          <w:tcPr>
            <w:tcW w:w="8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Beginning cash and cash equivalents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24,572</w:t>
            </w:r>
          </w:p>
        </w:tc>
      </w:tr>
      <w:tr>
        <w:trPr>
          <w:trHeight w:val="240"/>
        </w:trPr>
        <w:tc>
          <w:tcPr>
            <w:tcW w:w="40" w:type="dxa"/>
            <w:vAlign w:val="bottom"/>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Ending cash and cash equivalents</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23,648</w:t>
            </w:r>
          </w:p>
        </w:tc>
      </w:tr>
      <w:tr>
        <w:trPr>
          <w:trHeight w:val="20"/>
        </w:trPr>
        <w:tc>
          <w:tcPr>
            <w:tcW w:w="4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software and services that enable our customers to keep subscribers, systems, networks, and content in sync.</w:t>
      </w:r>
    </w:p>
    <w:p>
      <w:pPr>
        <w:spacing w:after="0" w:line="170" w:lineRule="exact"/>
        <w:rPr>
          <w:sz w:val="20"/>
          <w:szCs w:val="20"/>
          <w:color w:val="auto"/>
        </w:rPr>
      </w:pPr>
    </w:p>
    <w:p>
      <w:pPr>
        <w:jc w:val="both"/>
        <w:ind w:firstLine="313"/>
        <w:spacing w:after="0"/>
        <w:rPr>
          <w:sz w:val="20"/>
          <w:szCs w:val="20"/>
          <w:color w:val="auto"/>
        </w:rPr>
      </w:pPr>
      <w:r>
        <w:rPr>
          <w:rFonts w:ascii="Times New Roman" w:cs="Times New Roman" w:eastAsia="Times New Roman" w:hAnsi="Times New Roman"/>
          <w:sz w:val="17"/>
          <w:szCs w:val="17"/>
          <w:color w:val="auto"/>
        </w:rPr>
        <w:t>The Synchronoss Personal Cloud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Designed for smartphones, tablets, and desktops across all operating systems, our platform ensures a seamless cross-device experience.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Basis of Presentation and Consolidation</w:t>
      </w:r>
    </w:p>
    <w:p>
      <w:pPr>
        <w:spacing w:after="0" w:line="252"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2024. The results of operations for the three and six months ended June 30, 2025 are not necessarily indicative of the results to be expected for the year ending December 31, 2025.</w:t>
      </w:r>
    </w:p>
    <w:p>
      <w:pPr>
        <w:spacing w:after="0" w:line="201"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and its wholly-owned subsidiaries. All material intercompany transactions and accounts are eliminated in consolidation.</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Unless otherwise noted, tables are presented in U.S. dollars in thousands. Certain columns and rows may not add due to the use of rounded numbers. Percentages and Earnings per share (“EPS”) amounts presented are calculated from the underlying numbers in thousands. We may reclassify certain prior year amounts to conform with current year presentation.</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Standards recently adopted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Standard</w:t>
            </w:r>
          </w:p>
        </w:tc>
        <w:tc>
          <w:tcPr>
            <w:tcW w:w="5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Description</w:t>
            </w:r>
          </w:p>
        </w:tc>
        <w:tc>
          <w:tcPr>
            <w:tcW w:w="3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Effect on the financial statements</w:t>
            </w:r>
          </w:p>
        </w:tc>
      </w:tr>
      <w:tr>
        <w:trPr>
          <w:trHeight w:val="163"/>
        </w:trPr>
        <w:tc>
          <w:tcPr>
            <w:tcW w:w="212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Update 2024-01 -</w:t>
            </w:r>
          </w:p>
        </w:tc>
        <w:tc>
          <w:tcPr>
            <w:tcW w:w="5360" w:type="dxa"/>
            <w:vAlign w:val="bottom"/>
          </w:tcPr>
          <w:p>
            <w:pPr>
              <w:ind w:left="100"/>
              <w:spacing w:after="0" w:line="163" w:lineRule="exact"/>
              <w:rPr>
                <w:sz w:val="20"/>
                <w:szCs w:val="20"/>
                <w:color w:val="auto"/>
              </w:rPr>
            </w:pPr>
            <w:r>
              <w:rPr>
                <w:rFonts w:ascii="Times New Roman" w:cs="Times New Roman" w:eastAsia="Times New Roman" w:hAnsi="Times New Roman"/>
                <w:sz w:val="17"/>
                <w:szCs w:val="17"/>
                <w:color w:val="auto"/>
              </w:rPr>
              <w:t>The amendments in this Update related to the scope application issue</w:t>
            </w:r>
          </w:p>
        </w:tc>
        <w:tc>
          <w:tcPr>
            <w:tcW w:w="3760" w:type="dxa"/>
            <w:vAlign w:val="bottom"/>
          </w:tcPr>
          <w:p>
            <w:pPr>
              <w:ind w:left="60"/>
              <w:spacing w:after="0" w:line="163" w:lineRule="exact"/>
              <w:rPr>
                <w:sz w:val="20"/>
                <w:szCs w:val="20"/>
                <w:color w:val="auto"/>
              </w:rPr>
            </w:pPr>
            <w:r>
              <w:rPr>
                <w:rFonts w:ascii="Times New Roman" w:cs="Times New Roman" w:eastAsia="Times New Roman" w:hAnsi="Times New Roman"/>
                <w:sz w:val="17"/>
                <w:szCs w:val="17"/>
                <w:color w:val="auto"/>
              </w:rPr>
              <w:t>The Company evaluated these changes and noted</w:t>
            </w:r>
          </w:p>
        </w:tc>
      </w:tr>
      <w:tr>
        <w:trPr>
          <w:trHeight w:val="177"/>
        </w:trPr>
        <w:tc>
          <w:tcPr>
            <w:tcW w:w="21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Compensation—Stock</w:t>
            </w:r>
          </w:p>
        </w:tc>
        <w:tc>
          <w:tcPr>
            <w:tcW w:w="536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apply to all reporting entities that account for profits interest awards as</w:t>
            </w:r>
          </w:p>
        </w:tc>
        <w:tc>
          <w:tcPr>
            <w:tcW w:w="376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that the adoption of this standard did not have a</w:t>
            </w:r>
          </w:p>
        </w:tc>
      </w:tr>
      <w:tr>
        <w:trPr>
          <w:trHeight w:val="175"/>
        </w:trPr>
        <w:tc>
          <w:tcPr>
            <w:tcW w:w="212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Compensation</w:t>
            </w:r>
          </w:p>
        </w:tc>
        <w:tc>
          <w:tcPr>
            <w:tcW w:w="536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compensation to employees or nonemployees in return for goods or</w:t>
            </w:r>
          </w:p>
        </w:tc>
        <w:tc>
          <w:tcPr>
            <w:tcW w:w="3760" w:type="dxa"/>
            <w:vAlign w:val="bottom"/>
          </w:tcPr>
          <w:p>
            <w:pPr>
              <w:ind w:left="60"/>
              <w:spacing w:after="0" w:line="175" w:lineRule="exact"/>
              <w:rPr>
                <w:sz w:val="20"/>
                <w:szCs w:val="20"/>
                <w:color w:val="auto"/>
              </w:rPr>
            </w:pPr>
            <w:r>
              <w:rPr>
                <w:rFonts w:ascii="Times New Roman" w:cs="Times New Roman" w:eastAsia="Times New Roman" w:hAnsi="Times New Roman"/>
                <w:sz w:val="17"/>
                <w:szCs w:val="17"/>
                <w:color w:val="auto"/>
              </w:rPr>
              <w:t>material  impact  on  the  Company’s  consolidated</w:t>
            </w:r>
          </w:p>
        </w:tc>
      </w:tr>
      <w:tr>
        <w:trPr>
          <w:trHeight w:val="170"/>
        </w:trPr>
        <w:tc>
          <w:tcPr>
            <w:tcW w:w="212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(Topic 718) - Scope</w:t>
            </w:r>
          </w:p>
        </w:tc>
        <w:tc>
          <w:tcPr>
            <w:tcW w:w="5360" w:type="dxa"/>
            <w:vAlign w:val="bottom"/>
          </w:tcPr>
          <w:p>
            <w:pPr>
              <w:ind w:left="100"/>
              <w:spacing w:after="0" w:line="170" w:lineRule="exact"/>
              <w:rPr>
                <w:sz w:val="20"/>
                <w:szCs w:val="20"/>
                <w:color w:val="auto"/>
              </w:rPr>
            </w:pPr>
            <w:r>
              <w:rPr>
                <w:rFonts w:ascii="Times New Roman" w:cs="Times New Roman" w:eastAsia="Times New Roman" w:hAnsi="Times New Roman"/>
                <w:sz w:val="17"/>
                <w:szCs w:val="17"/>
                <w:color w:val="auto"/>
              </w:rPr>
              <w:t>services. This Update provides specific examples to help stakeholders to</w:t>
            </w:r>
          </w:p>
        </w:tc>
        <w:tc>
          <w:tcPr>
            <w:tcW w:w="3760" w:type="dxa"/>
            <w:vAlign w:val="bottom"/>
          </w:tcPr>
          <w:p>
            <w:pPr>
              <w:ind w:left="60"/>
              <w:spacing w:after="0" w:line="170" w:lineRule="exact"/>
              <w:rPr>
                <w:sz w:val="20"/>
                <w:szCs w:val="20"/>
                <w:color w:val="auto"/>
              </w:rPr>
            </w:pPr>
            <w:r>
              <w:rPr>
                <w:rFonts w:ascii="Times New Roman" w:cs="Times New Roman" w:eastAsia="Times New Roman" w:hAnsi="Times New Roman"/>
                <w:sz w:val="17"/>
                <w:szCs w:val="17"/>
                <w:color w:val="auto"/>
              </w:rPr>
              <w:t>financial position or results of operations.</w:t>
            </w:r>
          </w:p>
        </w:tc>
      </w:tr>
      <w:tr>
        <w:trPr>
          <w:trHeight w:val="177"/>
        </w:trPr>
        <w:tc>
          <w:tcPr>
            <w:tcW w:w="21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Application of Profits</w:t>
            </w:r>
          </w:p>
        </w:tc>
        <w:tc>
          <w:tcPr>
            <w:tcW w:w="536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determine whether a profits interest award should be accounted for as a</w:t>
            </w:r>
          </w:p>
        </w:tc>
        <w:tc>
          <w:tcPr>
            <w:tcW w:w="3760" w:type="dxa"/>
            <w:vAlign w:val="bottom"/>
          </w:tcPr>
          <w:p>
            <w:pPr>
              <w:spacing w:after="0"/>
              <w:rPr>
                <w:sz w:val="15"/>
                <w:szCs w:val="15"/>
                <w:color w:val="auto"/>
              </w:rPr>
            </w:pPr>
          </w:p>
        </w:tc>
      </w:tr>
      <w:tr>
        <w:trPr>
          <w:trHeight w:val="175"/>
        </w:trPr>
        <w:tc>
          <w:tcPr>
            <w:tcW w:w="212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Interest and Similar Awards</w:t>
            </w:r>
          </w:p>
        </w:tc>
        <w:tc>
          <w:tcPr>
            <w:tcW w:w="536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share-based payment arrangement (Topic 718) or similar to a cash bonus</w:t>
            </w:r>
          </w:p>
        </w:tc>
        <w:tc>
          <w:tcPr>
            <w:tcW w:w="3760" w:type="dxa"/>
            <w:vAlign w:val="bottom"/>
          </w:tcPr>
          <w:p>
            <w:pPr>
              <w:spacing w:after="0"/>
              <w:rPr>
                <w:sz w:val="15"/>
                <w:szCs w:val="15"/>
                <w:color w:val="auto"/>
              </w:rPr>
            </w:pPr>
          </w:p>
        </w:tc>
      </w:tr>
      <w:tr>
        <w:trPr>
          <w:trHeight w:val="170"/>
        </w:trPr>
        <w:tc>
          <w:tcPr>
            <w:tcW w:w="2120" w:type="dxa"/>
            <w:vAlign w:val="bottom"/>
          </w:tcPr>
          <w:p>
            <w:pPr>
              <w:spacing w:after="0"/>
              <w:rPr>
                <w:sz w:val="14"/>
                <w:szCs w:val="14"/>
                <w:color w:val="auto"/>
              </w:rPr>
            </w:pPr>
          </w:p>
        </w:tc>
        <w:tc>
          <w:tcPr>
            <w:tcW w:w="5360" w:type="dxa"/>
            <w:vAlign w:val="bottom"/>
          </w:tcPr>
          <w:p>
            <w:pPr>
              <w:ind w:left="100"/>
              <w:spacing w:after="0" w:line="170" w:lineRule="exact"/>
              <w:rPr>
                <w:sz w:val="20"/>
                <w:szCs w:val="20"/>
                <w:color w:val="auto"/>
              </w:rPr>
            </w:pPr>
            <w:r>
              <w:rPr>
                <w:rFonts w:ascii="Times New Roman" w:cs="Times New Roman" w:eastAsia="Times New Roman" w:hAnsi="Times New Roman"/>
                <w:sz w:val="17"/>
                <w:szCs w:val="17"/>
                <w:color w:val="auto"/>
              </w:rPr>
              <w:t>or profit-sharing arrangement (Topic 710, Compensation—General, or</w:t>
            </w:r>
          </w:p>
        </w:tc>
        <w:tc>
          <w:tcPr>
            <w:tcW w:w="3760" w:type="dxa"/>
            <w:vAlign w:val="bottom"/>
          </w:tcPr>
          <w:p>
            <w:pPr>
              <w:spacing w:after="0"/>
              <w:rPr>
                <w:sz w:val="14"/>
                <w:szCs w:val="14"/>
                <w:color w:val="auto"/>
              </w:rPr>
            </w:pPr>
          </w:p>
        </w:tc>
      </w:tr>
      <w:tr>
        <w:trPr>
          <w:trHeight w:val="227"/>
        </w:trPr>
        <w:tc>
          <w:tcPr>
            <w:tcW w:w="212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Topics).</w:t>
            </w:r>
          </w:p>
        </w:tc>
        <w:tc>
          <w:tcPr>
            <w:tcW w:w="3760" w:type="dxa"/>
            <w:vAlign w:val="bottom"/>
          </w:tcPr>
          <w:p>
            <w:pPr>
              <w:spacing w:after="0"/>
              <w:rPr>
                <w:sz w:val="19"/>
                <w:szCs w:val="19"/>
                <w:color w:val="auto"/>
              </w:rPr>
            </w:pPr>
          </w:p>
        </w:tc>
      </w:tr>
      <w:tr>
        <w:trPr>
          <w:trHeight w:val="177"/>
        </w:trPr>
        <w:tc>
          <w:tcPr>
            <w:tcW w:w="21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Date of adoption: January 1,</w:t>
            </w:r>
          </w:p>
        </w:tc>
        <w:tc>
          <w:tcPr>
            <w:tcW w:w="536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231"/>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Standards issued not yet adopted</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2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Standard</w:t>
            </w:r>
          </w:p>
        </w:tc>
        <w:tc>
          <w:tcPr>
            <w:tcW w:w="5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Description</w:t>
            </w:r>
          </w:p>
        </w:tc>
        <w:tc>
          <w:tcPr>
            <w:tcW w:w="35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Effect on the financial statements</w:t>
            </w:r>
          </w:p>
        </w:tc>
        <w:tc>
          <w:tcPr>
            <w:tcW w:w="0" w:type="dxa"/>
            <w:vAlign w:val="bottom"/>
          </w:tcPr>
          <w:p>
            <w:pPr>
              <w:spacing w:after="0"/>
              <w:rPr>
                <w:sz w:val="1"/>
                <w:szCs w:val="1"/>
                <w:color w:val="auto"/>
              </w:rPr>
            </w:pPr>
          </w:p>
        </w:tc>
      </w:tr>
      <w:tr>
        <w:trPr>
          <w:trHeight w:val="163"/>
        </w:trPr>
        <w:tc>
          <w:tcPr>
            <w:tcW w:w="208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Update 2024-03 - Income</w:t>
            </w:r>
          </w:p>
        </w:tc>
        <w:tc>
          <w:tcPr>
            <w:tcW w:w="5360" w:type="dxa"/>
            <w:vAlign w:val="bottom"/>
          </w:tcPr>
          <w:p>
            <w:pPr>
              <w:ind w:left="100"/>
              <w:spacing w:after="0" w:line="163" w:lineRule="exact"/>
              <w:rPr>
                <w:sz w:val="20"/>
                <w:szCs w:val="20"/>
                <w:color w:val="auto"/>
              </w:rPr>
            </w:pPr>
            <w:r>
              <w:rPr>
                <w:rFonts w:ascii="Times New Roman" w:cs="Times New Roman" w:eastAsia="Times New Roman" w:hAnsi="Times New Roman"/>
                <w:sz w:val="17"/>
                <w:szCs w:val="17"/>
                <w:color w:val="auto"/>
              </w:rPr>
              <w:t>Requires a public business entity to disclose, on an annual basis and</w:t>
            </w:r>
          </w:p>
        </w:tc>
        <w:tc>
          <w:tcPr>
            <w:tcW w:w="3580" w:type="dxa"/>
            <w:vAlign w:val="bottom"/>
          </w:tcPr>
          <w:p>
            <w:pPr>
              <w:ind w:left="60"/>
              <w:spacing w:after="0" w:line="163" w:lineRule="exact"/>
              <w:rPr>
                <w:sz w:val="20"/>
                <w:szCs w:val="20"/>
                <w:color w:val="auto"/>
              </w:rPr>
            </w:pPr>
            <w:r>
              <w:rPr>
                <w:rFonts w:ascii="Times New Roman" w:cs="Times New Roman" w:eastAsia="Times New Roman" w:hAnsi="Times New Roman"/>
                <w:sz w:val="17"/>
                <w:szCs w:val="17"/>
                <w:color w:val="auto"/>
              </w:rPr>
              <w:t>The Company continues to evaluate these chang</w:t>
            </w: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Statement—Reporting</w:t>
            </w:r>
          </w:p>
        </w:tc>
        <w:tc>
          <w:tcPr>
            <w:tcW w:w="5360" w:type="dxa"/>
            <w:vAlign w:val="bottom"/>
          </w:tcPr>
          <w:p>
            <w:pPr>
              <w:ind w:left="100"/>
              <w:spacing w:after="0" w:line="170" w:lineRule="exact"/>
              <w:rPr>
                <w:sz w:val="20"/>
                <w:szCs w:val="20"/>
                <w:color w:val="auto"/>
              </w:rPr>
            </w:pPr>
            <w:r>
              <w:rPr>
                <w:rFonts w:ascii="Times New Roman" w:cs="Times New Roman" w:eastAsia="Times New Roman" w:hAnsi="Times New Roman"/>
                <w:sz w:val="17"/>
                <w:szCs w:val="17"/>
                <w:color w:val="auto"/>
              </w:rPr>
              <w:t>interim basis, disaggregated information about certain income statement</w:t>
            </w:r>
          </w:p>
        </w:tc>
        <w:tc>
          <w:tcPr>
            <w:tcW w:w="3580" w:type="dxa"/>
            <w:vAlign w:val="bottom"/>
          </w:tcPr>
          <w:p>
            <w:pPr>
              <w:ind w:left="60"/>
              <w:spacing w:after="0" w:line="170" w:lineRule="exact"/>
              <w:rPr>
                <w:sz w:val="20"/>
                <w:szCs w:val="20"/>
                <w:color w:val="auto"/>
              </w:rPr>
            </w:pPr>
            <w:r>
              <w:rPr>
                <w:rFonts w:ascii="Times New Roman" w:cs="Times New Roman" w:eastAsia="Times New Roman" w:hAnsi="Times New Roman"/>
                <w:sz w:val="17"/>
                <w:szCs w:val="17"/>
                <w:color w:val="auto"/>
              </w:rPr>
              <w:t>and does not anticipate any material impact on t</w:t>
            </w:r>
          </w:p>
        </w:tc>
        <w:tc>
          <w:tcPr>
            <w:tcW w:w="0" w:type="dxa"/>
            <w:vAlign w:val="bottom"/>
          </w:tcPr>
          <w:p>
            <w:pPr>
              <w:spacing w:after="0"/>
              <w:rPr>
                <w:sz w:val="1"/>
                <w:szCs w:val="1"/>
                <w:color w:val="auto"/>
              </w:rPr>
            </w:pPr>
          </w:p>
        </w:tc>
      </w:tr>
      <w:tr>
        <w:trPr>
          <w:trHeight w:val="177"/>
        </w:trPr>
        <w:tc>
          <w:tcPr>
            <w:tcW w:w="20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Comprehensive Income—</w:t>
            </w:r>
          </w:p>
        </w:tc>
        <w:tc>
          <w:tcPr>
            <w:tcW w:w="536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line items in a tabular format in the notes to the financial statements. The</w:t>
            </w:r>
          </w:p>
        </w:tc>
        <w:tc>
          <w:tcPr>
            <w:tcW w:w="358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Company’s consolidated financial position or resu</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Expense Disaggregation</w:t>
            </w:r>
          </w:p>
        </w:tc>
        <w:tc>
          <w:tcPr>
            <w:tcW w:w="536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guidance does not change what is presented on the face of the income</w:t>
            </w:r>
          </w:p>
        </w:tc>
        <w:tc>
          <w:tcPr>
            <w:tcW w:w="3580" w:type="dxa"/>
            <w:vAlign w:val="bottom"/>
          </w:tcPr>
          <w:p>
            <w:pPr>
              <w:ind w:left="60"/>
              <w:spacing w:after="0" w:line="175" w:lineRule="exact"/>
              <w:rPr>
                <w:sz w:val="20"/>
                <w:szCs w:val="20"/>
                <w:color w:val="auto"/>
              </w:rPr>
            </w:pPr>
            <w:r>
              <w:rPr>
                <w:rFonts w:ascii="Times New Roman" w:cs="Times New Roman" w:eastAsia="Times New Roman" w:hAnsi="Times New Roman"/>
                <w:sz w:val="17"/>
                <w:szCs w:val="17"/>
                <w:color w:val="auto"/>
              </w:rPr>
              <w:t>of operations upon adoption.</w:t>
            </w: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Disclosures (Subtopic 220-</w:t>
            </w:r>
          </w:p>
        </w:tc>
        <w:tc>
          <w:tcPr>
            <w:tcW w:w="5360" w:type="dxa"/>
            <w:vAlign w:val="bottom"/>
          </w:tcPr>
          <w:p>
            <w:pPr>
              <w:ind w:left="100"/>
              <w:spacing w:after="0" w:line="170" w:lineRule="exact"/>
              <w:rPr>
                <w:sz w:val="20"/>
                <w:szCs w:val="20"/>
                <w:color w:val="auto"/>
              </w:rPr>
            </w:pPr>
            <w:r>
              <w:rPr>
                <w:rFonts w:ascii="Times New Roman" w:cs="Times New Roman" w:eastAsia="Times New Roman" w:hAnsi="Times New Roman"/>
                <w:sz w:val="17"/>
                <w:szCs w:val="17"/>
                <w:color w:val="auto"/>
              </w:rPr>
              <w:t>statement.</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40): Disaggregation of</w:t>
            </w:r>
          </w:p>
        </w:tc>
        <w:tc>
          <w:tcPr>
            <w:tcW w:w="53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Statement Expenses</w:t>
            </w:r>
          </w:p>
        </w:tc>
        <w:tc>
          <w:tcPr>
            <w:tcW w:w="53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Planned date of adoption:</w:t>
            </w:r>
          </w:p>
        </w:tc>
        <w:tc>
          <w:tcPr>
            <w:tcW w:w="53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January 1, 2027</w:t>
            </w:r>
          </w:p>
        </w:tc>
        <w:tc>
          <w:tcPr>
            <w:tcW w:w="53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Update 2023-09 - Income</w:t>
            </w:r>
          </w:p>
        </w:tc>
        <w:tc>
          <w:tcPr>
            <w:tcW w:w="536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The amendments in this Update related to the rate reconciliation and</w:t>
            </w:r>
          </w:p>
        </w:tc>
        <w:tc>
          <w:tcPr>
            <w:tcW w:w="358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color w:val="auto"/>
              </w:rPr>
              <w:t>The Company evaluated these changes and not</w:t>
            </w: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Taxes (Topic 740) -</w:t>
            </w:r>
          </w:p>
        </w:tc>
        <w:tc>
          <w:tcPr>
            <w:tcW w:w="5360" w:type="dxa"/>
            <w:vAlign w:val="bottom"/>
          </w:tcPr>
          <w:p>
            <w:pPr>
              <w:ind w:left="100"/>
              <w:spacing w:after="0" w:line="170" w:lineRule="exact"/>
              <w:rPr>
                <w:sz w:val="20"/>
                <w:szCs w:val="20"/>
                <w:color w:val="auto"/>
              </w:rPr>
            </w:pPr>
            <w:r>
              <w:rPr>
                <w:rFonts w:ascii="Times New Roman" w:cs="Times New Roman" w:eastAsia="Times New Roman" w:hAnsi="Times New Roman"/>
                <w:sz w:val="17"/>
                <w:szCs w:val="17"/>
                <w:color w:val="auto"/>
              </w:rPr>
              <w:t>income taxes paid disclosures improve the transparency of income tax</w:t>
            </w:r>
          </w:p>
        </w:tc>
        <w:tc>
          <w:tcPr>
            <w:tcW w:w="3580" w:type="dxa"/>
            <w:vAlign w:val="bottom"/>
          </w:tcPr>
          <w:p>
            <w:pPr>
              <w:ind w:left="60"/>
              <w:spacing w:after="0" w:line="170" w:lineRule="exact"/>
              <w:rPr>
                <w:sz w:val="20"/>
                <w:szCs w:val="20"/>
                <w:color w:val="auto"/>
              </w:rPr>
            </w:pPr>
            <w:r>
              <w:rPr>
                <w:rFonts w:ascii="Times New Roman" w:cs="Times New Roman" w:eastAsia="Times New Roman" w:hAnsi="Times New Roman"/>
                <w:sz w:val="17"/>
                <w:szCs w:val="17"/>
                <w:color w:val="auto"/>
              </w:rPr>
              <w:t>that the adoption of this standard did not have</w:t>
            </w:r>
          </w:p>
        </w:tc>
        <w:tc>
          <w:tcPr>
            <w:tcW w:w="0" w:type="dxa"/>
            <w:vAlign w:val="bottom"/>
          </w:tcPr>
          <w:p>
            <w:pPr>
              <w:spacing w:after="0"/>
              <w:rPr>
                <w:sz w:val="1"/>
                <w:szCs w:val="1"/>
                <w:color w:val="auto"/>
              </w:rPr>
            </w:pPr>
          </w:p>
        </w:tc>
      </w:tr>
      <w:tr>
        <w:trPr>
          <w:trHeight w:val="177"/>
        </w:trPr>
        <w:tc>
          <w:tcPr>
            <w:tcW w:w="20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Improvements to Income</w:t>
            </w:r>
          </w:p>
        </w:tc>
        <w:tc>
          <w:tcPr>
            <w:tcW w:w="536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disclosures  by  requiring  (1)  consistent  categories  and  greater</w:t>
            </w:r>
          </w:p>
        </w:tc>
        <w:tc>
          <w:tcPr>
            <w:tcW w:w="358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material  impact  on  the  Company’s  consolidat</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Tax Disclosures</w:t>
            </w:r>
          </w:p>
        </w:tc>
        <w:tc>
          <w:tcPr>
            <w:tcW w:w="536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disaggregation of information in the rate reconciliation and (2) income</w:t>
            </w:r>
          </w:p>
        </w:tc>
        <w:tc>
          <w:tcPr>
            <w:tcW w:w="3580" w:type="dxa"/>
            <w:vAlign w:val="bottom"/>
          </w:tcPr>
          <w:p>
            <w:pPr>
              <w:ind w:left="60"/>
              <w:spacing w:after="0" w:line="175" w:lineRule="exact"/>
              <w:rPr>
                <w:sz w:val="20"/>
                <w:szCs w:val="20"/>
                <w:color w:val="auto"/>
              </w:rPr>
            </w:pPr>
            <w:r>
              <w:rPr>
                <w:rFonts w:ascii="Times New Roman" w:cs="Times New Roman" w:eastAsia="Times New Roman" w:hAnsi="Times New Roman"/>
                <w:sz w:val="17"/>
                <w:szCs w:val="17"/>
                <w:color w:val="auto"/>
              </w:rPr>
              <w:t>financial position or results of operations. The AS</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5360" w:type="dxa"/>
            <w:vAlign w:val="bottom"/>
          </w:tcPr>
          <w:p>
            <w:pPr>
              <w:ind w:left="100"/>
              <w:spacing w:after="0" w:line="170" w:lineRule="exact"/>
              <w:rPr>
                <w:sz w:val="20"/>
                <w:szCs w:val="20"/>
                <w:color w:val="auto"/>
              </w:rPr>
            </w:pPr>
            <w:r>
              <w:rPr>
                <w:rFonts w:ascii="Times New Roman" w:cs="Times New Roman" w:eastAsia="Times New Roman" w:hAnsi="Times New Roman"/>
                <w:sz w:val="17"/>
                <w:szCs w:val="17"/>
                <w:color w:val="auto"/>
              </w:rPr>
              <w:t>taxes paid disaggregated by jurisdiction.</w:t>
            </w:r>
          </w:p>
        </w:tc>
        <w:tc>
          <w:tcPr>
            <w:tcW w:w="3580" w:type="dxa"/>
            <w:vAlign w:val="bottom"/>
          </w:tcPr>
          <w:p>
            <w:pPr>
              <w:ind w:left="60"/>
              <w:spacing w:after="0" w:line="170" w:lineRule="exact"/>
              <w:rPr>
                <w:sz w:val="20"/>
                <w:szCs w:val="20"/>
                <w:color w:val="auto"/>
              </w:rPr>
            </w:pPr>
            <w:r>
              <w:rPr>
                <w:rFonts w:ascii="Times New Roman" w:cs="Times New Roman" w:eastAsia="Times New Roman" w:hAnsi="Times New Roman"/>
                <w:sz w:val="17"/>
                <w:szCs w:val="17"/>
                <w:color w:val="auto"/>
              </w:rPr>
              <w:t>is  effective  for  annual  periods  beginning  af</w:t>
            </w: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58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December 15, 2024, and will not impact interi</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580" w:type="dxa"/>
            <w:vAlign w:val="bottom"/>
          </w:tcPr>
          <w:p>
            <w:pPr>
              <w:ind w:left="60"/>
              <w:spacing w:after="0" w:line="175" w:lineRule="exact"/>
              <w:rPr>
                <w:sz w:val="20"/>
                <w:szCs w:val="20"/>
                <w:color w:val="auto"/>
              </w:rPr>
            </w:pPr>
            <w:r>
              <w:rPr>
                <w:rFonts w:ascii="Times New Roman" w:cs="Times New Roman" w:eastAsia="Times New Roman" w:hAnsi="Times New Roman"/>
                <w:sz w:val="17"/>
                <w:szCs w:val="17"/>
                <w:color w:val="auto"/>
              </w:rPr>
              <w:t>disclosures for 2025. The Company will inclu</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580" w:type="dxa"/>
            <w:vAlign w:val="bottom"/>
          </w:tcPr>
          <w:p>
            <w:pPr>
              <w:ind w:left="60"/>
              <w:spacing w:after="0" w:line="170" w:lineRule="exact"/>
              <w:rPr>
                <w:sz w:val="20"/>
                <w:szCs w:val="20"/>
                <w:color w:val="auto"/>
              </w:rPr>
            </w:pPr>
            <w:r>
              <w:rPr>
                <w:rFonts w:ascii="Times New Roman" w:cs="Times New Roman" w:eastAsia="Times New Roman" w:hAnsi="Times New Roman"/>
                <w:sz w:val="17"/>
                <w:szCs w:val="17"/>
                <w:color w:val="auto"/>
              </w:rPr>
              <w:t>additional income tax disclosures in its Annu</w:t>
            </w: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58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Report on Form 10-K for the year ending Decemb</w:t>
            </w:r>
          </w:p>
        </w:tc>
        <w:tc>
          <w:tcPr>
            <w:tcW w:w="0" w:type="dxa"/>
            <w:vAlign w:val="bottom"/>
          </w:tcPr>
          <w:p>
            <w:pPr>
              <w:spacing w:after="0"/>
              <w:rPr>
                <w:sz w:val="1"/>
                <w:szCs w:val="1"/>
                <w:color w:val="auto"/>
              </w:rPr>
            </w:pPr>
          </w:p>
        </w:tc>
      </w:tr>
      <w:tr>
        <w:trPr>
          <w:trHeight w:val="227"/>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Planned date of adoption:</w:t>
            </w:r>
          </w:p>
        </w:tc>
        <w:tc>
          <w:tcPr>
            <w:tcW w:w="5360" w:type="dxa"/>
            <w:vAlign w:val="bottom"/>
          </w:tcPr>
          <w:p>
            <w:pPr>
              <w:spacing w:after="0"/>
              <w:rPr>
                <w:sz w:val="19"/>
                <w:szCs w:val="19"/>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 2025, as required by ASU Update 2023-09.</w:t>
            </w:r>
          </w:p>
        </w:tc>
        <w:tc>
          <w:tcPr>
            <w:tcW w:w="0" w:type="dxa"/>
            <w:vAlign w:val="bottom"/>
          </w:tcPr>
          <w:p>
            <w:pPr>
              <w:spacing w:after="0"/>
              <w:rPr>
                <w:sz w:val="1"/>
                <w:szCs w:val="1"/>
                <w:color w:val="auto"/>
              </w:rPr>
            </w:pPr>
          </w:p>
        </w:tc>
      </w:tr>
      <w:tr>
        <w:trPr>
          <w:trHeight w:val="170"/>
        </w:trPr>
        <w:tc>
          <w:tcPr>
            <w:tcW w:w="2080" w:type="dxa"/>
            <w:vAlign w:val="bottom"/>
            <w:vMerge w:val="continue"/>
          </w:tcPr>
          <w:p>
            <w:pPr>
              <w:spacing w:after="0"/>
              <w:rPr>
                <w:sz w:val="14"/>
                <w:szCs w:val="14"/>
                <w:color w:val="auto"/>
              </w:rPr>
            </w:pPr>
          </w:p>
        </w:tc>
        <w:tc>
          <w:tcPr>
            <w:tcW w:w="5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53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2" w:lineRule="exact"/>
        <w:rPr>
          <w:sz w:val="20"/>
          <w:szCs w:val="20"/>
          <w:color w:val="auto"/>
        </w:rPr>
      </w:pPr>
    </w:p>
    <w:p>
      <w:pPr>
        <w:jc w:val="both"/>
        <w:ind w:firstLine="313"/>
        <w:spacing w:after="0" w:line="273" w:lineRule="auto"/>
        <w:rPr>
          <w:sz w:val="20"/>
          <w:szCs w:val="20"/>
          <w:color w:val="auto"/>
        </w:rPr>
      </w:pPr>
      <w:r>
        <w:rPr>
          <w:rFonts w:ascii="Times New Roman" w:cs="Times New Roman" w:eastAsia="Times New Roman" w:hAnsi="Times New Roman"/>
          <w:sz w:val="17"/>
          <w:szCs w:val="17"/>
          <w:color w:val="auto"/>
        </w:rPr>
        <w:t>The Company disaggregates revenue from contracts with customers into the nature of the services and geographical regions. The Company’s geographic regions are the North America, Europe, the Middle East and Africa (“EMEA”), and Asia Pacific (“APAC”). The majority of the Company’s revenue is from the technology, media, and telecom (“TMT”) sector.</w:t>
      </w:r>
    </w:p>
    <w:tbl>
      <w:tblPr>
        <w:tblLayout w:type="fixed"/>
        <w:tblInd w:w="0"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8"/>
        </w:trPr>
        <w:tc>
          <w:tcPr>
            <w:tcW w:w="5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Geography: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5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North America</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40,314</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80,515</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79,955</w:t>
            </w:r>
          </w:p>
        </w:tc>
      </w:tr>
      <w:tr>
        <w:trPr>
          <w:trHeight w:val="22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APAC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3,153</w:t>
            </w:r>
          </w:p>
        </w:tc>
      </w:tr>
      <w:tr>
        <w:trPr>
          <w:trHeight w:val="222"/>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EMEA</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w:t>
            </w:r>
          </w:p>
        </w:tc>
      </w:tr>
      <w:tr>
        <w:trPr>
          <w:trHeight w:val="24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Line: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5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Professional Services</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4,089</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5,023</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7,862</w:t>
            </w:r>
          </w:p>
        </w:tc>
      </w:tr>
      <w:tr>
        <w:trPr>
          <w:trHeight w:val="22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Services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78,463</w:t>
            </w:r>
          </w:p>
        </w:tc>
      </w:tr>
      <w:tr>
        <w:trPr>
          <w:trHeight w:val="222"/>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4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Accounts Receivable and Contract Balances</w:t>
      </w:r>
    </w:p>
    <w:p>
      <w:pPr>
        <w:spacing w:after="0" w:line="252"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volume-based contracts. The Company presents such receivables in Trade accounts receivable, net on the Condensed Consolidated Balance Sheets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1"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The Company presents such contract assets in Other current assets and Other noncurrent assets on the Condensed Consolidated Balance Sheets. The contract asset balance was $0.5 million and $0.6 million at June 30, 2025 and December 31, 2024, respectively.</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Amounts collected in advance of services being provided are accounted for as contract liabilities, which are presented as Deferred revenue, current on the Condensed Consolidated Balance Sheets and are realized with the associated revenue recognized under the contract. Nearly all of the Company's contract liabilities balance are related to services revenue, primarily subscription services contracts.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contract assets and liabilities are reported in a net position on a customer basis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Significant changes in the contract liabilities balance during the period are as follows:</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8"/>
        </w:trPr>
        <w:tc>
          <w:tcPr>
            <w:tcW w:w="94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3"/>
              <w:spacing w:after="0" w:line="248" w:lineRule="exact"/>
              <w:rPr>
                <w:sz w:val="20"/>
                <w:szCs w:val="20"/>
                <w:color w:val="auto"/>
              </w:rPr>
            </w:pPr>
            <w:r>
              <w:rPr>
                <w:rFonts w:ascii="Times New Roman" w:cs="Times New Roman" w:eastAsia="Times New Roman" w:hAnsi="Times New Roman"/>
                <w:sz w:val="17"/>
                <w:szCs w:val="17"/>
                <w:b w:val="1"/>
                <w:bCs w:val="1"/>
                <w:color w:val="auto"/>
              </w:rPr>
              <w:t>Contract Liabilities</w:t>
            </w:r>
            <w:r>
              <w:rPr>
                <w:rFonts w:ascii="Times New Roman" w:cs="Times New Roman" w:eastAsia="Times New Roman" w:hAnsi="Times New Roman"/>
                <w:sz w:val="22"/>
                <w:szCs w:val="22"/>
                <w:b w:val="1"/>
                <w:bCs w:val="1"/>
                <w:color w:val="auto"/>
                <w:vertAlign w:val="superscript"/>
              </w:rPr>
              <w:t>1</w:t>
            </w:r>
          </w:p>
        </w:tc>
      </w:tr>
      <w:tr>
        <w:trPr>
          <w:trHeight w:val="215"/>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r>
      <w:tr>
        <w:trPr>
          <w:trHeight w:val="222"/>
        </w:trPr>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Amounts billed but not initially recognized as revenue</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84,158</w:t>
            </w:r>
          </w:p>
        </w:tc>
      </w:tr>
      <w:tr>
        <w:trPr>
          <w:trHeight w:val="222"/>
        </w:trPr>
        <w:tc>
          <w:tcPr>
            <w:tcW w:w="9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 recognized in the period</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(84,315)</w:t>
            </w:r>
          </w:p>
        </w:tc>
      </w:tr>
      <w:tr>
        <w:trPr>
          <w:trHeight w:val="222"/>
        </w:trPr>
        <w:tc>
          <w:tcPr>
            <w:tcW w:w="9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Reclassification to contract asset</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40"/>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Comprised of Deferred Revenue. $0.4 million of revenue recognized in the period was included in the contract liability balance at the beginning of the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Price Allocated to the Remaining Performance Obligations</w:t>
      </w:r>
    </w:p>
    <w:p>
      <w:pPr>
        <w:spacing w:after="0" w:line="252"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Topic 606 requires that the Company disclose the aggregate amount of transaction price that is allocated to performance obligations that have not yet been satisfied as of June 30, 2025. The Company has elected not to disclose transaction price allocated to remaining performance obligations for:</w:t>
      </w:r>
    </w:p>
    <w:p>
      <w:pPr>
        <w:spacing w:after="0" w:line="173"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an original duration of one year or less, including contracts that can be terminated for convenience without a substantive penalty.</w:t>
      </w:r>
    </w:p>
    <w:p>
      <w:pPr>
        <w:spacing w:after="0" w:line="31"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for which the Company recognizes revenues based on the right to invoice for services performed.</w:t>
      </w:r>
    </w:p>
    <w:p>
      <w:pPr>
        <w:spacing w:after="0" w:line="13" w:lineRule="exact"/>
        <w:rPr>
          <w:rFonts w:ascii="Times New Roman" w:cs="Times New Roman" w:eastAsia="Times New Roman" w:hAnsi="Times New Roman"/>
          <w:sz w:val="17"/>
          <w:szCs w:val="17"/>
          <w:color w:val="auto"/>
        </w:rPr>
      </w:pPr>
    </w:p>
    <w:p>
      <w:pPr>
        <w:jc w:val="both"/>
        <w:ind w:left="640" w:hanging="323"/>
        <w:spacing w:after="0" w:line="261"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Many of the Company’s performance obligations meet one or more of these exemptions. Specifically, the Company has excluded the following from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remaining performance obligations, all of which will be resolved in the period in which amounts are known:</w:t>
      </w:r>
    </w:p>
    <w:p>
      <w:pPr>
        <w:spacing w:after="0" w:line="230" w:lineRule="exact"/>
        <w:rPr>
          <w:sz w:val="20"/>
          <w:szCs w:val="20"/>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future transactions, above any contractual minimums</w:t>
      </w:r>
    </w:p>
    <w:p>
      <w:pPr>
        <w:spacing w:after="0" w:line="3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success-based transactions contingent on third party data</w:t>
      </w:r>
    </w:p>
    <w:p>
      <w:pPr>
        <w:spacing w:after="0" w:line="13"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credits for failure to meet future service level requirements</w:t>
      </w:r>
    </w:p>
    <w:p>
      <w:pPr>
        <w:spacing w:after="0" w:line="23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June 30, 2025, the aggregate amount of transaction price allocated to remaining performance obligations, other than those meeting the exclusion criteria above, was $133.7 million, of which approximately 99.4% is expected to be recognized as revenues within 2 years, and the remainder thereafter.</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Segment Information</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assessed its current structure and operations and determined it has one operating segment and a single reportable segment as the business is managed and assessed by the chief operating decision-maker based on the consolidated results of the organization. The Chief Executive Officer is the chief operating decision-maker (“CODM”) for the Company.</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segment derives revenues from customers through the Company’s cloud product under software-as-a-service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accounting policies of the single segment are the same as those described in the summary of significant accounting policies. The CODM assesses performance and decides how to allocate resources based on consolidated net income (loss). The measure of segment assets is reported on the balance sheet as total consolidated assets.</w:t>
      </w:r>
    </w:p>
    <w:p>
      <w:pPr>
        <w:spacing w:after="0" w:line="1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CODM uses consolidated net income (loss) to evaluate the overall financial performance of the company. The focus is on revenue performance as well as on comparing actual functional spend categories to forecast and, occasionally, prior-year results to assess variances and trends. Decisions regarding resource allocation are primarily made during the annual budget planning process and augmented as needed throughout the year.</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operating results and a reconciliation of segment operating income to consolidated net income (loss)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00" w:type="dxa"/>
            <w:vAlign w:val="bottom"/>
          </w:tcPr>
          <w:p>
            <w:pPr>
              <w:spacing w:after="0"/>
              <w:rPr>
                <w:sz w:val="19"/>
                <w:szCs w:val="19"/>
                <w:color w:val="auto"/>
              </w:rPr>
            </w:pPr>
          </w:p>
        </w:tc>
        <w:tc>
          <w:tcPr>
            <w:tcW w:w="2640" w:type="dxa"/>
            <w:vAlign w:val="bottom"/>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2"/>
        </w:trPr>
        <w:tc>
          <w:tcPr>
            <w:tcW w:w="5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528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Net revenues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86,423</w:t>
            </w:r>
          </w:p>
        </w:tc>
      </w:tr>
      <w:tr>
        <w:trPr>
          <w:trHeight w:val="222"/>
        </w:trPr>
        <w:tc>
          <w:tcPr>
            <w:tcW w:w="5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(add):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Employees related expense net of capitalized software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39,295</w:t>
            </w:r>
          </w:p>
        </w:tc>
      </w:tr>
      <w:tr>
        <w:trPr>
          <w:trHeight w:val="222"/>
        </w:trPr>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Hosting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7,804</w:t>
            </w: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Professional services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9,729</w:t>
            </w:r>
          </w:p>
        </w:tc>
      </w:tr>
      <w:tr>
        <w:trPr>
          <w:trHeight w:val="222"/>
        </w:trPr>
        <w:tc>
          <w:tcPr>
            <w:tcW w:w="5280" w:type="dxa"/>
            <w:vAlign w:val="bottom"/>
          </w:tcPr>
          <w:p>
            <w:pPr>
              <w:ind w:left="240"/>
              <w:spacing w:after="0" w:line="222"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12,325</w:t>
            </w: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8,387</w:t>
            </w:r>
          </w:p>
        </w:tc>
      </w:tr>
      <w:tr>
        <w:trPr>
          <w:trHeight w:val="222"/>
        </w:trPr>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w:t>
            </w:r>
          </w:p>
        </w:tc>
      </w:tr>
      <w:tr>
        <w:trPr>
          <w:trHeight w:val="222"/>
        </w:trPr>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Debt modification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w:t>
            </w: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r>
      <w:tr>
        <w:trPr>
          <w:trHeight w:val="21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net (loss) income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52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i w:val="1"/>
                <w:iCs w:val="1"/>
                <w:color w:val="auto"/>
              </w:rPr>
              <w:t>Reconciliation of profit or loss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2"/>
        </w:trPr>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Adjustments and reconciling items</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(loss) income</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76" w:lineRule="exact"/>
        <w:rPr>
          <w:sz w:val="20"/>
          <w:szCs w:val="20"/>
          <w:color w:val="auto"/>
        </w:rPr>
      </w:pPr>
    </w:p>
    <w:p>
      <w:pPr>
        <w:ind w:left="160" w:hanging="156"/>
        <w:spacing w:after="0"/>
        <w:tabs>
          <w:tab w:leader="none" w:pos="1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There are no intra-entity sales or transfers.</w:t>
      </w:r>
    </w:p>
    <w:p>
      <w:pPr>
        <w:ind w:left="320" w:hanging="316"/>
        <w:spacing w:after="0" w:line="222" w:lineRule="auto"/>
        <w:tabs>
          <w:tab w:leader="none" w:pos="199"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segment items include: administrative expense, facilities expense, maintenance charges, restructuring expense, sales and marketing expense, stock-based compensation expense and other overhead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Accounts Receivable Securitization Facility</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23, 2022 (the “A/R Closing Date”), the Company and certain of its subsidiaries (together with the Company, the “Company Group”) entered into a $15 million accounts receivable securitization facility (the “A/R Facility”) with Norddeutsche Landesbank Girozentrale. On June 25, 2025, but effective as of June 17, 2025, the arrangement was amended to extend the expiration date to December 22, 2025, with no other revisions to its terms.</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administrator; and (iv) the Performance Guaranty (the “Performance Guaranty”) dated as of the Closing Date made by the Company in favor of the Administrative Agent.</w:t>
      </w:r>
    </w:p>
    <w:p>
      <w:pPr>
        <w:spacing w:after="0" w:line="173"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0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Unless earlier terminated or subsequently extended pursuant to the terms of the Receivables Purchase Agreement, the A/R Facility will expire on December 22, 2025.</w:t>
      </w:r>
    </w:p>
    <w:p>
      <w:pPr>
        <w:spacing w:after="0" w:line="173"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For the three and six months ended June 30, 2025 the Company drew $3.0 million on the A/R Facility, and had repaid the balance in full as of June 30, 2025. For the six months ended June 30, 2024, the Company drew $6.0 million on the A/R Facility, and had repaid the balance in full as of June 30, 2024. The interest associated with the draw and repayment was not material for either period. The drawdown and subsequent repayment of the A/R Facility represent financing activities, as reported on the Condensed Consolidated Statements of Cash Flows. As of June 30, 2025 approximately $3.2 million of the Company’s receivables are held by SN Technologies. As of June 30, 2025 there were no outstanding borrowings against the A/R facility and $1.9 million was available for the Company to draw under the A/R Facility.</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drew $3.0 million on the A/R Facility on July 22, 2025, and has not repaid the balance as of the filing date.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Fair Value Measurements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In accordance with US GAAP,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73" w:lineRule="exact"/>
        <w:rPr>
          <w:sz w:val="20"/>
          <w:szCs w:val="20"/>
          <w:color w:val="auto"/>
        </w:rPr>
      </w:pPr>
    </w:p>
    <w:p>
      <w:pPr>
        <w:ind w:left="620" w:hanging="30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 quoted prices in active markets for identical assets and liabilities.</w:t>
      </w:r>
    </w:p>
    <w:p>
      <w:pPr>
        <w:spacing w:after="0" w:line="31" w:lineRule="exact"/>
        <w:rPr>
          <w:rFonts w:ascii="Times New Roman" w:cs="Times New Roman" w:eastAsia="Times New Roman" w:hAnsi="Times New Roman"/>
          <w:sz w:val="17"/>
          <w:szCs w:val="17"/>
          <w:color w:val="auto"/>
        </w:rPr>
      </w:pPr>
    </w:p>
    <w:p>
      <w:pPr>
        <w:jc w:val="both"/>
        <w:ind w:left="640" w:hanging="323"/>
        <w:spacing w:after="0" w:line="256"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w:t>
      </w:r>
    </w:p>
    <w:p>
      <w:pPr>
        <w:ind w:left="640" w:hanging="323"/>
        <w:spacing w:after="0" w:line="272"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summary of assets and liabilities, and their related classifications under the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15"/>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6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02"/>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2"/>
        </w:trPr>
        <w:tc>
          <w:tcPr>
            <w:tcW w:w="526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Money market accounts</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52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Performance-based cash units</w:t>
            </w:r>
            <w:r>
              <w:rPr>
                <w:rFonts w:ascii="Times New Roman" w:cs="Times New Roman" w:eastAsia="Times New Roman" w:hAnsi="Times New Roman"/>
                <w:sz w:val="22"/>
                <w:szCs w:val="22"/>
                <w:color w:val="auto"/>
                <w:vertAlign w:val="superscript"/>
              </w:rPr>
              <w:t>2,3</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r>
    </w:tbl>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5"/>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0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2"/>
        </w:trPr>
        <w:tc>
          <w:tcPr>
            <w:tcW w:w="52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Money market accounts</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52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Performance-based cash units</w:t>
            </w:r>
            <w:r>
              <w:rPr>
                <w:rFonts w:ascii="Times New Roman" w:cs="Times New Roman" w:eastAsia="Times New Roman" w:hAnsi="Times New Roman"/>
                <w:sz w:val="22"/>
                <w:szCs w:val="22"/>
                <w:color w:val="auto"/>
                <w:vertAlign w:val="superscript"/>
              </w:rPr>
              <w:t>2,3</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7" w:lineRule="auto"/>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in Cash and cash equivalents on the Condensed Consolidated Balance Sheets.</w:t>
      </w:r>
    </w:p>
    <w:p>
      <w:pPr>
        <w:ind w:left="160" w:hanging="156"/>
        <w:spacing w:after="0" w:line="208"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short-term portion is included in Accrued expenses and the long-term portion is included in Other liabilities, non-current on the Condensed Consolidated Balance Sheets.</w:t>
      </w:r>
    </w:p>
    <w:p>
      <w:pPr>
        <w:spacing w:after="0" w:line="10"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For a discussion of performance-based cash units see Note 11. Capital Structure of the Notes to Condensed Consolidated Financial Statements in Item 1 of this Form 10-Q.</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Refer to Note 9. Debt of the Notes to Condensed Consolidated Financial Statements in Item 1 of this Form 10-Q for presentation of Fair Value of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Note Receivable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Sequential Technology International, LLC</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agreement with STIN and APC to amend the aforementioned promissory note and reduce the principal balance to $3.0 million, forgive outstanding accrued interest and extend the maturity date of the Note to September 2027.</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January 8, 2025, the Company and STIN, APC and Sequential Technology International Holdings, LLC (collectively the “Sequential Parties”) entered into an Amended and Restated Settlement Agreement (“Settlement Agreement”) to further amend the amounts due from STIN under the Note in connection with a transaction through which the Sequential Parties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acquired. Under the Settlement Agreement the Company received $1.6 million in past-due rent and contingent consideration which the Company may be entitled to if certain key performance indicators are met within the time periods specified in that Agreement. Given the full allowance for credit losses had been recorded against the Note in 2023, the modification of the terms of the Note had no net impact on the consolidated financial statements for the six months ended June 30,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3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 has entered into contracts with third parties to lease a variety of assets, including certain real estate, equipment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96"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The Company is party to certain sublease arrangements, primarily related to the Company’s real estate leases, where it acts as the lessee and intermediate lessor.</w:t>
      </w:r>
    </w:p>
    <w:p>
      <w:pPr>
        <w:spacing w:after="0" w:line="200" w:lineRule="exact"/>
        <w:rPr>
          <w:sz w:val="20"/>
          <w:szCs w:val="20"/>
          <w:color w:val="auto"/>
        </w:rPr>
      </w:pPr>
    </w:p>
    <w:p>
      <w:pPr>
        <w:spacing w:after="0" w:line="234"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Assets under operating leases are included in Operating lease right-of-use assets, with the related short-term liabilities included in Accrued expenses and long-term portion included in Leases, non-current on the Condensed Consolidated Balance Sheets.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Assets under finance leases are included in Property, plant and equipment, net, with the related short-term liabilities included in Accrued expenses and long-term portion in Leases, non-current on the Condensed Consolidated Balance Sheets.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Operating lease costs are recognized on a straight-line basis over the lease terms. Finance lease assets are amortized on a straight-line basis over the shorter of the estimated useful lives of the assets or the lease terms.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right-of-use (“ROU”) assets and lease liabilities: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9"/>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2"/>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operating lease ROU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4,989</w:t>
            </w:r>
          </w:p>
        </w:tc>
        <w:tc>
          <w:tcPr>
            <w:tcW w:w="80" w:type="dxa"/>
            <w:vAlign w:val="bottom"/>
          </w:tcPr>
          <w:p>
            <w:pPr>
              <w:spacing w:after="0"/>
              <w:rPr>
                <w:sz w:val="19"/>
                <w:szCs w:val="19"/>
                <w:color w:val="auto"/>
              </w:rPr>
            </w:pPr>
          </w:p>
        </w:tc>
        <w:tc>
          <w:tcPr>
            <w:tcW w:w="54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8,445</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2"/>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61"/>
        </w:trPr>
        <w:tc>
          <w:tcPr>
            <w:tcW w:w="8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Lease liabilities, non-current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6,010</w:t>
            </w:r>
          </w:p>
        </w:tc>
      </w:tr>
      <w:tr>
        <w:trPr>
          <w:trHeight w:val="227"/>
        </w:trPr>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11,321</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16,320</w:t>
            </w:r>
          </w:p>
        </w:tc>
      </w:tr>
      <w:tr>
        <w:trPr>
          <w:trHeight w:val="215"/>
        </w:trPr>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22,330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-462915</wp:posOffset>
            </wp:positionV>
            <wp:extent cx="7136765" cy="140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-181610</wp:posOffset>
            </wp:positionV>
            <wp:extent cx="7136765" cy="165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2"/>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222"/>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15"/>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w:t>
            </w:r>
          </w:p>
        </w:tc>
      </w:tr>
      <w:tr>
        <w:trPr>
          <w:trHeight w:val="20"/>
        </w:trPr>
        <w:tc>
          <w:tcPr>
            <w:tcW w:w="8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lease expense and sublease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tcPr>
          <w:p>
            <w:pPr>
              <w:spacing w:after="0"/>
              <w:rPr>
                <w:sz w:val="19"/>
                <w:szCs w:val="19"/>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Pr>
          <w:p>
            <w:pPr>
              <w:spacing w:after="0"/>
              <w:rPr>
                <w:sz w:val="19"/>
                <w:szCs w:val="19"/>
                <w:color w:val="auto"/>
              </w:rPr>
            </w:pPr>
          </w:p>
        </w:tc>
        <w:tc>
          <w:tcPr>
            <w:tcW w:w="268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5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expense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15"/>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tcPr>
          <w:p>
            <w:pPr>
              <w:spacing w:after="0"/>
              <w:rPr>
                <w:sz w:val="18"/>
                <w:szCs w:val="18"/>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61"/>
        </w:trPr>
        <w:tc>
          <w:tcPr>
            <w:tcW w:w="5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6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r>
      <w:tr>
        <w:trPr>
          <w:trHeight w:val="222"/>
        </w:trPr>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lease costs and income: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6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22"/>
        </w:trPr>
        <w:tc>
          <w:tcPr>
            <w:tcW w:w="5260" w:type="dxa"/>
            <w:vAlign w:val="bottom"/>
          </w:tcPr>
          <w:p>
            <w:pPr>
              <w:ind w:left="440"/>
              <w:spacing w:after="0" w:line="222" w:lineRule="exact"/>
              <w:rPr>
                <w:sz w:val="20"/>
                <w:szCs w:val="20"/>
                <w:color w:val="auto"/>
              </w:rPr>
            </w:pPr>
            <w:r>
              <w:rPr>
                <w:rFonts w:ascii="Times New Roman" w:cs="Times New Roman" w:eastAsia="Times New Roman" w:hAnsi="Times New Roman"/>
                <w:sz w:val="17"/>
                <w:szCs w:val="17"/>
                <w:color w:val="auto"/>
              </w:rPr>
              <w:t>ROU assets impairments, net</w:t>
            </w:r>
            <w:r>
              <w:rPr>
                <w:rFonts w:ascii="Times New Roman" w:cs="Times New Roman" w:eastAsia="Times New Roman" w:hAnsi="Times New Roman"/>
                <w:sz w:val="22"/>
                <w:szCs w:val="22"/>
                <w:color w:val="auto"/>
                <w:vertAlign w:val="superscript"/>
              </w:rPr>
              <w:t>1,2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w:t>
            </w:r>
          </w:p>
        </w:tc>
      </w:tr>
      <w:tr>
        <w:trPr>
          <w:trHeight w:val="222"/>
        </w:trPr>
        <w:tc>
          <w:tcPr>
            <w:tcW w:w="526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Sublease income</w:t>
            </w:r>
            <w:r>
              <w:rPr>
                <w:rFonts w:ascii="Times New Roman" w:cs="Times New Roman" w:eastAsia="Times New Roman" w:hAnsi="Times New Roman"/>
                <w:sz w:val="22"/>
                <w:szCs w:val="22"/>
                <w:color w:val="auto"/>
                <w:vertAlign w:val="superscript"/>
              </w:rPr>
              <w:t>1,2</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r>
      <w:tr>
        <w:trPr>
          <w:trHeight w:val="215"/>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leases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4,099</w:t>
            </w:r>
          </w:p>
        </w:tc>
      </w:tr>
      <w:tr>
        <w:trPr>
          <w:trHeight w:val="24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lease cost</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00" w:hanging="196"/>
        <w:spacing w:after="0"/>
        <w:tabs>
          <w:tab w:leader="none" w:pos="20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are included in Cost of revenues, Selling, general and administrative and/or Research and development based on the function that the underlying leased asset supports,</w:t>
      </w:r>
    </w:p>
    <w:p>
      <w:pPr>
        <w:ind w:left="320"/>
        <w:spacing w:after="0" w:line="216" w:lineRule="auto"/>
        <w:rPr>
          <w:sz w:val="20"/>
          <w:szCs w:val="20"/>
          <w:color w:val="auto"/>
        </w:rPr>
      </w:pPr>
      <w:r>
        <w:rPr>
          <w:rFonts w:ascii="Times New Roman" w:cs="Times New Roman" w:eastAsia="Times New Roman" w:hAnsi="Times New Roman"/>
          <w:sz w:val="16"/>
          <w:szCs w:val="16"/>
          <w:color w:val="auto"/>
        </w:rPr>
        <w:t>which are reflected on the Condensed Consolidated Statements of Operations.</w:t>
      </w:r>
    </w:p>
    <w:p>
      <w:pPr>
        <w:ind w:left="220" w:hanging="216"/>
        <w:spacing w:after="0" w:line="197" w:lineRule="auto"/>
        <w:tabs>
          <w:tab w:leader="none" w:pos="22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Reflects impairments recorded for the 7th floor at Bridgewater, NJ lease in the current period, and for Bethlehem, PA in the prior period.</w:t>
      </w:r>
    </w:p>
    <w:p>
      <w:pPr>
        <w:spacing w:after="0" w:line="223"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provides the undiscounted amount of future cash flows included in the Company’s lease liabilities at June 30, 2025, for each of the five years beginning January 1, 2025 and thereafter, as well as a reconciliation of such undiscounted cash flows to our lease liabilities as of June 30,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40" w:type="dxa"/>
            <w:vAlign w:val="bottom"/>
          </w:tcPr>
          <w:p>
            <w:pPr>
              <w:spacing w:after="0"/>
              <w:rPr>
                <w:sz w:val="19"/>
                <w:szCs w:val="19"/>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8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r>
      <w:tr>
        <w:trPr>
          <w:trHeight w:val="222"/>
        </w:trPr>
        <w:tc>
          <w:tcPr>
            <w:tcW w:w="8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2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22"/>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2028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22"/>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40"/>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future lease payments (lease liability)</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the weighted average remaining lease term and weighted-average discount rates for our leases: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December 31, 2024</w:t>
            </w:r>
          </w:p>
        </w:tc>
      </w:tr>
      <w:tr>
        <w:trPr>
          <w:trHeight w:val="209"/>
        </w:trPr>
        <w:tc>
          <w:tcPr>
            <w:tcW w:w="8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 average remaining lease term (years), weighted based on lease liability balances: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2"/>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2"/>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61"/>
        </w:trPr>
        <w:tc>
          <w:tcPr>
            <w:tcW w:w="8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2"/>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 average discount rate (percentages), weighted based on the remaining balance of lease payments: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certain cash flow and supplemental noncash information related to our lease liabilities: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Pr>
          <w:p>
            <w:pPr>
              <w:spacing w:after="0"/>
              <w:rPr>
                <w:sz w:val="19"/>
                <w:szCs w:val="19"/>
                <w:color w:val="auto"/>
              </w:rPr>
            </w:pPr>
          </w:p>
        </w:tc>
        <w:tc>
          <w:tcPr>
            <w:tcW w:w="268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2"/>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2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w:t>
            </w:r>
          </w:p>
        </w:tc>
      </w:tr>
      <w:tr>
        <w:trPr>
          <w:trHeight w:val="261"/>
        </w:trPr>
        <w:tc>
          <w:tcPr>
            <w:tcW w:w="5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arising from obtaining right-of-use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2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Term Loan</w:t>
      </w:r>
    </w:p>
    <w:p>
      <w:pPr>
        <w:spacing w:after="0" w:line="252"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On April 24, 2025 (the “Closing Date”), the Company and certain of its subsidiaries entered into the First Amendment to Credit Agreement and Pledge and Security Agreement (the “2025 Term Loan Agreement”) with the lenders party thereto and BGC Lender Rep LLC, as administrative agent, which amended the 2024 Term Loan Agreement (as defined below), to establish a new term loan facility in an aggregate principal amount of $200.00 million (the “2025 Term Loan”), all of which was funded on the Closing Date, with any existing lenders under the 2024 Term Loan Agreement participating pursuant to a cashless settlement of the $73.6 million outstanding aggregate principal amount of the 2024 Term Loan, as defined below, for total net cash proceeds of $126.4 million. In connection with the 2024 Term Loan settlement, the Company paid a $2.8 million make-whole provision. The proceeds from the 2025 Term Loan, together with cash on hand, were used to redeem all of the $121.4 million outstanding aggregate principal amount of 2021 Senior Notes on May 12, 2025 at the applicable redemption price. The Company paid a $1.2 million prepayment premium in connection with the 2021 Senior Notes redemption.</w:t>
      </w:r>
    </w:p>
    <w:p>
      <w:pPr>
        <w:spacing w:after="0" w:line="203"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2025 Term Loan includes participation from both existing and new lenders. One lender participated in both the 2024 Term Loan and the 2025 Term Loan. In addition, one former 2021 Senior Notes lender also participated in the 2025 Term Loan. These transactions were evaluated under ASC 470-50, Debt— Modifications and Extinguishments, and were accounted for as debt modifications. Those lenders from the 2021 Senior Notes that did not participate in the 2025 Term Loan (the “Extinguished Note Holders”) were considered extinguished under the accounting guidance. There was one new lender who also participated in the 2025 Term Loan syndicate.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In connection with the refinancing, the Company incurred $9.0 million of financing-related costs, consisting of $4.0 million in lender fees (treated as original issue discount) and $5.0 million in third-party costs. The Company capitalized the full $4.0 million in lender fees and $0.6 million of third-party costs as debt issuance costs, which will be amortized over the term of the 2025 Term Loan using the effective interest method. The remaining $4.4 million of third-party fees were recognized as Debt modification expense on the Condensed Consolidated Statements of Income for the three and six months ended June 30, 2025, in accordance with ASC 470-50.</w:t>
      </w:r>
    </w:p>
    <w:p>
      <w:pPr>
        <w:spacing w:after="0" w:line="19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the Closing Date, the Company had $5.6 million of unamortized debt issuance costs associated with the 2024 Term Loan. These costs, along with the $2.8 million make-whole provision paid at refinancing, were capitalized and are being amortized over the term of the 2025 Term Loan.</w:t>
      </w:r>
    </w:p>
    <w:p>
      <w:pPr>
        <w:spacing w:after="0" w:line="173"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Company also had $2.1 million in unamortized debt issuance costs related to the 2021 Senior Notes. Of this amount, $0.8 million was allocated to lenders determined to be modified and will be amortized over the term of the 2025 Term Loan. The remaining $1.3 million was recognized as Loss on debt extinguishment on the Condensed Consolidated Statements of Income for the three and six months ended June 30, 2025. Of the $1.2 million prepayment premium paid on the 2021 Senior Notes, $0.5 million was capitalized and will be amortized over the life of the 2025 Term Loan, while $0.7 million was recorded as Loss on debt extinguishment on the Condensed Consolidated Statements of Income for the three and six months ended June 30, 2025.</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2025 Term Loan also (i) lowered the consolidated secured leverage ratio, (ii) added covenant testing monthly with respect to a minimum number of subscribers under certain material contracts and (iii) provided for certain other changes to the terms of the 2025 Term Loan Agreement, including with respect to certain negative covenants.</w:t>
      </w:r>
    </w:p>
    <w:p>
      <w:pPr>
        <w:spacing w:after="0" w:line="18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2025 Term Loan will mature on April 24, 2029 (subject to an earlier springing maturity date that is nine months prior to the effective date of termination, forfeiture, non-renewal, cancellation, revocation or suspension of certain material contracts if unreplaced in accordance with the terms of the 2025 Term Loan Agreement) and bear an interest rate of the secured overnight financing rate, which shall not be less than 2.50%, plus a margin of 7.00% per annum (with one 0.50% stepdown at specified leverage).</w:t>
      </w:r>
    </w:p>
    <w:p>
      <w:pPr>
        <w:spacing w:after="0" w:line="196"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The Company is required to repay the outstanding principal amounts of the 2025 Term Loan on a quarterly basis in an amount of $1.3 million beginning on July 24, 2025 and ending on April 24, 2026; $2.5 million beginning on July 24, 2026 and ending on April 24, 2027; $3.8 million beginning on July 24, 2027 and ending on April 24, 2028. Starting on July 24, 2028, on the 24th day of each July, October, January and April thereafter, such repayments of outstanding principal are to be $5.0 million. The final principal repayment of the 2025 Term Loan is to be repaid on the Maturity Date in an amount equal to the aggregate principal amount of the 2025 Term Loan outstanding on such date. These quarterly principal payment amounts shall be reduced as a result of the application of prepayments in accordance with the order of priority set forth in Section 2.7(i) of the 2025 Term Loan Agreement. The Company is permitted to at any time voluntarily prepay the 2025 Term Loan, in whole or in part subject to a variable prepayment fee if such prepayment was made prior to the third anniversary of the Closing Date. Refer to Note 17. Subsequent Events of the Notes to Condensed Consolidated Financial Statements in Item 1 of this Form 10-Q for discussion of transactions that have occurred and will impact the debt balance in the next quarter.</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was in compliance with its debt covenants pertaining to the 2025 Term Loan as of June 30, 2025.</w:t>
      </w:r>
    </w:p>
    <w:p>
      <w:pPr>
        <w:spacing w:after="0" w:line="248"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The Company’s obligations under the 2025 Term Loan Agreement are secured by substantially all of the assets (other than existing real property) of the Company. Other than an Irish Subsidiary (as defined in the 2025 Term Loan Agreement), none of the Company’s direct or indirect foreign subsidiaries or immaterial subsidiaries has guaranteed the loans under the 2025 Term Loan Agreement, but under certain circumstances, such subsidiaries may become guarantors. The 2025 Term Loan Agreement contains customary covenants that limit the Company’s ability and its restricted subsidiaries to, among other things,</w:t>
      </w:r>
    </w:p>
    <w:p>
      <w:pPr>
        <w:spacing w:after="0" w:line="2" w:lineRule="exact"/>
        <w:rPr>
          <w:sz w:val="20"/>
          <w:szCs w:val="20"/>
          <w:color w:val="auto"/>
        </w:rPr>
      </w:pPr>
    </w:p>
    <w:p>
      <w:pPr>
        <w:ind w:left="220" w:hanging="216"/>
        <w:spacing w:after="0"/>
        <w:tabs>
          <w:tab w:leader="none" w:pos="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(ii) pay dividends or make certain other restricted payments, (iii) sell assets, (iv) make certain investments, (v) grant liens and</w:t>
      </w:r>
    </w:p>
    <w:p>
      <w:pPr>
        <w:spacing w:after="0" w:line="13" w:lineRule="exact"/>
        <w:rPr>
          <w:rFonts w:ascii="Times New Roman" w:cs="Times New Roman" w:eastAsia="Times New Roman" w:hAnsi="Times New Roman"/>
          <w:sz w:val="17"/>
          <w:szCs w:val="17"/>
          <w:color w:val="auto"/>
        </w:rPr>
      </w:pPr>
    </w:p>
    <w:p>
      <w:pPr>
        <w:jc w:val="both"/>
        <w:ind w:firstLine="4"/>
        <w:spacing w:after="0" w:line="261" w:lineRule="auto"/>
        <w:tabs>
          <w:tab w:leader="none" w:pos="29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 These covenants are subject to exceptions and qualifications set forth in the 2025 Term Loan Agreement. The financial covenants set forth in the 2025 Term Loan Agreement include (i) a maximum consolidated secured leverage ratio of greater than 6.30 to 1.00, which will be tested at the end of each of the Company’s fiscal quarters (ii) a covenant tested monthly with respect to a minimum number of subscribers under certain material contracts and (iii) an average liquidity requirement for any calendar month. All borrowings under the 2025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Agreement are subject to the satisfaction of customary conditions, including the absence of a default and the accuracy of representations and warranties subject to certain exceptions. The 2025 Term Loan Agreement also contains mandatory prepayment provisions that are customary for secured financings of this type from excess cash flow and with the proceeds of certain asset sales, tax refunds, equity sales or issuances, and debt issuances, each as more fully described in the 2025 Term Loan Agreement. Upon the occurrence and continuance of an event of default, which, for example, would be triggered by a breach or violation of, default under, cancellation, termination, forfeiture, rescission, revocation, suspension, impairment or non-renewal of certain material contracts of the Company, BGC Lender Rep may take either or both of the following actions: (i) terminate the commitments and (ii) declare all outstanding obligations immediately due and payable and take such other actions as set forth in the 2025 Term Loan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Term Loan</w:t>
      </w:r>
    </w:p>
    <w:p>
      <w:pPr>
        <w:spacing w:after="0" w:line="252"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On June 28, 2024 (the “Effective Date”), the Company entered into a Credit Agreement (the “Original Credit Agreement”, as amended by the 2025 Term Loan Agreement (as defined above), the “2024 Term Loan Agreement”) with BGC Lender Rep LLC, as administrative agent, and the lenders party thereto. The 2024 Term Loan Agreement established a senior secured term loan facility of up to $75.0 million (the “2024 Term Loan”), all of which was funded on the Effective Date. The proceeds of the 2024 Term Loan were used to (i) fund the repurchase of $19.7 million of the Company’s 8.375% Senior Notes due 2026 (the “2021 Senior Notes”), for an aggregate purchase price of $16.5 million, (ii) to fund the repurchase of 60,826 shares of its Series B Perpetual Non-Convertible Preferred Stock (the “Series B Preferred”), for an aggregate purchase price of $52.6 million (the “Series B Repurchase”), and (iii) to pay transaction fees and expenses associated with the closing of the transactions contemplated by the 2024 Term Loan Agreement.</w:t>
      </w:r>
    </w:p>
    <w:p>
      <w:pPr>
        <w:spacing w:after="0" w:line="201"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2024 Term Loan was to mature on June 28, 2028 (the “Maturity Date”), subject to certain adjustments to such maturity date pursuant to the terms of the 2024 Term Loan Agreement. The 2024 Term Loan bore interest at a rate per annum equal to the Adjusted Term Secured Overnight Financing Rate (as defined in the 2024 Term Loan Agreement) for the applicable interest period, plus 5.50%, subject to a floor of 2.50%.</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was required to repay the outstanding principal amounts of the 2024 Term Loan in an amount of $468,750 on the last day of each fiscal quarter beginning on September 30, 2024 and ending on June 30, 2026. Starting on September 30, 2026, and on the last day of each fiscal quarter thereafter, such repayments of outstanding principal were to be $1,875,000. The final principal repayment of the 2024 Term Loan was to be repaid on the Maturity Date in an amount equal to the aggregate principal amount of the 2024 Term Loan outstanding on such date. The Company was permitted to at any time voluntarily prepay the 2024 Term Loan, in whole or in part subject to a variable prepayment fee if such prepayment was made prior to the third anniversary of the Effective Date. The Company was required to pay an exit fee of $1.5 million if, among other things, the Maturity Date was extended beyond March 31, 2026.</w:t>
      </w:r>
    </w:p>
    <w:p>
      <w:pPr>
        <w:spacing w:after="0" w:line="201"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made $0.5 million of principal payments on the 2024 Term Loan for the six months ending June 30, 2025 in line with the terms of the 2024 Term Loan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Redemption of 2024 Term Loan</w:t>
      </w:r>
    </w:p>
    <w:p>
      <w:pPr>
        <w:spacing w:after="0" w:line="248"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On April 24, 2025 the 2024 Term Loan was repaid in full pursuant to a cashless settlement of the $73.6 million then outstanding aggregate principal amount on the Closing Date (as defined above) in connection with the 2025 Term Loan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Senior Notes</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1"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01"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were listed and traded on The Nasdaq Global Market under the symbol “SNCRL.”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Repurchase of 2021 Senior Notes and Series B Preferred</w:t>
      </w:r>
    </w:p>
    <w:p>
      <w:pPr>
        <w:spacing w:after="0" w:line="248"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28, 2024, the Company used $66.5 million of the proceeds from the 2024 Term Loan and $2.6 million non-interest-bearing deferred consideration, which was paid to BRPI in December of 2024, for a total consideration of $69.1 million (“the total consideration”) to repurchase 100% of its outstanding Series B Perpetual Non-Convertible Preferred Stock (the “Series B Preferred”) and 787,590 (14%) of its outstanding Senior Notes from BRPI, a related party.</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six months ended June 30, 2024.</w:t>
      </w:r>
    </w:p>
    <w:p>
      <w:pPr>
        <w:spacing w:after="0" w:line="201"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The Company allocated $57.6 million of the total consideration to the Series B Preferred based on the fair value and allocated the remaining consideration of $11.5 million to the Senior Notes repurchase. The carrying value of Senior notes repurchased was $19.1 million including $0.6 million of unamortized debt issuance costs. The second quarter’s accrued interest of $0.3 million was forgiven at the time of the repurchase. The Senior Note Repurchase gain of $7.9 million was calculated as the remaining consideration paid of $11.5 million less the carrying value, less the second quarter’s accrued interest forgiven. The Company accounted for the debt repurchase as a redemption with a related party. ASC 470-50-40-2 indicates that such an extinguishment transaction may be in essence a capital transaction. Therefore, the transaction was accounted for as a capital transaction and reflected as an adjustment to APIC, which resulted in a gain of $7.9 million for the six months ended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Redemption of 2021 Senior Notes</w:t>
      </w:r>
    </w:p>
    <w:p>
      <w:pPr>
        <w:spacing w:after="0" w:line="248"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On May 12, 2025 the Company used $122.6 million of the proceeds from the 2025 Term Loan to repurchase 100% of its outstanding 2021 Senior Notes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Carrying Value of Debt</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amounts of the Company’s borrowings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09"/>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Senior Notes: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Senior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121,387</w:t>
            </w:r>
          </w:p>
        </w:tc>
        <w:tc>
          <w:tcPr>
            <w:tcW w:w="0" w:type="dxa"/>
            <w:vAlign w:val="bottom"/>
          </w:tcPr>
          <w:p>
            <w:pPr>
              <w:spacing w:after="0"/>
              <w:rPr>
                <w:sz w:val="1"/>
                <w:szCs w:val="1"/>
                <w:color w:val="auto"/>
              </w:rPr>
            </w:pPr>
          </w:p>
        </w:tc>
      </w:tr>
      <w:tr>
        <w:trPr>
          <w:trHeight w:val="222"/>
        </w:trPr>
        <w:tc>
          <w:tcPr>
            <w:tcW w:w="828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Unamortized discount and debt issuance cost</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0" w:type="dxa"/>
            <w:vAlign w:val="bottom"/>
          </w:tcPr>
          <w:p>
            <w:pPr>
              <w:spacing w:after="0"/>
              <w:rPr>
                <w:sz w:val="1"/>
                <w:szCs w:val="1"/>
                <w:color w:val="auto"/>
              </w:rPr>
            </w:pPr>
          </w:p>
        </w:tc>
      </w:tr>
      <w:tr>
        <w:trPr>
          <w:trHeight w:val="215"/>
        </w:trPr>
        <w:tc>
          <w:tcPr>
            <w:tcW w:w="8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Carrying value of Senior Notes</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118,762</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Term Loan:</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Loan</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74,063</w:t>
            </w:r>
          </w:p>
        </w:tc>
        <w:tc>
          <w:tcPr>
            <w:tcW w:w="0" w:type="dxa"/>
            <w:vAlign w:val="bottom"/>
          </w:tcPr>
          <w:p>
            <w:pPr>
              <w:spacing w:after="0"/>
              <w:rPr>
                <w:sz w:val="1"/>
                <w:szCs w:val="1"/>
                <w:color w:val="auto"/>
              </w:rPr>
            </w:pPr>
          </w:p>
        </w:tc>
      </w:tr>
      <w:tr>
        <w:trPr>
          <w:trHeight w:val="222"/>
        </w:trPr>
        <w:tc>
          <w:tcPr>
            <w:tcW w:w="828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Unamortized debt issuance cost</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(6,110)</w:t>
            </w:r>
          </w:p>
        </w:tc>
        <w:tc>
          <w:tcPr>
            <w:tcW w:w="0" w:type="dxa"/>
            <w:vAlign w:val="bottom"/>
          </w:tcPr>
          <w:p>
            <w:pPr>
              <w:spacing w:after="0"/>
              <w:rPr>
                <w:sz w:val="1"/>
                <w:szCs w:val="1"/>
                <w:color w:val="auto"/>
              </w:rPr>
            </w:pPr>
          </w:p>
        </w:tc>
      </w:tr>
      <w:tr>
        <w:trPr>
          <w:trHeight w:val="215"/>
        </w:trPr>
        <w:tc>
          <w:tcPr>
            <w:tcW w:w="8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Carrying value of 2024 Term Loan</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67,953</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Term Loan:</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Loan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28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Unamortized debt issuance cost</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8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Carrying value of 2025 Term Loan</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186,215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carrying value of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186,215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186,715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80" w:type="dxa"/>
            <w:vAlign w:val="bottom"/>
            <w:vMerge w:val="continue"/>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5,000</w:t>
            </w:r>
          </w:p>
        </w:tc>
        <w:tc>
          <w:tcPr>
            <w:tcW w:w="80" w:type="dxa"/>
            <w:vAlign w:val="bottom"/>
          </w:tcPr>
          <w:p>
            <w:pPr>
              <w:spacing w:after="0"/>
              <w:rPr>
                <w:sz w:val="16"/>
                <w:szCs w:val="16"/>
                <w:color w:val="auto"/>
              </w:rPr>
            </w:pPr>
          </w:p>
        </w:tc>
        <w:tc>
          <w:tcPr>
            <w:tcW w:w="460" w:type="dxa"/>
            <w:vAlign w:val="bottom"/>
          </w:tcPr>
          <w:p>
            <w:pPr>
              <w:jc w:val="right"/>
              <w:ind w:right="2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22"/>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184,840</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0" w:lineRule="auto"/>
        <w:tabs>
          <w:tab w:leader="none" w:pos="16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Debt issuance costs are deferred and amortized into interest expense using the effective interest method.</w:t>
      </w:r>
    </w:p>
    <w:p>
      <w:pPr>
        <w:spacing w:after="0" w:line="210"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Refer to Note 17. Subsequent Events of the Notes to Condensed Consolidated Financial Statements in Item 1 of this Form 10-Q for discussion of transactions that have occurred and will impact the debt balance in the next quarter.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w:t>
      </w:r>
    </w:p>
    <w:p>
      <w:pPr>
        <w:spacing w:after="0" w:line="252"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 fair value of the 2025 Term Loan was obtained using the Discounted Cash Flow (“DCF”) valuation model with observable inputs as of June 30, 2025 and is categorized accordingly as Level 2 in the fair value hierarchy.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left="733"/>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Carrying Amount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186,215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196,860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196,860</w:t>
            </w:r>
          </w:p>
        </w:tc>
        <w:tc>
          <w:tcPr>
            <w:tcW w:w="0" w:type="dxa"/>
            <w:vAlign w:val="bottom"/>
          </w:tcPr>
          <w:p>
            <w:pPr>
              <w:spacing w:after="0"/>
              <w:rPr>
                <w:sz w:val="1"/>
                <w:szCs w:val="1"/>
                <w:color w:val="auto"/>
              </w:rPr>
            </w:pPr>
          </w:p>
        </w:tc>
      </w:tr>
      <w:tr>
        <w:trPr>
          <w:trHeight w:val="567"/>
        </w:trPr>
        <w:tc>
          <w:tcPr>
            <w:tcW w:w="37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33"/>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Carrying Amount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186,715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193,275</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3"/>
        </w:trPr>
        <w:tc>
          <w:tcPr>
            <w:tcW w:w="5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Company’s interest expense:</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5280" w:type="dxa"/>
            <w:vAlign w:val="bottom"/>
          </w:tcPr>
          <w:p>
            <w:pPr>
              <w:spacing w:after="0"/>
              <w:rPr>
                <w:sz w:val="21"/>
                <w:szCs w:val="21"/>
                <w:color w:val="auto"/>
              </w:rPr>
            </w:pPr>
          </w:p>
        </w:tc>
        <w:tc>
          <w:tcPr>
            <w:tcW w:w="30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5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Senior Notes: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r>
      <w:tr>
        <w:trPr>
          <w:trHeight w:val="222"/>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5,908</w:t>
            </w:r>
          </w:p>
        </w:tc>
      </w:tr>
      <w:tr>
        <w:trPr>
          <w:trHeight w:val="22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 Term Loan: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exit fee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2"/>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2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 Term Loan: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on Borrowings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Other1</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1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7,003</w:t>
            </w: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0" w:lineRule="auto"/>
        <w:tabs>
          <w:tab w:leader="none" w:pos="16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interest on uncertain tax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Accumulated Other Comprehensive (Loss) Income</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changes in accumulated other comprehensive (loss) income during the six months ended June 30, 2025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w w:val="98"/>
              </w:rPr>
              <w:t>Balance at June 30,</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7"/>
                <w:szCs w:val="17"/>
                <w:b w:val="1"/>
                <w:bCs w:val="1"/>
                <w:color w:val="auto"/>
                <w:w w:val="97"/>
              </w:rPr>
              <w:t>Comprehensive</w:t>
            </w:r>
          </w:p>
        </w:tc>
        <w:tc>
          <w:tcPr>
            <w:tcW w:w="22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Tax Effect</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December 31, 2024</w:t>
            </w:r>
          </w:p>
        </w:tc>
        <w:tc>
          <w:tcPr>
            <w:tcW w:w="1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w:t>
            </w: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(8,781)</w:t>
            </w: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intercompany foreign currency transactions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0" w:type="dxa"/>
            <w:vAlign w:val="bottom"/>
          </w:tcPr>
          <w:p>
            <w:pPr>
              <w:spacing w:after="0"/>
              <w:rPr>
                <w:sz w:val="1"/>
                <w:szCs w:val="1"/>
                <w:color w:val="auto"/>
              </w:rPr>
            </w:pPr>
          </w:p>
        </w:tc>
      </w:tr>
      <w:tr>
        <w:trPr>
          <w:trHeight w:val="240"/>
        </w:trPr>
        <w:tc>
          <w:tcPr>
            <w:tcW w:w="5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Capital Structure</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June 30, 2025, the Company’s authorized capital stock was 26,666,667 shares of stock with a par value of $0.0001, of which 16,666,667 shares were designated as common stock and 10,000,000 shares were designated as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Treasury Stock</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Treasury Stock balance is nil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 Non-Convertible Preferred</w:t>
      </w:r>
    </w:p>
    <w:p>
      <w:pPr>
        <w:spacing w:after="0" w:line="252"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for net proceeds of $72.8 million (the “Series B Transaction”). The sale of the Series B Preferred was pursuant to the Series B Preferred Stock Purchase Agreement, dated as of June 24, 2021 (the “Series B Purchase Agreement”), between the Company and BRPI. In connection with the closing of the Series B Transaction, the Company (i) filed a Certificate of Designation with the State of Delaware setting forth the rights, preferences, privileges, qualifications, restrictions and limitations on the Series B Preferred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Repurchase</w:t>
      </w:r>
      <w:r>
        <w:rPr>
          <w:rFonts w:ascii="Times New Roman" w:cs="Times New Roman" w:eastAsia="Times New Roman" w:hAnsi="Times New Roman"/>
          <w:sz w:val="17"/>
          <w:szCs w:val="17"/>
          <w:color w:val="auto"/>
        </w:rPr>
        <w:t xml:space="preserve"> of Series B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-111760</wp:posOffset>
            </wp:positionV>
            <wp:extent cx="960120"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120" cy="124460"/>
                    </a:xfrm>
                    <a:prstGeom prst="rect">
                      <a:avLst/>
                    </a:prstGeom>
                    <a:noFill/>
                  </pic:spPr>
                </pic:pic>
              </a:graphicData>
            </a:graphic>
          </wp:anchor>
        </w:drawing>
      </w:r>
    </w:p>
    <w:p>
      <w:pPr>
        <w:spacing w:after="0" w:line="228"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June 28, 2024 the Company repurchased all outstanding shares of the Series B Preferred stock, as discussed in Note 9. Debt of the Notes to Condensed Consolidated Financial Statements in Item 1 of this Form 10-Q. On July 1, 2024 the Company filed a Certificate of Elimination to the Series B Certificate with the Secretary of State of the State of Delaware. As a result of the Series B Repurchase, zero shares of the Series B Preferred remain outstanding and none are authorized for issuance as of June 30, 2025, and the authorized shares of Series B Preferred Stock were returned to the status of authorized but unissued shares of preferred stock of the Company, without designation as to series pursuant to the Certificate of Designations.</w:t>
      </w:r>
    </w:p>
    <w:p>
      <w:pPr>
        <w:spacing w:after="0" w:line="19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six months ended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Zentry Partnership Termination</w:t>
      </w:r>
    </w:p>
    <w:p>
      <w:pPr>
        <w:spacing w:after="0" w:line="248"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On December 31, 2015, the Company formed a joint venture with a third party, referred to as Zentry with the goal of accelerating the Company’s entrance into the enterprise market by adding identity management capabilities to the Synchronoss Secure Mobility Suite. The Company obtained a 67% interest in Zentry in exchange for $48.0 million. The Company and third party agreed to certain put and call options with regard to third party’s interest in Zentry. The Company determined that the put option was embedded within the noncontrolling interest shares that were subject to the put option. The redemption feature required the classification of third party’s minority interest in the Consolidated Balance Sheets outside of permanent equity under the caption Redeemable non-controlling interest. The venture was deemed not to be a VIE, as a result, the Company consolidated the venture in the consolidated financial statements according to the voting model.</w:t>
      </w:r>
    </w:p>
    <w:p>
      <w:pPr>
        <w:spacing w:after="0" w:line="201"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During the three months ended June 30, 2025, pursuant to the terms of a transfer and termination agreement, the Company and the other parties thereto agreed to terminate the Joint Venture Agreement dated as of December 31, 2024, and extinguished all rights and obligations in connection therewith. As a result, given the put option was no longer exercisable, the Company reduced the $12.5 million balance of Redeemable non-controlling interest to zero with a corresponding increase in Additional Paid-In Capital (“APIC”) on the Condensed Consolidated Balance Sheets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Plans</w:t>
      </w:r>
    </w:p>
    <w:p>
      <w:pPr>
        <w:spacing w:after="0" w:line="250"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As of June 30, 2025, the Company maintains two stock-based compensation plans, the 2015 Equity Incentive Plan (the “2015 Plan”) and the 2017 New Hire Equity Incentive Plan (“2017 Plan”), under which the Company may grant to its employees, outside directors, and consultants awards in the form of stock options, shares of restricted stock, stock units, or stock appreciation rights and performance shares. As of June 30, 2025, the maximum number of shares of common stock authorized for issuance is 5,741,575 shares under the 2015 Plan and 229,635 shares under the 2017 Plan. As of June 30, 2025, there were 62,140 shares available for the grant or award under the Company’s 2015 Plan and 108,730 shares available for the grant or award under the Company’s 2017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52"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Stock options granted under the Company’s 2015 and 2017 Plans generally vest one-third of the applicable shares on the first, second, and third anniversary of the grant date, subject to continuous service. The Company accounts for stock options under equity accounting. Stock options are measured at fair value at the grant date using the Black-Scholes option pricing model and expense is recognized on a straight-line basis over the requisite service period. The expense for these awards is recorded in APIC on the Condensed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p>
      <w:pPr>
        <w:spacing w:after="0" w:line="252"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Restricted stock awards granted under the Company’s 2015 and 2017 Plans generally vest one-third of the applicable shares on the first, second, and third anniversary of the grant date, subject to continuous service. The Company accounts for these awards under equity accounting. Restricted stock awards are measured at the closing stock price at the grant date and expense is recognized on a straight-line basis over the requisite service period. The expense for these awards is recorded in APIC on the Condensed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Cash Units</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Performance-based cash units (“PBCU”) are performance-based awards granted under the Company’s Long Term Incentive (“LTI”) Plans. PBCU are three-year grants tied to specific company performance metrics. Each year, the Compensation Committee establishes performance targets for the applicable performance period and PBCU are earned annually based on the achievement of these targets. All earned PBCU generally vest at the end of a three-year period assuming continuous employment as of the vesting date. The PBCU can be settled in cash or in equity as determined by the Compensation Committee, subject to the availability of shares for issuance as of the vesting date.</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PBCU that are accounted for as equity awards are measured at the closing stock price at the grant date and expense is recognized on a straight-line basis over the requisite service period. The expense for the period will increase or decrease based on the percentage achievement of the performance metrics at each reporting date. The expense for these awards is recorded in APIC on the Condensed Consolidated Balance Sheets.</w:t>
      </w:r>
    </w:p>
    <w:p>
      <w:pPr>
        <w:spacing w:after="0" w:line="18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PBCU that are accounted for as liability awards are measured at the fair value at the reporting period end date and expense is recognized on a straight-line basis over the requisite service period. The expense for the period will increase or decrease based on updated fair values of these awards as well as the percentage achievement of the performance metrics at each reporting date. The short-term liability related to these awards is included in Accrued expenses and the long-term portion is included in Other liabilities, non-current on the Condensed Consolidated Balance Sheets.</w:t>
      </w:r>
    </w:p>
    <w:p>
      <w:pPr>
        <w:spacing w:after="0" w:line="196"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 currently has three active LTI plans: 2023-2025 LTI Plan, 2024-2026 LTI Plan and 2025-2027 LTI Plan. As of June 30, 2025, the Company’s PBCU granted to employees under these three plans have been accounted for as liability awards, due to the Company’s intent and the ability to settle such awards in cash upon vesting and expected lack of shares available for issuance. As of June 30, 2025, the short-term liability for such awards was $0.4 million and the long-term liability was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252" w:lineRule="exact"/>
        <w:rPr>
          <w:sz w:val="20"/>
          <w:szCs w:val="20"/>
          <w:color w:val="auto"/>
        </w:rPr>
      </w:pPr>
    </w:p>
    <w:p>
      <w:pPr>
        <w:ind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operating expense categories,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tcPr>
          <w:p>
            <w:pPr>
              <w:spacing w:after="0"/>
              <w:rPr>
                <w:sz w:val="19"/>
                <w:szCs w:val="19"/>
                <w:color w:val="auto"/>
              </w:rPr>
            </w:pPr>
          </w:p>
        </w:tc>
        <w:tc>
          <w:tcPr>
            <w:tcW w:w="30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5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Cost of revenues</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r>
      <w:tr>
        <w:trPr>
          <w:trHeight w:val="222"/>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r>
      <w:tr>
        <w:trPr>
          <w:trHeight w:val="215"/>
        </w:trPr>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award type,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tcPr>
          <w:p>
            <w:pPr>
              <w:spacing w:after="0"/>
              <w:rPr>
                <w:sz w:val="19"/>
                <w:szCs w:val="19"/>
                <w:color w:val="auto"/>
              </w:rPr>
            </w:pPr>
          </w:p>
        </w:tc>
        <w:tc>
          <w:tcPr>
            <w:tcW w:w="30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5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classified as equity:</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Stock options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22"/>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Restricted stock awards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r>
      <w:tr>
        <w:trPr>
          <w:trHeight w:val="222"/>
        </w:trPr>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Performance-based cash units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15"/>
        </w:trPr>
        <w:tc>
          <w:tcPr>
            <w:tcW w:w="52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equity classified awards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r>
      <w:tr>
        <w:trPr>
          <w:trHeight w:val="22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classified as liability:</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Performance-based cash units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5"/>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before taxes</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r>
    </w:tbl>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unamortized stock-based compensation cost related to unvested restricted stock awards and stock options as of June 30, 2025 was $6.8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expense is expected to be recognized over a weighted-average period of approximately 2.2 years.</w:t>
      </w:r>
    </w:p>
    <w:p>
      <w:pPr>
        <w:spacing w:after="0" w:line="23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total unamortized stock-based compensation cost related to unvested performance-based cash units as of June 30, 2025 was $2.4 million. The expense is expected to be recognized over a weighted-average period of approximately 2.1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Restructuring</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continues to identify workforce optimization opportunities to better align the Company’s resources with its key strategic priorities.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restructuring accrual at June 30, 2025 and changes during the six months ended June 30, 2025, are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Employee</w:t>
            </w:r>
          </w:p>
        </w:tc>
      </w:tr>
      <w:tr>
        <w:trPr>
          <w:trHeight w:val="229"/>
        </w:trPr>
        <w:tc>
          <w:tcPr>
            <w:tcW w:w="98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Termination Costs</w:t>
            </w:r>
          </w:p>
        </w:tc>
      </w:tr>
      <w:tr>
        <w:trPr>
          <w:trHeight w:val="21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r>
      <w:tr>
        <w:trPr>
          <w:trHeight w:val="222"/>
        </w:trPr>
        <w:tc>
          <w:tcPr>
            <w:tcW w:w="9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22"/>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r>
      <w:tr>
        <w:trPr>
          <w:trHeight w:val="215"/>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2025</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250"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The Company recognized income tax expense of approximately $1.3 million and $2.7 million for the three months ended June 30, 2025 and 2024, respectively. The effective tax rate was approximately (6.9)% for the three months ended June 30, 2025, which was lower than the U.S. federal statutory rate due to the current period loss from operations before taxes, the impact of permanent adjustments, including Global Intangible Low-Taxed Income, and the impact of valuation allowances decreased the effective tax rate, while the impact of foreign tax rate differential increased the effective tax rate. The Company’s effective tax rate was approximately 122.3% for the three months ended June 30, 2024, which was higher than the U.S. federal statutory rate primarily due to changes in the mix of pre-tax income and losses in the U.S. and foreign jurisdictions, specifically the impact of permanent adjustments including Global Intangible Low-Taxes Income and adjustments to valuation allowances associated with prior year activity, partially offset by foreign tax rate differential.</w:t>
      </w:r>
    </w:p>
    <w:p>
      <w:pPr>
        <w:spacing w:after="0" w:line="201"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The Company recognized income tax expense of approximately $2.5 million and $3.3 million during the six months ended June 30, 2025 and 2024, respectively. The effective tax rate was approximately (12.2)% for the six months ended June 30, 2025, which was lower than the U.S. federal statutory rate due to the current period loss from operations before taxes, the impact of permanent adjustments, including Global Intangible Low-Taxed Income, and the impact of valuation allowances decreased the effective tax rate, while the impact of foreign tax rate differential increased the effective tax rate. The Company’s effective tax rate was approximately 45.4% for the six months ended June 30, 2024, which was higher than the U.S. federal statutory rate primarily due to the impact of permanent adjustments, most notably Global Intangible Low-Taxed Income, partially offset by foreign tax rate differential and adjustments to valuation allowances associated with current year activity.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this assessment, the Company continues to record a valuation allowance against the net deferred tax assets of certain jurisdictions as the realization of these assets is not more likely than not, given uncertainty of future earnings in these jurisdictions.</w:t>
      </w:r>
    </w:p>
    <w:p>
      <w:pPr>
        <w:spacing w:after="0" w:line="20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Unrecognized tax benefits associated with uncertain tax positions were $4.4 million at June 30, 2025.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within the next 12 months as a result of a lapse of the statute of limitations.</w:t>
      </w:r>
    </w:p>
    <w:p>
      <w:pPr>
        <w:spacing w:after="0" w:line="196"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During 2021 the Internal Revenue Service commenced an audit of certain of the Company’s prior year U.S. federal income tax filings, including the 2013 through 2020 tax years. In July 2025, the Internal Revenue Service confirmed the total amount of the refund will be $33.9 million, which includes $5.2 million of interest income. As of the filing date of this Form 10-Q, the Company has received $33.9 million of refunds. The Company has not accrued for any potential interest income related to the expected tax refund as of June 30, 2025. Refer to Note 17. Subsequent Events of the Notes to Condensed Consolidated Financial Statements in Item 1 of this Form 10-Q for further discussion of the federal tax refund.</w:t>
      </w:r>
    </w:p>
    <w:p>
      <w:pPr>
        <w:spacing w:after="0" w:line="19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Pillar Two Global Anti-Base Erosion rules issued by the Organization for Economic Co-operation and Development ("OECD"), a global policy forum, introduced a global minimum tax of 15% which would apply to multinational groups with consolidated financial statement revenue in excess of EUR 750 million. Nearly all OECD member jurisdictions have agreed in principle to adopt these provisions and numerous jurisdictions, including jurisdictions where the Company operates, have enacted these rules effective January 1, 2024. The Company is not currently subject to these rules but is continuing to evaluate the Pillar Two Framework and its potential impact on future periods.</w:t>
      </w:r>
    </w:p>
    <w:p>
      <w:pPr>
        <w:spacing w:after="0" w:line="19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On July 4, 2025, the U.S. government enacted The One Big Beautiful Bill Act of 2025 which includes, among other provisions, changes to the U.S. corporate income tax system including the allowance of immediate expensing of domestic research and development expenses and permanent extensions of certain provisions within the Tax Cuts and Jobs Act. Certain provisions are effective for the Company beginning in the third quarter of 2025, while others will be effective in 2026. The Company is evaluating the future impact of these tax law changes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Earnings per Common Share (“EPS”)</w:t>
      </w:r>
    </w:p>
    <w:p>
      <w:pPr>
        <w:spacing w:after="0" w:line="250"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(such as performance-based cash unit awards)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1"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5"/>
        </w:trPr>
        <w:tc>
          <w:tcPr>
            <w:tcW w:w="5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 basic:</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2"/>
        </w:trPr>
        <w:tc>
          <w:tcPr>
            <w:tcW w:w="5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(loss) income</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22"/>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 attributable to redeemable non-controlling interests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dividend</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r>
      <w:tr>
        <w:trPr>
          <w:trHeight w:val="215"/>
        </w:trPr>
        <w:tc>
          <w:tcPr>
            <w:tcW w:w="52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(loss) income attributable to Synchronoss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r>
      <w:tr>
        <w:trPr>
          <w:trHeight w:val="22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Numerator - diluted: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4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Synchronoss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9,942</w:t>
            </w: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from assumed conversion of PBCU</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22"/>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Options and unvested restricted shares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15"/>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5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share: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r>
      <w:tr>
        <w:trPr>
          <w:trHeight w:val="215"/>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0.24</w:t>
            </w:r>
          </w:p>
        </w:tc>
      </w:tr>
      <w:tr>
        <w:trPr>
          <w:trHeight w:val="215"/>
        </w:trPr>
        <w:tc>
          <w:tcPr>
            <w:tcW w:w="522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Anti-dilutive stock options and restricted stock awards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 stock options and restricted stock awards excluded from the Diluted EPS calculations because the effect would be anti-dilutive.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Commitments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Non-cancelable Agreements</w:t>
      </w:r>
    </w:p>
    <w:p>
      <w:pPr>
        <w:spacing w:after="0" w:line="252"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 Company has various non-cancelable arrangements such as services for hosting, support, and software that expire at various dates, with the latest expiration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Aggregate annual future minimum payments under non-cancelable agreements as of June 30, 2025 for each year subsequent to December 31, 2024 and thereafter,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Non-cancelable</w:t>
            </w:r>
          </w:p>
        </w:tc>
      </w:tr>
      <w:tr>
        <w:trPr>
          <w:trHeight w:val="229"/>
        </w:trPr>
        <w:tc>
          <w:tcPr>
            <w:tcW w:w="9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Agreements</w:t>
            </w:r>
          </w:p>
        </w:tc>
      </w:tr>
      <w:tr>
        <w:trPr>
          <w:trHeight w:val="215"/>
        </w:trPr>
        <w:tc>
          <w:tcPr>
            <w:tcW w:w="9800" w:type="dxa"/>
            <w:vAlign w:val="bottom"/>
            <w:shd w:val="clear" w:color="auto" w:fill="CCEEFF"/>
          </w:tcPr>
          <w:p>
            <w:pPr>
              <w:jc w:val="right"/>
              <w:ind w:right="923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9,334</w:t>
            </w:r>
          </w:p>
        </w:tc>
      </w:tr>
      <w:tr>
        <w:trPr>
          <w:trHeight w:val="222"/>
        </w:trPr>
        <w:tc>
          <w:tcPr>
            <w:tcW w:w="9800" w:type="dxa"/>
            <w:vAlign w:val="bottom"/>
          </w:tcPr>
          <w:p>
            <w:pPr>
              <w:jc w:val="right"/>
              <w:ind w:right="9233"/>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5,606</w:t>
            </w:r>
          </w:p>
        </w:tc>
      </w:tr>
      <w:tr>
        <w:trPr>
          <w:trHeight w:val="222"/>
        </w:trPr>
        <w:tc>
          <w:tcPr>
            <w:tcW w:w="9800" w:type="dxa"/>
            <w:vAlign w:val="bottom"/>
            <w:shd w:val="clear" w:color="auto" w:fill="CCEEFF"/>
          </w:tcPr>
          <w:p>
            <w:pPr>
              <w:jc w:val="right"/>
              <w:ind w:right="9233"/>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w:t>
            </w:r>
          </w:p>
        </w:tc>
      </w:tr>
      <w:tr>
        <w:trPr>
          <w:trHeight w:val="222"/>
        </w:trPr>
        <w:tc>
          <w:tcPr>
            <w:tcW w:w="9800" w:type="dxa"/>
            <w:vAlign w:val="bottom"/>
            <w:tcBorders>
              <w:bottom w:val="single" w:sz="8" w:color="CCEEFF"/>
            </w:tcBorders>
          </w:tcPr>
          <w:p>
            <w:pPr>
              <w:jc w:val="right"/>
              <w:ind w:right="9233"/>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w:t>
            </w:r>
          </w:p>
        </w:tc>
      </w:tr>
      <w:tr>
        <w:trPr>
          <w:trHeight w:val="240"/>
        </w:trPr>
        <w:tc>
          <w:tcPr>
            <w:tcW w:w="9800" w:type="dxa"/>
            <w:vAlign w:val="bottom"/>
            <w:tcBorders>
              <w:bottom w:val="single" w:sz="8" w:color="CCEEFF"/>
            </w:tcBorders>
            <w:shd w:val="clear" w:color="auto" w:fill="CCEEFF"/>
          </w:tcPr>
          <w:p>
            <w:pPr>
              <w:jc w:val="right"/>
              <w:ind w:right="9133"/>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Legal Matters</w:t>
      </w:r>
    </w:p>
    <w:p>
      <w:pPr>
        <w:spacing w:after="0" w:line="250"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lawsuits or other contingencies could have a material impact on the liquidity, results of operations, or financial condition of the Company.</w:t>
      </w:r>
    </w:p>
    <w:p>
      <w:pPr>
        <w:spacing w:after="0" w:line="20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is not currently subject to any legal proceedings that would be expected to have a material adverse effect on its operations; however, the Company may from time to time become a party to various legal proceedings arising in the ordinary course of its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250"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In July 2025, the Company received the expected tax refund from the 2020 CARES Act. The Internal Revenue Service has confirmed the total amount of the refund will be $33.9 million, which includes $5.2 million of interest expected to be recorded in the third quarter upon receipt. As of the filing date of this Form 10-Q, the Company has received the entire amount of $33.9 million, of which 75% or $25.4 million, in accordance with the terms of the 2025 Term Loan Agreement, has been used to pay down the 2025 Term Loan at par. Following this payment, the outstanding principal balance of the 2025 Term Loan, excluding accrued interest, was approximately $174.6 million.</w:t>
      </w:r>
    </w:p>
    <w:p>
      <w:pPr>
        <w:spacing w:after="0" w:line="19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As disclosed in Note 9. Debt of the Notes to Condensed Consolidated Financial Statements in Item 1 of this Form 10-Q, the 2025 Term Loan includes required quarterly principal payments for a total of $5.0 million over the next 12 months as presented in Debt, current line item on the Condensed Consolidated Balance Sheets as of June 30, 2025. The $25.4 million prepayment from the tax proceeds satisfies the required quarterly principal payments, including the $5.0 million current portion, through approximately January 2028. Accordingly, as of the date of this filing, the Company has no remaining contractual payments due on the principal balance of its long term debt for the next 12 months. As a result of this prepayment, a proportional amount of the unamortized deferred financing costs related to the 2025 Term Loan will be recognized as expense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50"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“should,” “could,” “would,” “project,” “target,” “plan,” “expect,”, “seek,” “hope,” “likely,” or the negative of these terms or other similar expressions.</w:t>
      </w:r>
    </w:p>
    <w:p>
      <w:pPr>
        <w:spacing w:after="0" w:line="201"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that may cause actual results to differ materially from those anticipated or implied by the forward-looking statements. These factors include, but are not limited to:</w:t>
      </w:r>
    </w:p>
    <w:p>
      <w:pPr>
        <w:spacing w:after="0" w:line="2" w:lineRule="exact"/>
        <w:rPr>
          <w:sz w:val="20"/>
          <w:szCs w:val="20"/>
          <w:color w:val="auto"/>
        </w:rPr>
      </w:pPr>
    </w:p>
    <w:p>
      <w:pPr>
        <w:ind w:firstLine="317"/>
        <w:spacing w:after="0" w:line="256" w:lineRule="auto"/>
        <w:tabs>
          <w:tab w:leader="none" w:pos="6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national and global economic environments, including foreign currency exchange and tariffs could affect our sales, revenue and profitability;</w:t>
      </w:r>
    </w:p>
    <w:p>
      <w:pPr>
        <w:ind w:firstLine="317"/>
        <w:spacing w:after="0" w:line="256" w:lineRule="auto"/>
        <w:tabs>
          <w:tab w:leader="none" w:pos="6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trends, growth rates and consumer preferences could impact our ability to meet customer demands, launch new products or features successfully, attract and retain new customers, or to successfully compete with other providers of similar products;</w:t>
      </w:r>
    </w:p>
    <w:p>
      <w:pPr>
        <w:ind w:firstLine="317"/>
        <w:spacing w:after="0" w:line="256" w:lineRule="auto"/>
        <w:tabs>
          <w:tab w:leader="none" w:pos="6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regulations or changes to existing laws or regulations, including economic and trade policy, taxation and data protection, could increase our operational complexity or cost;</w:t>
      </w: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anticipate and keep up with technological advancements could impair our competitiveness;</w:t>
      </w:r>
    </w:p>
    <w:p>
      <w:pPr>
        <w:spacing w:after="0" w:line="13"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or cyber-attacks could compromise our proprietary information, cause reputational harm and result in financial penalties;</w:t>
      </w:r>
    </w:p>
    <w:p>
      <w:pPr>
        <w:spacing w:after="0" w:line="13" w:lineRule="exact"/>
        <w:rPr>
          <w:rFonts w:ascii="Times New Roman" w:cs="Times New Roman" w:eastAsia="Times New Roman" w:hAnsi="Times New Roman"/>
          <w:sz w:val="17"/>
          <w:szCs w:val="17"/>
          <w:color w:val="auto"/>
        </w:rPr>
      </w:pPr>
    </w:p>
    <w:p>
      <w:pPr>
        <w:ind w:firstLine="317"/>
        <w:spacing w:after="0" w:line="256" w:lineRule="auto"/>
        <w:tabs>
          <w:tab w:leader="none" w:pos="6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and our ability access cash or cash equivalents to meet our liquidity needs, the timing of our federal tax refund, capital expenditures, fluctuations in interest rates or credit availability could impact our financial performance;</w:t>
      </w: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proceedings or changes in the legal environment could affect our business operations and financial condition;</w:t>
      </w:r>
    </w:p>
    <w:p>
      <w:pPr>
        <w:spacing w:after="0" w:line="13"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 outbreaks, geopolitical tensions or natural disasters could disrupt our operations;</w:t>
      </w:r>
    </w:p>
    <w:p>
      <w:pPr>
        <w:spacing w:after="0" w:line="13"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talented employees is crucial to our success and any shortfall in that area could impact our operations.</w:t>
      </w:r>
    </w:p>
    <w:p>
      <w:pPr>
        <w:spacing w:after="0" w:line="230"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Given these risks and uncertainties, undue reliance should not be placed on such forward-looking statements.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1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Investors, the media, and others should note that we intend to announce material information to the public through filings with the Securities and Exchange Commission (SEC), the investor relations page on our website (https://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synchronosstechnologiesinc.gcs-web.com/), press releases, public conference calls, webcasts and social media channels, including our X (formerly known as Twitter) feed (x.com/synchronoss) and LinkedIn page (https://www.linkedin.com/company/synchronoss-technologies).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software and services that enable our customers to keep subscribers, systems, networks, and content in sync.</w:t>
      </w:r>
    </w:p>
    <w:p>
      <w:pPr>
        <w:spacing w:after="0" w:line="170" w:lineRule="exact"/>
        <w:rPr>
          <w:sz w:val="20"/>
          <w:szCs w:val="20"/>
          <w:color w:val="auto"/>
        </w:rPr>
      </w:pPr>
    </w:p>
    <w:p>
      <w:pPr>
        <w:jc w:val="both"/>
        <w:ind w:firstLine="313"/>
        <w:spacing w:after="0"/>
        <w:rPr>
          <w:sz w:val="20"/>
          <w:szCs w:val="20"/>
          <w:color w:val="auto"/>
        </w:rPr>
      </w:pPr>
      <w:r>
        <w:rPr>
          <w:rFonts w:ascii="Times New Roman" w:cs="Times New Roman" w:eastAsia="Times New Roman" w:hAnsi="Times New Roman"/>
          <w:sz w:val="17"/>
          <w:szCs w:val="17"/>
          <w:color w:val="auto"/>
        </w:rPr>
        <w:t>The Synchronoss Personal Cloud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Designed for smartphones, tablets, and desktops across all operating systems, our platform ensures a seamless cross-device experience.</w:t>
      </w:r>
    </w:p>
    <w:p>
      <w:pPr>
        <w:spacing w:after="0" w:line="248"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We market our solutions through multiple channels such as our corporate website, direct sales teams across key regions (North America, Europe, Middle East and Africa (“EMEA”) and Asia-Pacific (“APAC”)), and industry partnerships.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generate most of our revenues on a subscription basis, which is derived from customer contracts with terms ranging from three to five years.</w:t>
      </w:r>
    </w:p>
    <w:p>
      <w:pPr>
        <w:spacing w:after="0" w:line="248"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future success of our business depends on the continued growth of Business-to-Business (“B2B”) and Business-to-Business-to-Consumer driving customer transactions, and continued expansion of our platforms into the telecom (“TMT”) market globally through cloud markets. As such, the volume of subscribers and our ability to expand our footprint in TMT and globally may result in revenue fluctuations on a quarterly basis.</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Most of our revenues are recorded in U.S. dollars, but as we continue to expand our footprint with international carriers, we are subject to currency translation that could affect our future net sales as reported in U.S. dollars.</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Company’s top five customers accounted for 99.1% and 97.5% of net revenues for the six months ended June 30, 2025 and June 30, 2024, respectively. Contracts with these customers typically run for three to five years. Of these customers, both Verizon and AT&amp;T accounted for more than 10% of our revenues in 2025 and 2024. The loss of Verizon or AT&amp;T as a customer would have a material negative impact on our company. However, we believe the costs incurred by and subscriber disruption for Verizon or AT&amp;T to replace Synchronoss’ solutions would be substantial.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Trends Affecting Our Results of Operations</w:t>
      </w:r>
    </w:p>
    <w:p>
      <w:pPr>
        <w:spacing w:after="0" w:line="250"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has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the Condensed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2025 compared to the three months ended June 30, 2024</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three months ended June 30, 2025 and 2024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80" w:type="dxa"/>
            <w:vAlign w:val="bottom"/>
          </w:tcPr>
          <w:p>
            <w:pPr>
              <w:spacing w:after="0"/>
              <w:rPr>
                <w:sz w:val="20"/>
                <w:szCs w:val="20"/>
                <w:color w:val="auto"/>
              </w:rPr>
            </w:pPr>
          </w:p>
        </w:tc>
        <w:tc>
          <w:tcPr>
            <w:tcW w:w="12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5"/>
        </w:trPr>
        <w:tc>
          <w:tcPr>
            <w:tcW w:w="6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2025 vs 2024</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2"/>
        </w:trPr>
        <w:tc>
          <w:tcPr>
            <w:tcW w:w="676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15"/>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35,626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39,161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r>
      <w:tr>
        <w:trPr>
          <w:trHeight w:val="215"/>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Debt modification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(13,751)</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operations, before taxes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(18,341)</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(20,555)</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(19,110)</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20" w:hanging="216"/>
        <w:spacing w:after="0" w:line="230" w:lineRule="auto"/>
        <w:tabs>
          <w:tab w:leader="none" w:pos="22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08"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decreased $1.0 million to $42.5 million for the three months ended June 30, 2025, compared to the same period in 2024. The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was primarily attributable to the $1.3 million impact of a customer contract that expired in the prior period, partially offset by subscriber growth.</w:t>
      </w:r>
    </w:p>
    <w:p>
      <w:pPr>
        <w:spacing w:after="0" w:line="168"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$1.5 million to $8.9 million for the three months ended June 30, 2025, compared to the same period in 2024. The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was primarily due to lower baseline employee expenses resulting from restructuring measures implemented in the fourth quarter of 2024, as well as cost-saving initiatives aimed at reducing vendor expenditures and overhead.</w:t>
      </w:r>
    </w:p>
    <w:p>
      <w:pPr>
        <w:spacing w:after="0" w:line="186"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decreased $1.5 million to $10.4 million for the three months ended June 30, 2025, compared to the same period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The decrease in 2025 was primarily attributable to cost-saving initiatives implemented in the fourth quarter of 2024 aimed at streamlining the workforce and reducing vendor expenditures.</w:t>
      </w:r>
    </w:p>
    <w:p>
      <w:pPr>
        <w:spacing w:after="0" w:line="186"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$0.9 million to $11.9 million for the three months ended June 30, 2025, compared to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in 2024. The decrease in 2025 was primarily attributable to cost-saving initiatives implemented in the fourth quarter of 2024 aimed at streamlining the workforce and reducing vendor expenditures.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were immaterial for the three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increased $0.4 million for the three months ended June 30, 2025, compared to the same period in 2024. The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was primarily attributable to increased amortization of capitalized software due to more amortizable assets placed in service in the current period.</w:t>
      </w:r>
    </w:p>
    <w:p>
      <w:pPr>
        <w:spacing w:after="0" w:line="168"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Interest income </w:t>
      </w:r>
      <w:r>
        <w:rPr>
          <w:rFonts w:ascii="Times New Roman" w:cs="Times New Roman" w:eastAsia="Times New Roman" w:hAnsi="Times New Roman"/>
          <w:sz w:val="17"/>
          <w:szCs w:val="17"/>
          <w:color w:val="auto"/>
        </w:rPr>
        <w:t>increased $0.1 million to $0.3 million for the three months ended June 30, 2025, compared to the same period in prior year. Interest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mainly related to interest on India's Unitized Time Deposits (“UTD”).</w:t>
      </w:r>
    </w:p>
    <w:p>
      <w:pPr>
        <w:spacing w:after="0" w:line="168"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increased $3.1 million to $6.6 million for the three months ended June 30, 2025, compared to the same period in 2024.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is primarily attributable to $3.0 million higher interest and amortization of deferred financing costs related to outstanding debt facilities in the current period, mainly due to the timing of closing of the 2024 Term Loan in the prior year period.</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Debt modification expense </w:t>
      </w:r>
      <w:r>
        <w:rPr>
          <w:rFonts w:ascii="Times New Roman" w:cs="Times New Roman" w:eastAsia="Times New Roman" w:hAnsi="Times New Roman"/>
          <w:sz w:val="17"/>
          <w:szCs w:val="17"/>
          <w:color w:val="auto"/>
        </w:rPr>
        <w:t>was $4.4 million and nil for the three months ended June 30, 2025 and 2024, respectively, related to deferred financing costs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with the 2025 Term Loan that were expensed on a pro-rata basis in accordance with debt modification accounting guidance during the current period.</w:t>
      </w:r>
    </w:p>
    <w:p>
      <w:pPr>
        <w:spacing w:after="0" w:line="168"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Loss on debt extinguishment </w:t>
      </w:r>
      <w:r>
        <w:rPr>
          <w:rFonts w:ascii="Times New Roman" w:cs="Times New Roman" w:eastAsia="Times New Roman" w:hAnsi="Times New Roman"/>
          <w:sz w:val="17"/>
          <w:szCs w:val="17"/>
          <w:color w:val="auto"/>
        </w:rPr>
        <w:t>was $2.0 million and nil for the three months ended June 30, 2025 and 2024, respectively, related to pro-rata unamortized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debt issuance costs and prepayment premium associated with the 2021 Senior Notes extinguishment during the current period.</w:t>
      </w:r>
    </w:p>
    <w:p>
      <w:pPr>
        <w:spacing w:after="0" w:line="168" w:lineRule="exact"/>
        <w:rPr>
          <w:sz w:val="20"/>
          <w:szCs w:val="20"/>
          <w:color w:val="auto"/>
        </w:rPr>
      </w:pPr>
    </w:p>
    <w:p>
      <w:pPr>
        <w:jc w:val="both"/>
        <w:ind w:firstLine="313"/>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Foreign exchange (loss) gain </w:t>
      </w:r>
      <w:r>
        <w:rPr>
          <w:rFonts w:ascii="Times New Roman" w:cs="Times New Roman" w:eastAsia="Times New Roman" w:hAnsi="Times New Roman"/>
          <w:sz w:val="17"/>
          <w:szCs w:val="17"/>
          <w:color w:val="auto"/>
        </w:rPr>
        <w:t>was a loss of $12.5 million compared to a gain of $1.2 million for the three months ended June 30, 2025 and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respectively, due to the impact of non-cash foreign exchange losses on intercompany payables and receivables primarily between the Company’s U.S. and European entities.</w:t>
      </w:r>
    </w:p>
    <w:p>
      <w:pPr>
        <w:spacing w:after="0" w:line="391"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income tax expense of approximately $1.3 million and $2.7 million for the three months ended June 30, 2025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respectively. The effective tax rate was approximately (6.9)% for the three months ended June 30, 2025, which was lower than the U.S. federal statutory rate. Due to the current period loss from operations before taxes, the impact of permanent adjustments, including Global Intangible Low-Taxed Income, and the impact of valuation allowances decreased the effective tax rate, while the impact of foreign tax rate differential increased the effective tax rate. The Company’s effective tax rate was approximately 122.3% for the three months ended June 30, 2024, which was higher than the U.S. federal statutory rate primarily due to changes in the mix of pre-tax income and losses in the U.S. and foreign jurisdictions, specifically the impact of permanent adjustments including Global Intangible Low-Taxes Income and adjustments to valuation allowances associated with prior year activity, partially offset by foreign tax rate differential.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2025 compared to the six months ended June 30, 2024</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six months ended June 30, 2025 and 2025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6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86,423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2"/>
        </w:trPr>
        <w:tc>
          <w:tcPr>
            <w:tcW w:w="676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20,624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22,227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26,045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8,480</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5"/>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69,610</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77,550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(7,940)</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15,089</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6,216</w:t>
            </w:r>
          </w:p>
        </w:tc>
      </w:tr>
      <w:tr>
        <w:trPr>
          <w:trHeight w:val="215"/>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Debt modification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r>
      <w:tr>
        <w:trPr>
          <w:trHeight w:val="222"/>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(23,131)</w:t>
            </w:r>
          </w:p>
        </w:tc>
      </w:tr>
      <w:tr>
        <w:trPr>
          <w:trHeight w:val="22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operations, before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(28,172)</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r>
      <w:tr>
        <w:trPr>
          <w:trHeight w:val="215"/>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(loss) income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(27,402)</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20" w:hanging="216"/>
        <w:spacing w:after="0" w:line="230" w:lineRule="auto"/>
        <w:tabs>
          <w:tab w:leader="none" w:pos="22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195" w:lineRule="exact"/>
        <w:rPr>
          <w:sz w:val="20"/>
          <w:szCs w:val="20"/>
          <w:color w:val="auto"/>
        </w:rPr>
      </w:pPr>
    </w:p>
    <w:p>
      <w:pPr>
        <w:jc w:val="both"/>
        <w:ind w:firstLine="313"/>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decreased $1.7 million to $84.7 million for the six months ended June 30, 2025, compared to the same period in 2024. The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was primarily attributable to the $2.8 million impact of a customer contract that expired in the prior period.</w:t>
      </w:r>
    </w:p>
    <w:p>
      <w:pPr>
        <w:spacing w:after="0" w:line="181"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$3.0 million to $17.6 million for the six months ended June 30, 2025, compared to the same period in 2024. The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was primarily due to lower baseline employee expenses resulting from restructuring measures implemented in the fourth quarter of 2024, as well as cost-saving initiatives aimed at reducing vendor expenditures and overhead.</w:t>
      </w:r>
    </w:p>
    <w:p>
      <w:pPr>
        <w:spacing w:after="0" w:line="186"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decreased $2.1 million to $20.1 million for the six months ended June 30, 2025, compared to the same period in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decrease in 2025 was primarily attributable to cost-saving initiatives implemented in the fourth quarter of 2024 aimed at streamlining the workforce and reducing vendor expenditures.</w:t>
      </w:r>
    </w:p>
    <w:p>
      <w:pPr>
        <w:spacing w:after="0" w:line="186"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$2.8 million to $23.2 million for the six months ended June 30, 2025, compared to the same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2024. The decrease in 2025 was primarily attributable to cost-saving initiatives implemented in the fourth quarter of 2024 aimed at streamlining the workforce and reducing vendor expenditures.</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were $0.2 million and $0.3 million for the six months ended June 30, 2025 and 2024, respectively, which primarily related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termination costs as a result of the work-force reductions initiated to reduce operating costs and align our resources with our key strategic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3"/>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increased $0.1 million to $8.5 million for the six months ended June 30, 2025, compared to the same period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The 2025 increase was primarily attributable to increased amortization of capitalized software due to more amortizable assets placed in service in the current period.</w:t>
      </w:r>
    </w:p>
    <w:p>
      <w:pPr>
        <w:spacing w:after="0" w:line="391"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Interest income </w:t>
      </w:r>
      <w:r>
        <w:rPr>
          <w:rFonts w:ascii="Times New Roman" w:cs="Times New Roman" w:eastAsia="Times New Roman" w:hAnsi="Times New Roman"/>
          <w:sz w:val="17"/>
          <w:szCs w:val="17"/>
          <w:color w:val="auto"/>
        </w:rPr>
        <w:t>increased $0.1 million to $0.5 million for the six months ended June 30, 2025, compared to the same period in 2024. The increase was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 of higher interest rates on India's Unitized Time Deposits (UTDs) and an extended holding period in the current year.</w:t>
      </w:r>
    </w:p>
    <w:p>
      <w:pPr>
        <w:spacing w:after="0" w:line="168"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increased $5.0 million to $12.0 million for the six months ended June 30, 2025, compared to the same period in 2024.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is primarily attributable to $4.9 million higher interest and amortization related to outstanding debt facilities in the current period, mainly due to the timing of closing of the 2024 Term Loan during the prior year period.</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Debt modification expense </w:t>
      </w:r>
      <w:r>
        <w:rPr>
          <w:rFonts w:ascii="Times New Roman" w:cs="Times New Roman" w:eastAsia="Times New Roman" w:hAnsi="Times New Roman"/>
          <w:sz w:val="17"/>
          <w:szCs w:val="17"/>
          <w:color w:val="auto"/>
        </w:rPr>
        <w:t>was $4.4 million and nil for the six months ended June 30, 2025 and 2024, respectively, related to deferred financing costs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with the 2025 Term Loan that were expensed on a pro-rata basis in accordance with debt modification accounting guidance during the current period.</w:t>
      </w:r>
    </w:p>
    <w:p>
      <w:pPr>
        <w:spacing w:after="0" w:line="168"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Loss on debt extinguishment </w:t>
      </w:r>
      <w:r>
        <w:rPr>
          <w:rFonts w:ascii="Times New Roman" w:cs="Times New Roman" w:eastAsia="Times New Roman" w:hAnsi="Times New Roman"/>
          <w:sz w:val="17"/>
          <w:szCs w:val="17"/>
          <w:color w:val="auto"/>
        </w:rPr>
        <w:t>was $2.0 million and nil for the six months ended June 30, 2025 and 2024, respectively, related to pro-rata unamortized debt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costs and prepayment premium associated with the 2021 Senior Notes extinguishment during the current period.</w:t>
      </w:r>
    </w:p>
    <w:p>
      <w:pPr>
        <w:spacing w:after="0" w:line="168"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Foreign exchange (loss) gain </w:t>
      </w:r>
      <w:r>
        <w:rPr>
          <w:rFonts w:ascii="Times New Roman" w:cs="Times New Roman" w:eastAsia="Times New Roman" w:hAnsi="Times New Roman"/>
          <w:sz w:val="17"/>
          <w:szCs w:val="17"/>
          <w:color w:val="auto"/>
        </w:rPr>
        <w:t>was a loss of $18.1 million compared to a gain of $5.0 million for the six months ended June 30, 2025 and 2024, respectively,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due to the impact of non-cash foreign exchange losses on intercompany payables and receivables primarily between the Company’s U.S. and European entities.</w:t>
      </w:r>
    </w:p>
    <w:p>
      <w:pPr>
        <w:spacing w:after="0" w:line="168"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income tax expense of approximately $2.5 million and $3.3 million during the six months ended June 30, 2025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respectively. The effective tax rate was approximately (12.2)% for the six months ended June 30, 2025, which was lower than the U.S. federal statutory rate. Due to the current period loss from operations before taxes, the impact of permanent adjustments, including Global Intangible Low-Taxed Income, and the impact of valuation allowances decreased the effective tax rate, while the impact of foreign tax rate differential increased the effective tax rate. The Company’s effective tax rate was approximately 45.4% for the six months ended June 30, 2024, which was higher than the U.S. federal statutory rate primarily due to changes in the mix of pre-tax income and losses in the U.S. and foreign jurisdictions, specifically the impact of permanent adjustments including Global Intangible Low-Taxed Income partially offset by foreign tax rate differential and adjustments to valuation allowances associated with prior year activity.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Our principal sources of liquidity have been cash provided by operations. At June 30, 2025 the Company had an aggregate of $24.6 million cash and cash equivalents, and generated operating cash flows of $2.6 million for the six months ended June 30, 2025. At June 30, 2025, our non-U.S. subsidiaries held approximately $9.1 million of cash and cash equivalents that are available for use by our operations around the world. The Company believes it has sufficient cash and cash equivalents and will generate sufficient liquidity from operations to meet its obligations for at least the next twelve months.</w:t>
      </w:r>
    </w:p>
    <w:p>
      <w:pPr>
        <w:spacing w:after="0" w:line="196"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19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However, as the current geopolitical tensions unfold, we will continue to assess any impact on our operations and our liquidity needs. Our liquidity plans are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number of risks and uncertainties, including those described in the "Forward-Looking Statements" section of this MD&amp;A and Part I, Item 1A. “Risk Factors” in our Annual Report on Form 10-K for the year ended December 31, 2024, some of which are outside of our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Cash Flows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net cash flows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8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r>
      <w:tr>
        <w:trPr>
          <w:trHeight w:val="218"/>
        </w:trPr>
        <w:tc>
          <w:tcPr>
            <w:tcW w:w="8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2"/>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2,578</w:t>
            </w:r>
          </w:p>
        </w:tc>
        <w:tc>
          <w:tcPr>
            <w:tcW w:w="8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11,840</w:t>
            </w:r>
          </w:p>
        </w:tc>
      </w:tr>
      <w:tr>
        <w:trPr>
          <w:trHeight w:val="222"/>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(6,685)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(7,510)</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(4,884)</w:t>
            </w:r>
          </w:p>
        </w:tc>
        <w:tc>
          <w:tcPr>
            <w:tcW w:w="8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(5,105)</w:t>
            </w:r>
          </w:p>
        </w:tc>
      </w:tr>
    </w:tbl>
    <w:p>
      <w:pPr>
        <w:spacing w:after="0" w:line="30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87"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Cash provided by operating activities </w:t>
      </w:r>
      <w:r>
        <w:rPr>
          <w:rFonts w:ascii="Times New Roman" w:cs="Times New Roman" w:eastAsia="Times New Roman" w:hAnsi="Times New Roman"/>
          <w:sz w:val="17"/>
          <w:szCs w:val="17"/>
          <w:color w:val="auto"/>
        </w:rPr>
        <w:t>for the six months ended June 30, 2025 was $2.6 million as compared to $11.8 million of cash provided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activities for the same period in 2024. In the current period, the Company generated cash from operations mainly driven by continued growth in cloud subscribers and reduced operating costs, offset by $1.5 million higher debt interest paid in 2025, $2.3 million debt issuance and debt extinguishment costs related to modified debt, and unfavorable movements in working capital in 2025 compared to 2024.</w:t>
      </w:r>
    </w:p>
    <w:p>
      <w:pPr>
        <w:spacing w:after="0" w:line="193"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Cash used in investing activities </w:t>
      </w:r>
      <w:r>
        <w:rPr>
          <w:rFonts w:ascii="Times New Roman" w:cs="Times New Roman" w:eastAsia="Times New Roman" w:hAnsi="Times New Roman"/>
          <w:sz w:val="17"/>
          <w:szCs w:val="17"/>
          <w:color w:val="auto"/>
        </w:rPr>
        <w:t>for the six months ended June 30, 2025 was $6.7 million as compared to $7.5 million of cash used in investing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same period in 2024. The cash used in investing activities during current and prior year primarily funded product development for our Cloud offering and associated labor costs.</w:t>
      </w:r>
    </w:p>
    <w:p>
      <w:pPr>
        <w:spacing w:after="0" w:line="186"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Cash used in financing activities </w:t>
      </w:r>
      <w:r>
        <w:rPr>
          <w:rFonts w:ascii="Times New Roman" w:cs="Times New Roman" w:eastAsia="Times New Roman" w:hAnsi="Times New Roman"/>
          <w:sz w:val="17"/>
          <w:szCs w:val="17"/>
          <w:color w:val="auto"/>
        </w:rPr>
        <w:t>for the six months ended June 30, 2025 was $4.9 million as compared to $5.1 million of cash used in financing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same period in 2024. The cash used in financing activities in the current year was primarily related to the receipt of $126.4 million proceeds from 2025 Term Loan net of repayment of 2024 Term Loan, offset by $7.9 million in related issuance costs, $121.4 million repayment of 2021 Senior Notes and $0.7 million in related debt extinguishment costs, and $0.8 million of income and payroll taxes paid as a result of stock-based withholding. The cash used in financing activities in the prior year was primarily related to $75.0 million funding of the Term Loan; offset by $6.7 million issuance costs related to the 2024 term loan, $57.6 million Series B Preferred Stock Repurchase, $11.5 million Senior Notes Repurchase and $4.3 million Series B Preferred dividend payments.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Inflation</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Inflationary increases in certain input costs, such as occupancy, labor and benefits, and general administrative costs have impacted our business. Management does not believe these impacts have had a material impact on our results of operations during the three months ended June 30, 2025 and 2024. We cannot assure you, however, that we will not be affected by general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72" w:lineRule="exact"/>
        <w:rPr>
          <w:sz w:val="20"/>
          <w:szCs w:val="20"/>
          <w:color w:val="auto"/>
        </w:rPr>
      </w:pPr>
    </w:p>
    <w:p>
      <w:pPr>
        <w:jc w:val="both"/>
        <w:ind w:firstLine="313"/>
        <w:spacing w:after="0" w:line="234" w:lineRule="exact"/>
        <w:rPr>
          <w:sz w:val="20"/>
          <w:szCs w:val="20"/>
          <w:color w:val="auto"/>
        </w:rPr>
      </w:pPr>
      <w:r>
        <w:rPr>
          <w:rFonts w:ascii="Times New Roman" w:cs="Times New Roman" w:eastAsia="Times New Roman" w:hAnsi="Times New Roman"/>
          <w:sz w:val="17"/>
          <w:szCs w:val="17"/>
          <w:color w:val="auto"/>
        </w:rPr>
        <w:t>Our contractual obligations consist of office and laptop leases, notes payable and related interest as well as contractual commitments under third-party hosting, software licenses and maintenance agreements. The following table summarizes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contractual obligations as of June 30, 2025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Payments Due by Period</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2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2026-2027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Thereafter</w:t>
            </w:r>
          </w:p>
        </w:tc>
      </w:tr>
      <w:tr>
        <w:trPr>
          <w:trHeight w:val="21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5,521</w:t>
            </w:r>
          </w:p>
        </w:tc>
      </w:tr>
      <w:tr>
        <w:trPr>
          <w:trHeight w:val="22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78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7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2025 Term Loan</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r>
      <w:tr>
        <w:trPr>
          <w:trHeight w:val="215"/>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320,645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86,579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40,895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165,521</w:t>
            </w: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ind w:left="200" w:hanging="196"/>
        <w:spacing w:after="0" w:line="227" w:lineRule="auto"/>
        <w:tabs>
          <w:tab w:leader="none" w:pos="2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obligations associated with colocation agreements and other customer delivery related purchase obligations.</w:t>
      </w:r>
    </w:p>
    <w:p>
      <w:pPr>
        <w:spacing w:after="0" w:line="1" w:lineRule="exact"/>
        <w:rPr>
          <w:sz w:val="20"/>
          <w:szCs w:val="20"/>
          <w:color w:val="auto"/>
        </w:rPr>
      </w:pPr>
    </w:p>
    <w:p>
      <w:pPr>
        <w:ind w:left="320" w:hanging="316"/>
        <w:spacing w:after="0" w:line="256" w:lineRule="auto"/>
        <w:tabs>
          <w:tab w:leader="none" w:pos="3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Refer to Note 17. Subsequent Events of the Notes to Condensed Consolidated Financial Statements in Item 1 of this Form 10-Q for discussion of transactions that have occurred and will impact the debt obligations in the reporting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 Tax Positions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Unrecognized tax benefits associated with uncertain tax positions were $4.4 million at June 30, 2025.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within the next 12 months as a result of a lapse of the statute of limitations.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w:t>
      </w:r>
    </w:p>
    <w:p>
      <w:pPr>
        <w:spacing w:after="0" w:line="196"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SEC considers an accounting policy to be critical if it is important to a company’s financial condition and results of operations, and if it requires significant judgment and estimates on the part of management in its application. These estimates and assumptions take into account historical and forward looking factors that the Company believes are reasonable, including but not limited to the potential impacts from current geopolitical tensions. As the extent and duration of the impacts from geopolitical developments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w:t>
      </w:r>
    </w:p>
    <w:p>
      <w:pPr>
        <w:spacing w:after="0" w:line="201" w:lineRule="exact"/>
        <w:rPr>
          <w:sz w:val="20"/>
          <w:szCs w:val="20"/>
          <w:color w:val="auto"/>
        </w:rPr>
      </w:pPr>
    </w:p>
    <w:p>
      <w:pPr>
        <w:jc w:val="both"/>
        <w:ind w:firstLine="313"/>
        <w:spacing w:after="0" w:line="272" w:lineRule="auto"/>
        <w:rPr>
          <w:sz w:val="20"/>
          <w:szCs w:val="20"/>
          <w:color w:val="auto"/>
        </w:rPr>
      </w:pPr>
      <w:r>
        <w:rPr>
          <w:rFonts w:ascii="Times New Roman" w:cs="Times New Roman" w:eastAsia="Times New Roman" w:hAnsi="Times New Roman"/>
          <w:sz w:val="17"/>
          <w:szCs w:val="17"/>
          <w:color w:val="auto"/>
        </w:rPr>
        <w:t>During the six months ended June 30, 2025, there were no significant changes in our critical accounting policies and estimates from our Annual Report on Form 10-K for the year ended December 31, 2024. Refer to Management’s Discussion and Analysis of Financial Condition and Results of Operations contained in Part II, Item 7 of our Annual Report on Form 10-K for the year ended December 31, 2024 for a more complete discussion of our critical accounting policies and estimates.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a discussion of recently issued accounting standards see Note 2. Basis of Presentation and Consolidation of the Notes to Condensed Consolidated Financial Statements in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had no off-balance sheet arrangements as of June 30, 2025 and December 31, 2024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following discussion about market risk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June 30, 2025 and December 31, 2024 were invested in liquid money market accounts and certificates of deposit. All market-risk sensitive instruments were entered into for non-trading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June 30, 2025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Borrowings pursuant to our 2025 Term Loan Agreement bear interest at a rate per annum equal to secured overnight financing rate, subject to a floor of 2.50%, plus applicable margin of 7.00%. As such, our net income is sensitive to movements in interest rates. If interest rates increase, our debt obligations pursuant to the 2025 Term Loan Agreement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 Based on our outstanding borrowings pursuant to the 2025 Term Loan Agreement as of June 30, 2025 a hypothetical 100 basis point movement in interest rates would have affected interest expense on the debt by $1.6 million on an annual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0"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June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Rule 15d-15(f) under the Exchange Act) identified in connection with the evaluation of our controls performed during the three months ended June 30, 2025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a discussion of our material pending legal proceedings that could impact our results of operations, financial condition or cash flows see Note 16. Legal Matters of the Notes to Condensed Consolidated Financial Statements in Item 1 of this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Other than set forth below, there have been no material changes to our risk factors as previously disclosed in Part I, Item 1A. included in our Annual Report on Form 10-K for the year ended December 31, 2024.</w:t>
      </w:r>
    </w:p>
    <w:p>
      <w:pPr>
        <w:spacing w:after="0" w:line="169" w:lineRule="exact"/>
        <w:rPr>
          <w:sz w:val="20"/>
          <w:szCs w:val="20"/>
          <w:color w:val="auto"/>
        </w:rPr>
      </w:pPr>
    </w:p>
    <w:p>
      <w:pPr>
        <w:jc w:val="both"/>
        <w:ind w:firstLine="313"/>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terms of our Credit Agreement restrict our operating and financial flexibility, and any breach of the covenants in that agreement, if the lenders elected to accelerate the due date of the loan, could significantly harm our business and prospects and lead to the liquidation of our business.</w:t>
      </w:r>
    </w:p>
    <w:p>
      <w:pPr>
        <w:spacing w:after="0" w:line="169"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On June 28, 2024, we entered into a Credit Agreement with BGC Lender Rep LLC, as administrative agent and the lenders party thereto (the “Original Credit Agreement”), which was subsequently amended by that certain First Amendment to Credit Agreement and Pledge and Security Agreement dated April 24, 2025 (the “2025 Term Loan Agreement” and the Original Credit Agreement, as amended by the First Amendment, the “2024 Term Loan Agreement”). The 2025 Term Loan Agreement established a senior secured term loan of up to $200.0 million (the “2025 Term Loan”), all of which was funded on April 24, 2025. The 2025 Term Loan matures on April 24, 2029, subject to an earlier springing maturity date that is nine months prior to the effective date of termination, forfeiture, non-renewal, cancellation, revocation or suspension of certain material contracts if unreplaced in accordance with the terms of the 2025 Term Loan Agreement (the “Springing Maturity Date”). In the event of a Springing Maturity Date, we will be required to pay all amounts outstanding under the 2025 Term Loan sooner than they would otherwise be due. We may not have sufficient funds available to pay such amounts at that time, and we may not be able to raise additional funds to pay such amounts on a timely basis, on terms we find acceptable, or at all.</w:t>
      </w:r>
    </w:p>
    <w:p>
      <w:pPr>
        <w:spacing w:after="0" w:line="206"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The 2025 Term Loan Agreement contains certain operating covenants and restricts our operating and financial flexibility. Our obligations under the 2025 Term Loan Agreement are secured by substantially all of our assets (other than existing real property). The 2025 Term Loan Agreement contains customary covenants that limit our ability and our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2025 Term Loan Agreement. The financial covenants set forth in the 2025 Term Loan Agreement include (i) a maximum consolidated secured leverage ratio, which will be tested at the end of each of Synchronoss’ fiscal quarters, (ii) a covenant tested monthly with respect to a minimum number of subscribers under certain material contracts and (iii) an average liquidity requirement for any calendar month. As of June 30, 2025, we were currently in compliance with the 2025 Term Loan Agreement covenants, but we may fall out of compliance with these covenants. We may also enter into other debt agreements in the future which may contain similar or more restrictive terms.</w:t>
      </w:r>
    </w:p>
    <w:p>
      <w:pPr>
        <w:spacing w:after="0" w:line="206"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Upon the occurrence and continuance of an event of default, which, for example, would be triggered by a breach or violation of, default under, cancellation, termination, forfeiture, rescission, revocation, suspension, impairment or non-renewal of certain material contracts of the Company, BGC may take either or both of the following actions: (i) terminate the commitments and (ii) declare all outstanding obligations immediately due and payable and take such other actions as set forth in the 2025 Term Loan Agreement. Any declaration by BGC of an event of default could significantly harm our business and prospects and could cause the price of our common stock to decline significantly. Further, if we were liquidated, the lenders’ rights to repayment would be senior to the rights of our stockholders.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Plans</w:t>
      </w:r>
    </w:p>
    <w:p>
      <w:pPr>
        <w:spacing w:after="0" w:line="250"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00" w:type="dxa"/>
            <w:vAlign w:val="bottom"/>
            <w:gridSpan w:val="22"/>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Borders>
              <w:bottom w:val="single" w:sz="8" w:color="0000FF"/>
            </w:tcBorders>
            <w:gridSpan w:val="8"/>
          </w:tcPr>
          <w:p>
            <w:pPr>
              <w:spacing w:after="0" w:line="137" w:lineRule="exact"/>
              <w:rPr>
                <w:rFonts w:ascii="Times New Roman" w:cs="Times New Roman" w:eastAsia="Times New Roman" w:hAnsi="Times New Roman"/>
                <w:sz w:val="14"/>
                <w:szCs w:val="14"/>
                <w:color w:val="0000FF"/>
                <w:w w:val="98"/>
              </w:rPr>
            </w:pPr>
            <w:hyperlink r:id="rId56">
              <w:r>
                <w:rPr>
                  <w:rFonts w:ascii="Times New Roman" w:cs="Times New Roman" w:eastAsia="Times New Roman" w:hAnsi="Times New Roman"/>
                  <w:sz w:val="14"/>
                  <w:szCs w:val="14"/>
                  <w:color w:val="0000FF"/>
                  <w:w w:val="98"/>
                </w:rPr>
                <w:t>Restated Certificate of Incorporation of the Registrant.</w:t>
              </w:r>
            </w:hyperlink>
          </w:p>
        </w:tc>
        <w:tc>
          <w:tcPr>
            <w:tcW w:w="182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Certificate of Amendment to the Restated Certificate of Incorporation of the</w:t>
              </w:r>
            </w:hyperlink>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40" w:type="dxa"/>
            <w:vAlign w:val="bottom"/>
            <w:tcBorders>
              <w:top w:val="single" w:sz="8" w:color="0000FF"/>
            </w:tcBorders>
            <w:gridSpan w:val="13"/>
          </w:tcPr>
          <w:p>
            <w:pPr>
              <w:spacing w:after="0" w:line="137" w:lineRule="exact"/>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Registrant.</w:t>
              </w:r>
            </w:hyperlink>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8"/>
              </w:rPr>
            </w:pPr>
            <w:hyperlink r:id="rId58">
              <w:r>
                <w:rPr>
                  <w:rFonts w:ascii="Times New Roman" w:cs="Times New Roman" w:eastAsia="Times New Roman" w:hAnsi="Times New Roman"/>
                  <w:sz w:val="14"/>
                  <w:szCs w:val="14"/>
                  <w:color w:val="0000FF"/>
                  <w:w w:val="98"/>
                </w:rPr>
                <w:t>Amended and Restated Bylaws of the Registrant.</w:t>
              </w:r>
            </w:hyperlink>
          </w:p>
        </w:tc>
        <w:tc>
          <w:tcPr>
            <w:tcW w:w="212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8"/>
              </w:rPr>
            </w:pPr>
            <w:hyperlink r:id="rId59">
              <w:r>
                <w:rPr>
                  <w:rFonts w:ascii="Times New Roman" w:cs="Times New Roman" w:eastAsia="Times New Roman" w:hAnsi="Times New Roman"/>
                  <w:sz w:val="14"/>
                  <w:szCs w:val="14"/>
                  <w:color w:val="0000FF"/>
                  <w:w w:val="98"/>
                </w:rPr>
                <w:t>Amendment No. 1 to Amended and Restated Bylaws of the Registrant.</w:t>
              </w:r>
            </w:hyperlink>
          </w:p>
        </w:tc>
        <w:tc>
          <w:tcPr>
            <w:tcW w:w="9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Amendment No. 2 to the Amended and Restated Bylaws of the Registrant.</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3.6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Certificate of Designations of the Series B Perpetual Non-Convertible Preferred</w:t>
              </w:r>
            </w:hyperlink>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40" w:type="dxa"/>
            <w:vAlign w:val="bottom"/>
            <w:tcBorders>
              <w:top w:val="single" w:sz="8" w:color="0000FF"/>
            </w:tcBorders>
            <w:gridSpan w:val="14"/>
          </w:tcPr>
          <w:p>
            <w:pPr>
              <w:spacing w:after="0" w:line="137" w:lineRule="exact"/>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Stock.</w:t>
              </w:r>
            </w:hyperlink>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Certificate  of  Amendment  of  the  Restated  Certificate  of  Incorporation  of</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19"/>
          </w:tcPr>
          <w:p>
            <w:pPr>
              <w:spacing w:after="0" w:line="124"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Synchronoss 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Certificate of Elimination of the Series B Perpetual Non-Convertible Preferred</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tcBorders>
              <w:top w:val="single" w:sz="8" w:color="0000FF"/>
            </w:tcBorders>
            <w:gridSpan w:val="25"/>
          </w:tcPr>
          <w:p>
            <w:pPr>
              <w:spacing w:after="0" w:line="124"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Stock.</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First Amendment to Credit Agreement and Pledge and Security Agreement, dated</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16"/>
          </w:tcPr>
          <w:p>
            <w:pPr>
              <w:spacing w:after="0" w:line="124"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as of April 24, 2025, by and among Synchronoss Technologies, Inc., the lenders</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80" w:type="dxa"/>
            <w:vAlign w:val="bottom"/>
            <w:gridSpan w:val="22"/>
          </w:tcPr>
          <w:p>
            <w:pPr>
              <w:spacing w:after="0" w:line="110" w:lineRule="exact"/>
              <w:rPr>
                <w:rFonts w:ascii="Times New Roman" w:cs="Times New Roman" w:eastAsia="Times New Roman" w:hAnsi="Times New Roman"/>
                <w:sz w:val="12"/>
                <w:szCs w:val="12"/>
                <w:color w:val="0000FF"/>
              </w:rPr>
            </w:pPr>
            <w:hyperlink r:id="rId64">
              <w:r>
                <w:rPr>
                  <w:rFonts w:ascii="Times New Roman" w:cs="Times New Roman" w:eastAsia="Times New Roman" w:hAnsi="Times New Roman"/>
                  <w:sz w:val="12"/>
                  <w:szCs w:val="12"/>
                  <w:color w:val="0000FF"/>
                </w:rPr>
                <w:t>party thereto and BGC Lender Rep LLC, as administrative agent.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Credit Agreement dated as of June 28, 2024 among the Registrant as the Borrower,</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5"/>
          </w:tcPr>
          <w:p>
            <w:pPr>
              <w:spacing w:after="0" w:line="124" w:lineRule="exact"/>
              <w:rPr>
                <w:rFonts w:ascii="Times New Roman" w:cs="Times New Roman" w:eastAsia="Times New Roman" w:hAnsi="Times New Roman"/>
                <w:sz w:val="14"/>
                <w:szCs w:val="14"/>
                <w:color w:val="0000FF"/>
                <w:w w:val="99"/>
              </w:rPr>
            </w:pPr>
            <w:hyperlink r:id="rId65">
              <w:r>
                <w:rPr>
                  <w:rFonts w:ascii="Times New Roman" w:cs="Times New Roman" w:eastAsia="Times New Roman" w:hAnsi="Times New Roman"/>
                  <w:sz w:val="14"/>
                  <w:szCs w:val="14"/>
                  <w:color w:val="0000FF"/>
                  <w:w w:val="99"/>
                </w:rPr>
                <w:t>the Lenders Party hereto, and BGC Lender Rep LLC, as Administrative Agent, AS</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gridSpan w:val="18"/>
          </w:tcPr>
          <w:p>
            <w:pPr>
              <w:spacing w:after="0" w:line="110" w:lineRule="exact"/>
              <w:rPr>
                <w:rFonts w:ascii="Times New Roman" w:cs="Times New Roman" w:eastAsia="Times New Roman" w:hAnsi="Times New Roman"/>
                <w:sz w:val="12"/>
                <w:szCs w:val="12"/>
                <w:color w:val="0000FF"/>
              </w:rPr>
            </w:pPr>
            <w:hyperlink r:id="rId65">
              <w:r>
                <w:rPr>
                  <w:rFonts w:ascii="Times New Roman" w:cs="Times New Roman" w:eastAsia="Times New Roman" w:hAnsi="Times New Roman"/>
                  <w:sz w:val="12"/>
                  <w:szCs w:val="12"/>
                  <w:color w:val="0000FF"/>
                </w:rPr>
                <w:t>Birch Grove LP as Sole Lead Arranger and Sole Bookrunner.</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26"/>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Synchronoss Technologies, Inc. Amended and Restated 2015 Equity Incentive</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4"/>
                <w:szCs w:val="14"/>
                <w:color w:val="0000FF"/>
                <w:w w:val="91"/>
              </w:rPr>
            </w:pPr>
            <w:hyperlink r:id="rId66">
              <w:r>
                <w:rPr>
                  <w:rFonts w:ascii="Times New Roman" w:cs="Times New Roman" w:eastAsia="Times New Roman" w:hAnsi="Times New Roman"/>
                  <w:sz w:val="14"/>
                  <w:szCs w:val="14"/>
                  <w:color w:val="0000FF"/>
                  <w:w w:val="91"/>
                </w:rPr>
                <w:t>Plan.</w:t>
              </w:r>
            </w:hyperlink>
          </w:p>
        </w:tc>
        <w:tc>
          <w:tcPr>
            <w:tcW w:w="4540" w:type="dxa"/>
            <w:vAlign w:val="bottom"/>
            <w:tcBorders>
              <w:top w:val="single" w:sz="8" w:color="0000FF"/>
            </w:tcBorders>
            <w:gridSpan w:val="2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6"/>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2002.</w:t>
            </w:r>
          </w:p>
        </w:tc>
        <w:tc>
          <w:tcPr>
            <w:tcW w:w="260" w:type="dxa"/>
            <w:vAlign w:val="bottom"/>
            <w:tcBorders>
              <w:top w:val="single" w:sz="8" w:color="0000FF"/>
            </w:tcBorders>
          </w:tcPr>
          <w:p>
            <w:pPr>
              <w:spacing w:after="0"/>
              <w:rPr>
                <w:sz w:val="9"/>
                <w:szCs w:val="9"/>
                <w:color w:val="auto"/>
              </w:rPr>
            </w:pPr>
          </w:p>
        </w:tc>
        <w:tc>
          <w:tcPr>
            <w:tcW w:w="1160" w:type="dxa"/>
            <w:vAlign w:val="bottom"/>
            <w:tcBorders>
              <w:top w:val="single" w:sz="8" w:color="0000FF"/>
            </w:tcBorders>
          </w:tcPr>
          <w:p>
            <w:pPr>
              <w:spacing w:after="0"/>
              <w:rPr>
                <w:sz w:val="9"/>
                <w:szCs w:val="9"/>
                <w:color w:val="auto"/>
              </w:rPr>
            </w:pPr>
          </w:p>
        </w:tc>
        <w:tc>
          <w:tcPr>
            <w:tcW w:w="8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26"/>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21"/>
          </w:tcPr>
          <w:p>
            <w:pPr>
              <w:spacing w:after="0" w:line="124"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2002.</w:t>
            </w:r>
          </w:p>
        </w:tc>
        <w:tc>
          <w:tcPr>
            <w:tcW w:w="260" w:type="dxa"/>
            <w:vAlign w:val="bottom"/>
            <w:tcBorders>
              <w:top w:val="single" w:sz="8" w:color="0000FF"/>
            </w:tcBorders>
          </w:tcPr>
          <w:p>
            <w:pPr>
              <w:spacing w:after="0"/>
              <w:rPr>
                <w:sz w:val="9"/>
                <w:szCs w:val="9"/>
                <w:color w:val="auto"/>
              </w:rPr>
            </w:pPr>
          </w:p>
        </w:tc>
        <w:tc>
          <w:tcPr>
            <w:tcW w:w="1160" w:type="dxa"/>
            <w:vAlign w:val="bottom"/>
            <w:tcBorders>
              <w:top w:val="single" w:sz="8" w:color="0000FF"/>
            </w:tcBorders>
          </w:tcPr>
          <w:p>
            <w:pPr>
              <w:spacing w:after="0"/>
              <w:rPr>
                <w:sz w:val="9"/>
                <w:szCs w:val="9"/>
                <w:color w:val="auto"/>
              </w:rPr>
            </w:pPr>
          </w:p>
        </w:tc>
        <w:tc>
          <w:tcPr>
            <w:tcW w:w="8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26"/>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16"/>
          </w:tcPr>
          <w:p>
            <w:pPr>
              <w:spacing w:after="0" w:line="124"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20" w:type="dxa"/>
            <w:vAlign w:val="bottom"/>
            <w:tcBorders>
              <w:bottom w:val="single" w:sz="8" w:color="0000FF"/>
            </w:tcBorders>
          </w:tcPr>
          <w:p>
            <w:pPr>
              <w:spacing w:after="0"/>
              <w:rPr>
                <w:sz w:val="10"/>
                <w:szCs w:val="10"/>
                <w:color w:val="auto"/>
              </w:rPr>
            </w:pPr>
          </w:p>
        </w:tc>
        <w:tc>
          <w:tcPr>
            <w:tcW w:w="120" w:type="dxa"/>
            <w:vAlign w:val="bottom"/>
            <w:tcBorders>
              <w:bottom w:val="single" w:sz="8" w:color="0000FF"/>
            </w:tcBorders>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gridSpan w:val="23"/>
          </w:tcPr>
          <w:p>
            <w:pPr>
              <w:spacing w:after="0" w:line="110" w:lineRule="exact"/>
              <w:rPr>
                <w:sz w:val="20"/>
                <w:szCs w:val="20"/>
                <w:color w:val="auto"/>
              </w:rPr>
            </w:pPr>
            <w:r>
              <w:rPr>
                <w:rFonts w:ascii="Times New Roman" w:cs="Times New Roman" w:eastAsia="Times New Roman" w:hAnsi="Times New Roman"/>
                <w:sz w:val="12"/>
                <w:szCs w:val="12"/>
                <w:color w:val="0000FF"/>
              </w:rPr>
              <w:t>section 906 of the Sarbanes</w:t>
            </w:r>
            <w:r>
              <w:rPr>
                <w:rFonts w:ascii="MS PGothic" w:cs="MS PGothic" w:eastAsia="MS PGothic" w:hAnsi="MS PGothic"/>
                <w:sz w:val="12"/>
                <w:szCs w:val="12"/>
                <w:color w:val="0000FF"/>
              </w:rPr>
              <w:t>‑</w:t>
            </w:r>
            <w:r>
              <w:rPr>
                <w:rFonts w:ascii="Times New Roman" w:cs="Times New Roman" w:eastAsia="Times New Roman" w:hAnsi="Times New Roman"/>
                <w:sz w:val="12"/>
                <w:szCs w:val="12"/>
                <w:color w:val="0000FF"/>
              </w:rPr>
              <w:t>Oxley Act of 2002.</w:t>
            </w: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2200" w:type="dxa"/>
            <w:vAlign w:val="bottom"/>
            <w:gridSpan w:val="20"/>
          </w:tcPr>
          <w:p>
            <w:pPr>
              <w:spacing w:after="0" w:line="161" w:lineRule="exact"/>
              <w:rPr>
                <w:sz w:val="20"/>
                <w:szCs w:val="20"/>
                <w:color w:val="auto"/>
              </w:rPr>
            </w:pPr>
            <w:r>
              <w:rPr>
                <w:rFonts w:ascii="Times New Roman" w:cs="Times New Roman" w:eastAsia="Times New Roman" w:hAnsi="Times New Roman"/>
                <w:sz w:val="14"/>
                <w:szCs w:val="14"/>
                <w:color w:val="0000FF"/>
              </w:rPr>
              <w:t>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17"/>
          </w:tcPr>
          <w:p>
            <w:pPr>
              <w:spacing w:after="0" w:line="124"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1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Borders>
              <w:top w:val="single" w:sz="8" w:color="0000FF"/>
            </w:tcBorders>
            <w:gridSpan w:val="23"/>
          </w:tcPr>
          <w:p>
            <w:pPr>
              <w:spacing w:after="0" w:line="110" w:lineRule="exact"/>
              <w:rPr>
                <w:sz w:val="20"/>
                <w:szCs w:val="20"/>
                <w:color w:val="auto"/>
              </w:rPr>
            </w:pPr>
            <w:r>
              <w:rPr>
                <w:rFonts w:ascii="Times New Roman" w:cs="Times New Roman" w:eastAsia="Times New Roman" w:hAnsi="Times New Roman"/>
                <w:sz w:val="12"/>
                <w:szCs w:val="12"/>
                <w:color w:val="0000FF"/>
              </w:rPr>
              <w:t>section 906 of the Sarbanes</w:t>
            </w:r>
            <w:r>
              <w:rPr>
                <w:rFonts w:ascii="MS PGothic" w:cs="MS PGothic" w:eastAsia="MS PGothic" w:hAnsi="MS PGothic"/>
                <w:sz w:val="12"/>
                <w:szCs w:val="12"/>
                <w:color w:val="0000FF"/>
              </w:rPr>
              <w:t>‑</w:t>
            </w:r>
            <w:r>
              <w:rPr>
                <w:rFonts w:ascii="Times New Roman" w:cs="Times New Roman" w:eastAsia="Times New Roman" w:hAnsi="Times New Roman"/>
                <w:sz w:val="12"/>
                <w:szCs w:val="12"/>
                <w:color w:val="0000FF"/>
              </w:rPr>
              <w:t>Oxley Act of 2002.</w:t>
            </w: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7"/>
                <w:szCs w:val="17"/>
                <w:color w:val="auto"/>
              </w:rPr>
            </w:pPr>
          </w:p>
        </w:tc>
        <w:tc>
          <w:tcPr>
            <w:tcW w:w="26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2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Schema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7"/>
                <w:szCs w:val="17"/>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Calculation Linkbase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7"/>
                <w:szCs w:val="17"/>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Labels Linkbase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101.PRE</w:t>
            </w:r>
          </w:p>
        </w:tc>
        <w:tc>
          <w:tcPr>
            <w:tcW w:w="20" w:type="dxa"/>
            <w:vAlign w:val="bottom"/>
          </w:tcPr>
          <w:p>
            <w:pPr>
              <w:spacing w:after="0"/>
              <w:rPr>
                <w:sz w:val="17"/>
                <w:szCs w:val="17"/>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7406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740660" cy="1651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3"/>
        </w:trPr>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15, 2023</w:t>
            </w:r>
          </w:p>
        </w:tc>
      </w:tr>
      <w:tr>
        <w:trPr>
          <w:trHeight w:val="264"/>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23, 2022</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2"/>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May 9, 2006</w:t>
            </w:r>
          </w:p>
        </w:tc>
      </w:tr>
      <w:tr>
        <w:trPr>
          <w:trHeight w:val="19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20, 2018</w:t>
            </w:r>
          </w:p>
        </w:tc>
      </w:tr>
      <w:tr>
        <w:trPr>
          <w:trHeight w:val="19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7, 2023</w:t>
            </w:r>
          </w:p>
        </w:tc>
      </w:tr>
      <w:tr>
        <w:trPr>
          <w:trHeight w:val="32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2024</w:t>
            </w:r>
          </w:p>
        </w:tc>
      </w:tr>
      <w:tr>
        <w:trPr>
          <w:trHeight w:val="32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29, 2025</w:t>
            </w:r>
          </w:p>
        </w:tc>
      </w:tr>
      <w:tr>
        <w:trPr>
          <w:trHeight w:val="469"/>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9, 2024</w:t>
            </w:r>
          </w:p>
        </w:tc>
      </w:tr>
      <w:tr>
        <w:trPr>
          <w:trHeight w:val="469"/>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November 12, 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17145</wp:posOffset>
            </wp:positionV>
            <wp:extent cx="554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20" w:lineRule="exact"/>
        <w:rPr>
          <w:sz w:val="20"/>
          <w:szCs w:val="20"/>
          <w:color w:val="auto"/>
        </w:rPr>
      </w:pPr>
    </w:p>
    <w:p>
      <w:pPr>
        <w:sectPr>
          <w:pgSz w:w="11900" w:h="16838" w:orient="portrait"/>
          <w:cols w:equalWidth="0" w:num="3">
            <w:col w:w="5880" w:space="80"/>
            <w:col w:w="4320" w:space="260"/>
            <w:col w:w="54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0" w:lineRule="exact"/>
        <w:rPr>
          <w:sz w:val="20"/>
          <w:szCs w:val="20"/>
          <w:color w:val="auto"/>
        </w:rPr>
      </w:pPr>
    </w:p>
    <w:p>
      <w:pPr>
        <w:ind w:firstLine="313"/>
        <w:spacing w:after="0" w:line="280"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caused this Report to be signed on its behalf by the undersigned, thereunto duly authorized.</w:t>
      </w:r>
    </w:p>
    <w:p>
      <w:pPr>
        <w:ind w:left="4080"/>
        <w:spacing w:after="0"/>
        <w:rPr>
          <w:sz w:val="20"/>
          <w:szCs w:val="20"/>
          <w:color w:val="auto"/>
        </w:rPr>
      </w:pPr>
      <w:r>
        <w:rPr>
          <w:rFonts w:ascii="Times New Roman" w:cs="Times New Roman" w:eastAsia="Times New Roman" w:hAnsi="Times New Roman"/>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20320</wp:posOffset>
            </wp:positionV>
            <wp:extent cx="29229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20320</wp:posOffset>
            </wp:positionV>
            <wp:extent cx="29229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3"/>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June 30, 2025;</w:t>
      </w:r>
    </w:p>
    <w:p>
      <w:pPr>
        <w:spacing w:after="0" w:line="182" w:lineRule="exact"/>
        <w:rPr>
          <w:rFonts w:ascii="Times New Roman" w:cs="Times New Roman" w:eastAsia="Times New Roman" w:hAnsi="Times New Roman"/>
          <w:sz w:val="17"/>
          <w:szCs w:val="17"/>
          <w:color w:val="auto"/>
        </w:rPr>
      </w:pPr>
    </w:p>
    <w:p>
      <w:pPr>
        <w:jc w:val="both"/>
        <w:ind w:left="640" w:hanging="323"/>
        <w:spacing w:after="0" w:line="294"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640" w:hanging="323"/>
        <w:spacing w:after="0" w:line="275"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6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11, 2025</w:t>
      </w:r>
    </w:p>
    <w:p>
      <w:pPr>
        <w:spacing w:after="0" w:line="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21031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6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Louis Ferraro</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3"/>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June 30, 2025;</w:t>
      </w:r>
    </w:p>
    <w:p>
      <w:pPr>
        <w:spacing w:after="0" w:line="182" w:lineRule="exact"/>
        <w:rPr>
          <w:rFonts w:ascii="Times New Roman" w:cs="Times New Roman" w:eastAsia="Times New Roman" w:hAnsi="Times New Roman"/>
          <w:sz w:val="17"/>
          <w:szCs w:val="17"/>
          <w:color w:val="auto"/>
        </w:rPr>
      </w:pPr>
    </w:p>
    <w:p>
      <w:pPr>
        <w:jc w:val="both"/>
        <w:ind w:left="640" w:hanging="323"/>
        <w:spacing w:after="0" w:line="294"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640" w:hanging="323"/>
        <w:spacing w:after="0" w:line="275"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11, 2025</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21590</wp:posOffset>
            </wp:positionV>
            <wp:extent cx="2955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86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June 30, 2025, as filed with the Securities and Exchange Commission on the date hereof (the “Report”), 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the Chief Executive Officer of the Company, hereby certify, pursuant to 18 U.S.C. 1350, as adopted pursuant to Section 906 of the Sarbanes-Oxley Act of 2002, to the best of my knowledge and belief that:</w:t>
      </w:r>
    </w:p>
    <w:p>
      <w:pPr>
        <w:spacing w:after="0" w:line="123" w:lineRule="exact"/>
        <w:rPr>
          <w:sz w:val="20"/>
          <w:szCs w:val="20"/>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11, 2025</w:t>
      </w:r>
    </w:p>
    <w:p>
      <w:pPr>
        <w:spacing w:after="0" w:line="1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21590</wp:posOffset>
            </wp:positionV>
            <wp:extent cx="2285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June 30, 2025, as filed with the Securities and Exchange Commission on the date hereof (the “Report”), I, </w:t>
      </w:r>
      <w:r>
        <w:rPr>
          <w:rFonts w:ascii="Times New Roman" w:cs="Times New Roman" w:eastAsia="Times New Roman" w:hAnsi="Times New Roman"/>
          <w:sz w:val="17"/>
          <w:szCs w:val="17"/>
          <w:b w:val="1"/>
          <w:bCs w:val="1"/>
          <w:color w:val="auto"/>
        </w:rPr>
        <w:t>Louis Ferraro</w:t>
      </w:r>
      <w:r>
        <w:rPr>
          <w:rFonts w:ascii="Times New Roman" w:cs="Times New Roman" w:eastAsia="Times New Roman" w:hAnsi="Times New Roman"/>
          <w:sz w:val="17"/>
          <w:szCs w:val="17"/>
          <w:color w:val="auto"/>
        </w:rPr>
        <w:t>, the Chief Financial Officer of the Company, hereby certify, pursuant to 18 U.S.C. 1350, as adopted pursuant to Section 906 of the Sarbanes-Oxley Act of 2002, to the best of my knowledge and belief that:</w:t>
      </w:r>
    </w:p>
    <w:p>
      <w:pPr>
        <w:spacing w:after="0" w:line="123" w:lineRule="exact"/>
        <w:rPr>
          <w:sz w:val="20"/>
          <w:szCs w:val="20"/>
          <w:color w:val="auto"/>
        </w:rPr>
      </w:pPr>
    </w:p>
    <w:p>
      <w:pPr>
        <w:ind w:left="620" w:hanging="30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11, 2025</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21590</wp:posOffset>
            </wp:positionV>
            <wp:extent cx="2872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2872740" cy="8255"/>
                    </a:xfrm>
                    <a:prstGeom prst="rect">
                      <a:avLst/>
                    </a:prstGeom>
                    <a:noFill/>
                  </pic:spPr>
                </pic:pic>
              </a:graphicData>
            </a:graphic>
          </wp:anchor>
        </w:drawing>
      </w:r>
    </w:p>
    <w:p>
      <w:pPr>
        <w:spacing w:after="0" w:line="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0" w:lineRule="exact"/>
        <w:rPr>
          <w:sz w:val="20"/>
          <w:szCs w:val="20"/>
          <w:color w:val="auto"/>
        </w:rPr>
      </w:pPr>
    </w:p>
    <w:p>
      <w:pPr>
        <w:spacing w:after="0" w:line="21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1"/>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1"/>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2"/>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2"/>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2"/>
      <w:numFmt w:val="bullet"/>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lowerRoman"/>
      <w:start w:val="6"/>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bullet"/>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1"/>
      <w:numFmt w:val="bullet"/>
      <w:start w:val="1"/>
    </w:lvl>
  </w:abstractNum>
  <w:abstractNum w:abstractNumId="24">
    <w:nsid w:val="54E49EB4"/>
    <w:multiLevelType w:val="hybridMultilevel"/>
    <w:lvl w:ilvl="0">
      <w:lvlJc w:val="left"/>
      <w:lvlText w:val="2"/>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56" Type="http://schemas.openxmlformats.org/officeDocument/2006/relationships/hyperlink" Target="https://www.sec.gov/Archives/edgar/data/1131554/000113155423000013/sncr-123122xex31restatedce.htm" TargetMode="External"/><Relationship Id="rId57" Type="http://schemas.openxmlformats.org/officeDocument/2006/relationships/hyperlink" Target="https://www.sec.gov/Archives/edgar/data/1131554/000113155422000035/sncr-exhx31certificateofam.htm" TargetMode="External"/><Relationship Id="rId58" Type="http://schemas.openxmlformats.org/officeDocument/2006/relationships/hyperlink" Target="https://www.sec.gov/Archives/edgar/data/1131554/000095012306005985/y15440a2exv3w4.txt" TargetMode="External"/><Relationship Id="rId59" Type="http://schemas.openxmlformats.org/officeDocument/2006/relationships/hyperlink" Target="https://www.sec.gov/Archives/edgar/data/1131554/000110465918010721/a18-6289_1ex3d2.htm" TargetMode="External"/><Relationship Id="rId60" Type="http://schemas.openxmlformats.org/officeDocument/2006/relationships/hyperlink" Target="https://www.sec.gov/Archives/edgar/data/1131554/000110465921087598/tm2120300d3_ex3-3.htm" TargetMode="External"/><Relationship Id="rId61" Type="http://schemas.openxmlformats.org/officeDocument/2006/relationships/hyperlink" Target="https://www.sec.gov/Archives/edgar/data/1131554/000110465921087598/tm2120300d3_ex3-1.htm" TargetMode="External"/><Relationship Id="rId62" Type="http://schemas.openxmlformats.org/officeDocument/2006/relationships/hyperlink" Target="https://www.sec.gov/Archives/edgar/data/1131554/000113155423000098/exh31sncr-certificateofame.htm" TargetMode="External"/><Relationship Id="rId63" Type="http://schemas.openxmlformats.org/officeDocument/2006/relationships/hyperlink" Target="https://www.sec.gov/Archives/edgar/data/1131554/000113155424000066/exh31sncr-certificateofeli.htm" TargetMode="External"/><Relationship Id="rId64" Type="http://schemas.openxmlformats.org/officeDocument/2006/relationships/hyperlink" Target="https://www.sec.gov/Archives/edgar/data/1131554/000113155425000043/exh101-1stamtocreditagreem.htm" TargetMode="External"/><Relationship Id="rId65" Type="http://schemas.openxmlformats.org/officeDocument/2006/relationships/hyperlink" Target="https://www.sec.gov/ix?doc=/Archives/edgar/data/0001131554/000113155424000074/sncr-20240630.htm" TargetMode="External"/><Relationship Id="rId66" Type="http://schemas.openxmlformats.org/officeDocument/2006/relationships/hyperlink" Target="https://www.sec.gov/Archives/edgar/data/1131554/000113155424000099/ex101-sncrx2015equityinc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2025-08-11T16:13:41Z</dcterms:created>
  <dcterms:modified xsi:type="dcterms:W3CDTF">2025-08-11T16:13:41Z</dcterms:modified>
</cp:coreProperties>
</file>