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151765</wp:posOffset>
            </wp:positionV>
            <wp:extent cx="677481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4815" cy="25400"/>
                    </a:xfrm>
                    <a:prstGeom prst="rect">
                      <a:avLst/>
                    </a:prstGeom>
                    <a:noFill/>
                  </pic:spPr>
                </pic:pic>
              </a:graphicData>
            </a:graphic>
          </wp:anchor>
        </w:drawing>
      </w:r>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4"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48260</wp:posOffset>
            </wp:positionV>
            <wp:extent cx="10172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17270" cy="6350"/>
                    </a:xfrm>
                    <a:prstGeom prst="rect">
                      <a:avLst/>
                    </a:prstGeom>
                    <a:noFill/>
                  </pic:spPr>
                </pic:pic>
              </a:graphicData>
            </a:graphic>
          </wp:anchor>
        </w:drawing>
      </w:r>
    </w:p>
    <w:p>
      <w:pPr>
        <w:spacing w:after="0" w:line="85" w:lineRule="exact"/>
        <w:rPr>
          <w:sz w:val="20"/>
          <w:szCs w:val="20"/>
          <w:color w:val="auto"/>
        </w:rPr>
      </w:pPr>
    </w:p>
    <w:p>
      <w:pPr>
        <w:jc w:val="center"/>
        <w:ind w:right="-379"/>
        <w:spacing w:after="0"/>
        <w:rPr>
          <w:sz w:val="20"/>
          <w:szCs w:val="20"/>
          <w:color w:val="auto"/>
        </w:rPr>
      </w:pPr>
      <w:r>
        <w:rPr>
          <w:rFonts w:ascii="Arial" w:cs="Arial" w:eastAsia="Arial" w:hAnsi="Arial"/>
          <w:sz w:val="24"/>
          <w:szCs w:val="24"/>
          <w:b w:val="1"/>
          <w:bCs w:val="1"/>
          <w:color w:val="auto"/>
        </w:rPr>
        <w:t>Form 10-K</w:t>
      </w:r>
    </w:p>
    <w:p>
      <w:pPr>
        <w:spacing w:after="0" w:line="40" w:lineRule="exact"/>
        <w:rPr>
          <w:sz w:val="20"/>
          <w:szCs w:val="20"/>
          <w:color w:val="auto"/>
        </w:rPr>
      </w:pPr>
    </w:p>
    <w:p>
      <w:pPr>
        <w:ind w:left="1740" w:hanging="819"/>
        <w:spacing w:after="0"/>
        <w:tabs>
          <w:tab w:leader="none" w:pos="17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182" w:lineRule="exact"/>
        <w:rPr>
          <w:sz w:val="20"/>
          <w:szCs w:val="20"/>
          <w:color w:val="auto"/>
        </w:rPr>
      </w:pPr>
    </w:p>
    <w:p>
      <w:pPr>
        <w:ind w:left="1740" w:hanging="790"/>
        <w:spacing w:after="0"/>
        <w:tabs>
          <w:tab w:leader="none" w:pos="174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0980"/>
          </w:cols>
          <w:pgMar w:left="220" w:top="127" w:right="699" w:bottom="1440" w:gutter="0" w:footer="0" w:header="0"/>
        </w:sectPr>
      </w:pPr>
    </w:p>
    <w:p>
      <w:pPr>
        <w:spacing w:after="0" w:line="32" w:lineRule="exact"/>
        <w:rPr>
          <w:sz w:val="20"/>
          <w:szCs w:val="20"/>
          <w:color w:val="auto"/>
        </w:rPr>
      </w:pPr>
    </w:p>
    <w:p>
      <w:pPr>
        <w:ind w:left="1740"/>
        <w:spacing w:after="0"/>
        <w:rPr>
          <w:sz w:val="20"/>
          <w:szCs w:val="20"/>
          <w:color w:val="auto"/>
        </w:rPr>
      </w:pPr>
      <w:r>
        <w:rPr>
          <w:rFonts w:ascii="Arial" w:cs="Arial" w:eastAsia="Arial" w:hAnsi="Arial"/>
          <w:sz w:val="12"/>
          <w:szCs w:val="12"/>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to</w:t>
      </w:r>
    </w:p>
    <w:p>
      <w:pPr>
        <w:spacing w:after="0" w:line="132" w:lineRule="exact"/>
        <w:rPr>
          <w:sz w:val="20"/>
          <w:szCs w:val="20"/>
          <w:color w:val="auto"/>
        </w:rPr>
      </w:pPr>
    </w:p>
    <w:p>
      <w:pPr>
        <w:sectPr>
          <w:pgSz w:w="11900" w:h="16838" w:orient="portrait"/>
          <w:cols w:equalWidth="0" w:num="2">
            <w:col w:w="3440" w:space="340"/>
            <w:col w:w="7200"/>
          </w:cols>
          <w:pgMar w:left="220" w:top="127" w:right="699" w:bottom="1440" w:gutter="0" w:footer="0" w:header="0"/>
          <w:type w:val="continuous"/>
        </w:sectPr>
      </w:pPr>
    </w:p>
    <w:p>
      <w:pPr>
        <w:jc w:val="center"/>
        <w:ind w:right="-379"/>
        <w:spacing w:after="0"/>
        <w:rPr>
          <w:sz w:val="20"/>
          <w:szCs w:val="20"/>
          <w:color w:val="auto"/>
        </w:rPr>
      </w:pPr>
      <w:r>
        <w:rPr>
          <w:rFonts w:ascii="Arial" w:cs="Arial" w:eastAsia="Arial" w:hAnsi="Arial"/>
          <w:sz w:val="11"/>
          <w:szCs w:val="11"/>
          <w:b w:val="1"/>
          <w:bCs w:val="1"/>
          <w:color w:val="auto"/>
        </w:rPr>
        <w:t>Commission file number 000-52049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97155</wp:posOffset>
            </wp:positionV>
            <wp:extent cx="10172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7270" cy="6350"/>
                    </a:xfrm>
                    <a:prstGeom prst="rect">
                      <a:avLst/>
                    </a:prstGeom>
                    <a:noFill/>
                  </pic:spPr>
                </pic:pic>
              </a:graphicData>
            </a:graphic>
          </wp:anchor>
        </w:drawing>
      </w:r>
    </w:p>
    <w:p>
      <w:pPr>
        <w:sectPr>
          <w:pgSz w:w="11900" w:h="16838" w:orient="portrait"/>
          <w:cols w:equalWidth="0" w:num="1">
            <w:col w:w="10980"/>
          </w:cols>
          <w:pgMar w:left="220" w:top="127" w:right="699" w:bottom="1440" w:gutter="0" w:footer="0" w:header="0"/>
          <w:type w:val="continuous"/>
        </w:sectPr>
      </w:pPr>
    </w:p>
    <w:p>
      <w:pPr>
        <w:spacing w:after="0" w:line="181" w:lineRule="exact"/>
        <w:rPr>
          <w:sz w:val="20"/>
          <w:szCs w:val="20"/>
          <w:color w:val="auto"/>
        </w:rPr>
      </w:pPr>
    </w:p>
    <w:p>
      <w:pPr>
        <w:jc w:val="center"/>
        <w:ind w:right="-379"/>
        <w:spacing w:after="0"/>
        <w:rPr>
          <w:sz w:val="20"/>
          <w:szCs w:val="20"/>
          <w:color w:val="auto"/>
        </w:rPr>
      </w:pPr>
      <w:r>
        <w:rPr>
          <w:rFonts w:ascii="Arial" w:cs="Arial" w:eastAsia="Arial" w:hAnsi="Arial"/>
          <w:sz w:val="31"/>
          <w:szCs w:val="31"/>
          <w:b w:val="1"/>
          <w:bCs w:val="1"/>
          <w:color w:val="auto"/>
        </w:rPr>
        <w:t>SYNCHRONOSS TECHNOLOGIES, INC.</w:t>
      </w:r>
    </w:p>
    <w:p>
      <w:pPr>
        <w:spacing w:after="0" w:line="33" w:lineRule="exact"/>
        <w:rPr>
          <w:sz w:val="20"/>
          <w:szCs w:val="20"/>
          <w:color w:val="auto"/>
        </w:rPr>
      </w:pPr>
    </w:p>
    <w:p>
      <w:pPr>
        <w:jc w:val="center"/>
        <w:ind w:right="-379"/>
        <w:spacing w:after="0"/>
        <w:rPr>
          <w:sz w:val="20"/>
          <w:szCs w:val="20"/>
          <w:color w:val="auto"/>
        </w:rPr>
      </w:pPr>
      <w:r>
        <w:rPr>
          <w:rFonts w:ascii="Arial" w:cs="Arial" w:eastAsia="Arial" w:hAnsi="Arial"/>
          <w:sz w:val="11"/>
          <w:szCs w:val="11"/>
          <w:i w:val="1"/>
          <w:iCs w:val="1"/>
          <w:color w:val="auto"/>
        </w:rPr>
        <w:t>(Exact name of registrant as specified in its charter)</w:t>
      </w:r>
    </w:p>
    <w:p>
      <w:pPr>
        <w:sectPr>
          <w:pgSz w:w="11900" w:h="16838" w:orient="portrait"/>
          <w:cols w:equalWidth="0" w:num="1">
            <w:col w:w="10980"/>
          </w:cols>
          <w:pgMar w:left="220" w:top="127" w:right="699" w:bottom="1440" w:gutter="0" w:footer="0" w:header="0"/>
          <w:type w:val="continuous"/>
        </w:sectPr>
      </w:pPr>
    </w:p>
    <w:p>
      <w:pPr>
        <w:spacing w:after="0" w:line="36" w:lineRule="exact"/>
        <w:rPr>
          <w:sz w:val="20"/>
          <w:szCs w:val="20"/>
          <w:color w:val="auto"/>
        </w:rPr>
      </w:pPr>
    </w:p>
    <w:p>
      <w:pPr>
        <w:ind w:left="276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06-1594540</w:t>
      </w:r>
    </w:p>
    <w:p>
      <w:pPr>
        <w:spacing w:after="0" w:line="43" w:lineRule="exact"/>
        <w:rPr>
          <w:sz w:val="20"/>
          <w:szCs w:val="20"/>
          <w:color w:val="auto"/>
        </w:rPr>
      </w:pPr>
    </w:p>
    <w:p>
      <w:pPr>
        <w:sectPr>
          <w:pgSz w:w="11900" w:h="16838" w:orient="portrait"/>
          <w:cols w:equalWidth="0" w:num="2">
            <w:col w:w="7360" w:space="720"/>
            <w:col w:w="2900"/>
          </w:cols>
          <w:pgMar w:left="220" w:top="127" w:right="699" w:bottom="1440" w:gutter="0" w:footer="0" w:header="0"/>
          <w:type w:val="continuous"/>
        </w:sectPr>
      </w:pPr>
    </w:p>
    <w:p>
      <w:pPr>
        <w:ind w:left="2520"/>
        <w:spacing w:after="0"/>
        <w:rPr>
          <w:sz w:val="20"/>
          <w:szCs w:val="20"/>
          <w:color w:val="auto"/>
        </w:rPr>
      </w:pPr>
      <w:r>
        <w:rPr>
          <w:rFonts w:ascii="Arial" w:cs="Arial" w:eastAsia="Arial" w:hAnsi="Arial"/>
          <w:sz w:val="9"/>
          <w:szCs w:val="9"/>
          <w:i w:val="1"/>
          <w:iCs w:val="1"/>
          <w:color w:val="auto"/>
        </w:rPr>
        <w:t>(State of incorporation)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i w:val="1"/>
          <w:iCs w:val="1"/>
          <w:color w:val="auto"/>
        </w:rPr>
        <w:t>(IRS Employer Identification No.)</w:t>
      </w:r>
    </w:p>
    <w:p>
      <w:pPr>
        <w:spacing w:after="0" w:line="172" w:lineRule="exact"/>
        <w:rPr>
          <w:sz w:val="20"/>
          <w:szCs w:val="20"/>
          <w:color w:val="auto"/>
        </w:rPr>
      </w:pPr>
    </w:p>
    <w:p>
      <w:pPr>
        <w:sectPr>
          <w:pgSz w:w="11900" w:h="16838" w:orient="portrait"/>
          <w:cols w:equalWidth="0" w:num="2">
            <w:col w:w="6960" w:space="720"/>
            <w:col w:w="3300"/>
          </w:cols>
          <w:pgMar w:left="220" w:top="127" w:right="699" w:bottom="1440" w:gutter="0" w:footer="0" w:header="0"/>
          <w:type w:val="continuous"/>
        </w:sectPr>
      </w:pPr>
    </w:p>
    <w:p>
      <w:pPr>
        <w:jc w:val="center"/>
        <w:ind w:right="-379"/>
        <w:spacing w:after="0"/>
        <w:rPr>
          <w:sz w:val="20"/>
          <w:szCs w:val="20"/>
          <w:color w:val="auto"/>
        </w:rPr>
      </w:pPr>
      <w:r>
        <w:rPr>
          <w:rFonts w:ascii="Arial" w:cs="Arial" w:eastAsia="Arial" w:hAnsi="Arial"/>
          <w:sz w:val="11"/>
          <w:szCs w:val="11"/>
          <w:b w:val="1"/>
          <w:bCs w:val="1"/>
          <w:color w:val="auto"/>
        </w:rPr>
        <w:t>750 Route 202 South, Suite 600, Bridgewater, New Jersey 08807</w:t>
      </w:r>
    </w:p>
    <w:p>
      <w:pPr>
        <w:spacing w:after="0" w:line="37" w:lineRule="exact"/>
        <w:rPr>
          <w:sz w:val="20"/>
          <w:szCs w:val="20"/>
          <w:color w:val="auto"/>
        </w:rPr>
      </w:pPr>
    </w:p>
    <w:p>
      <w:pPr>
        <w:jc w:val="center"/>
        <w:ind w:right="-379"/>
        <w:spacing w:after="0"/>
        <w:rPr>
          <w:sz w:val="20"/>
          <w:szCs w:val="20"/>
          <w:color w:val="auto"/>
        </w:rPr>
      </w:pPr>
      <w:r>
        <w:rPr>
          <w:rFonts w:ascii="Arial" w:cs="Arial" w:eastAsia="Arial" w:hAnsi="Arial"/>
          <w:sz w:val="11"/>
          <w:szCs w:val="11"/>
          <w:i w:val="1"/>
          <w:iCs w:val="1"/>
          <w:color w:val="auto"/>
        </w:rPr>
        <w:t>(Address of principal executive offices, including ZIP code)</w:t>
      </w:r>
    </w:p>
    <w:p>
      <w:pPr>
        <w:spacing w:after="0" w:line="106" w:lineRule="exact"/>
        <w:rPr>
          <w:sz w:val="20"/>
          <w:szCs w:val="20"/>
          <w:color w:val="auto"/>
        </w:rPr>
      </w:pPr>
    </w:p>
    <w:p>
      <w:pPr>
        <w:jc w:val="center"/>
        <w:ind w:right="-379"/>
        <w:spacing w:after="0"/>
        <w:rPr>
          <w:sz w:val="20"/>
          <w:szCs w:val="20"/>
          <w:color w:val="auto"/>
        </w:rPr>
      </w:pPr>
      <w:r>
        <w:rPr>
          <w:rFonts w:ascii="Arial" w:cs="Arial" w:eastAsia="Arial" w:hAnsi="Arial"/>
          <w:sz w:val="13"/>
          <w:szCs w:val="13"/>
          <w:b w:val="1"/>
          <w:bCs w:val="1"/>
          <w:color w:val="auto"/>
        </w:rPr>
        <w:t>(866) 620-3940</w:t>
      </w:r>
    </w:p>
    <w:p>
      <w:pPr>
        <w:spacing w:after="0" w:line="14" w:lineRule="exact"/>
        <w:rPr>
          <w:sz w:val="20"/>
          <w:szCs w:val="20"/>
          <w:color w:val="auto"/>
        </w:rPr>
      </w:pPr>
    </w:p>
    <w:p>
      <w:pPr>
        <w:jc w:val="center"/>
        <w:ind w:right="-379"/>
        <w:spacing w:after="0"/>
        <w:rPr>
          <w:sz w:val="20"/>
          <w:szCs w:val="20"/>
          <w:color w:val="auto"/>
        </w:rPr>
      </w:pPr>
      <w:r>
        <w:rPr>
          <w:rFonts w:ascii="Arial" w:cs="Arial" w:eastAsia="Arial" w:hAnsi="Arial"/>
          <w:sz w:val="11"/>
          <w:szCs w:val="11"/>
          <w:i w:val="1"/>
          <w:iCs w:val="1"/>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56515</wp:posOffset>
            </wp:positionV>
            <wp:extent cx="10172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7270" cy="6350"/>
                    </a:xfrm>
                    <a:prstGeom prst="rect">
                      <a:avLst/>
                    </a:prstGeom>
                    <a:noFill/>
                  </pic:spPr>
                </pic:pic>
              </a:graphicData>
            </a:graphic>
          </wp:anchor>
        </w:drawing>
      </w:r>
    </w:p>
    <w:p>
      <w:pPr>
        <w:spacing w:after="0" w:line="115" w:lineRule="exact"/>
        <w:rPr>
          <w:sz w:val="20"/>
          <w:szCs w:val="20"/>
          <w:color w:val="auto"/>
        </w:rPr>
      </w:pPr>
    </w:p>
    <w:p>
      <w:pPr>
        <w:jc w:val="center"/>
        <w:ind w:right="-379"/>
        <w:spacing w:after="0"/>
        <w:rPr>
          <w:sz w:val="20"/>
          <w:szCs w:val="20"/>
          <w:color w:val="auto"/>
        </w:rPr>
      </w:pPr>
      <w:r>
        <w:rPr>
          <w:rFonts w:ascii="Arial" w:cs="Arial" w:eastAsia="Arial" w:hAnsi="Arial"/>
          <w:sz w:val="12"/>
          <w:szCs w:val="12"/>
          <w:b w:val="1"/>
          <w:bCs w:val="1"/>
          <w:color w:val="auto"/>
        </w:rPr>
        <w:t>Securities registered pursuant to Section 12(b) of the Act:</w:t>
      </w:r>
    </w:p>
    <w:p>
      <w:pPr>
        <w:sectPr>
          <w:pgSz w:w="11900" w:h="16838" w:orient="portrait"/>
          <w:cols w:equalWidth="0" w:num="1">
            <w:col w:w="10980"/>
          </w:cols>
          <w:pgMar w:left="220" w:top="127" w:right="699" w:bottom="1440" w:gutter="0" w:footer="0" w:header="0"/>
          <w:type w:val="continuous"/>
        </w:sectPr>
      </w:pPr>
    </w:p>
    <w:p>
      <w:pPr>
        <w:spacing w:after="0" w:line="159" w:lineRule="exact"/>
        <w:rPr>
          <w:sz w:val="20"/>
          <w:szCs w:val="20"/>
          <w:color w:val="auto"/>
        </w:rPr>
      </w:pPr>
    </w:p>
    <w:p>
      <w:pPr>
        <w:jc w:val="center"/>
        <w:ind w:right="48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0"/>
          <w:szCs w:val="20"/>
          <w:color w:val="auto"/>
        </w:rPr>
      </w:pPr>
    </w:p>
    <w:p>
      <w:pPr>
        <w:jc w:val="center"/>
        <w:ind w:right="480"/>
        <w:spacing w:after="0"/>
        <w:rPr>
          <w:sz w:val="20"/>
          <w:szCs w:val="20"/>
          <w:color w:val="auto"/>
        </w:rPr>
      </w:pPr>
      <w:r>
        <w:rPr>
          <w:rFonts w:ascii="Arial" w:cs="Arial" w:eastAsia="Arial" w:hAnsi="Arial"/>
          <w:sz w:val="11"/>
          <w:szCs w:val="11"/>
          <w:b w:val="1"/>
          <w:bCs w:val="1"/>
          <w:color w:val="auto"/>
        </w:rPr>
        <w:t>Common Stock, par value $.0001 par value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ind w:right="1300"/>
        <w:spacing w:after="0"/>
        <w:rPr>
          <w:sz w:val="20"/>
          <w:szCs w:val="20"/>
          <w:color w:val="auto"/>
        </w:rPr>
      </w:pPr>
      <w:r>
        <w:rPr>
          <w:rFonts w:ascii="Arial" w:cs="Arial" w:eastAsia="Arial" w:hAnsi="Arial"/>
          <w:sz w:val="11"/>
          <w:szCs w:val="11"/>
          <w:b w:val="1"/>
          <w:bCs w:val="1"/>
          <w:color w:val="auto"/>
        </w:rPr>
        <w:t>Name of each exchange on which registered</w:t>
      </w:r>
    </w:p>
    <w:p>
      <w:pPr>
        <w:spacing w:after="0" w:line="43" w:lineRule="exact"/>
        <w:rPr>
          <w:sz w:val="20"/>
          <w:szCs w:val="20"/>
          <w:color w:val="auto"/>
        </w:rPr>
      </w:pPr>
    </w:p>
    <w:p>
      <w:pPr>
        <w:jc w:val="center"/>
        <w:ind w:right="1300"/>
        <w:spacing w:after="0"/>
        <w:rPr>
          <w:sz w:val="20"/>
          <w:szCs w:val="20"/>
          <w:color w:val="auto"/>
        </w:rPr>
      </w:pPr>
      <w:r>
        <w:rPr>
          <w:rFonts w:ascii="Arial" w:cs="Arial" w:eastAsia="Arial" w:hAnsi="Arial"/>
          <w:sz w:val="13"/>
          <w:szCs w:val="13"/>
          <w:b w:val="1"/>
          <w:bCs w:val="1"/>
          <w:color w:val="auto"/>
        </w:rPr>
        <w:t>The NASDAQ Stock Market, LLC</w:t>
      </w:r>
    </w:p>
    <w:p>
      <w:pPr>
        <w:spacing w:after="0" w:line="57" w:lineRule="exact"/>
        <w:rPr>
          <w:sz w:val="20"/>
          <w:szCs w:val="20"/>
          <w:color w:val="auto"/>
        </w:rPr>
      </w:pPr>
    </w:p>
    <w:p>
      <w:pPr>
        <w:sectPr>
          <w:pgSz w:w="11900" w:h="16838" w:orient="portrait"/>
          <w:cols w:equalWidth="0" w:num="2">
            <w:col w:w="6500" w:space="720"/>
            <w:col w:w="3760"/>
          </w:cols>
          <w:pgMar w:left="220" w:top="127" w:right="699" w:bottom="1440" w:gutter="0" w:footer="0" w:header="0"/>
          <w:type w:val="continuous"/>
        </w:sectPr>
      </w:pPr>
    </w:p>
    <w:p>
      <w:pPr>
        <w:jc w:val="center"/>
        <w:ind w:right="-379"/>
        <w:spacing w:after="0"/>
        <w:rPr>
          <w:sz w:val="20"/>
          <w:szCs w:val="20"/>
          <w:color w:val="auto"/>
        </w:rPr>
      </w:pPr>
      <w:r>
        <w:rPr>
          <w:rFonts w:ascii="Arial" w:cs="Arial" w:eastAsia="Arial" w:hAnsi="Arial"/>
          <w:sz w:val="13"/>
          <w:szCs w:val="13"/>
          <w:b w:val="1"/>
          <w:bCs w:val="1"/>
          <w:color w:val="auto"/>
        </w:rPr>
        <w:t>Securities registered pursuant to Section 12(g) of the Act:</w:t>
      </w:r>
    </w:p>
    <w:p>
      <w:pPr>
        <w:spacing w:after="0" w:line="20" w:lineRule="exact"/>
        <w:rPr>
          <w:sz w:val="20"/>
          <w:szCs w:val="20"/>
          <w:color w:val="auto"/>
        </w:rPr>
      </w:pPr>
    </w:p>
    <w:p>
      <w:pPr>
        <w:jc w:val="center"/>
        <w:ind w:right="-379"/>
        <w:spacing w:after="0"/>
        <w:rPr>
          <w:sz w:val="20"/>
          <w:szCs w:val="20"/>
          <w:color w:val="auto"/>
        </w:rPr>
      </w:pPr>
      <w:r>
        <w:rPr>
          <w:rFonts w:ascii="Arial" w:cs="Arial" w:eastAsia="Arial" w:hAnsi="Arial"/>
          <w:sz w:val="13"/>
          <w:szCs w:val="13"/>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75565</wp:posOffset>
            </wp:positionV>
            <wp:extent cx="101727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7270" cy="6350"/>
                    </a:xfrm>
                    <a:prstGeom prst="rect">
                      <a:avLst/>
                    </a:prstGeom>
                    <a:noFill/>
                  </pic:spPr>
                </pic:pic>
              </a:graphicData>
            </a:graphic>
          </wp:anchor>
        </w:drawing>
      </w:r>
    </w:p>
    <w:p>
      <w:pPr>
        <w:spacing w:after="0" w:line="174" w:lineRule="exact"/>
        <w:rPr>
          <w:sz w:val="20"/>
          <w:szCs w:val="20"/>
          <w:color w:val="auto"/>
        </w:rPr>
      </w:pPr>
    </w:p>
    <w:p>
      <w:pPr>
        <w:ind w:left="660"/>
        <w:spacing w:after="0" w:line="138" w:lineRule="exact"/>
        <w:tabs>
          <w:tab w:leader="none" w:pos="8120" w:val="left"/>
        </w:tabs>
        <w:rPr>
          <w:sz w:val="20"/>
          <w:szCs w:val="20"/>
          <w:color w:val="auto"/>
        </w:rPr>
      </w:pPr>
      <w:r>
        <w:rPr>
          <w:rFonts w:ascii="Arial" w:cs="Arial" w:eastAsia="Arial" w:hAnsi="Arial"/>
          <w:sz w:val="12"/>
          <w:szCs w:val="12"/>
          <w:color w:val="auto"/>
        </w:rPr>
        <w:t>Indicate by check mark whether the registrant is a well-known seasoned issuer, as defined in Rule 405 of the Securities Act of 1933. Yes o</w:t>
        <w:tab/>
        <w:t xml:space="preserve">No </w:t>
      </w:r>
      <w:r>
        <w:rPr>
          <w:rFonts w:ascii="MS PGothic" w:cs="MS PGothic" w:eastAsia="MS PGothic" w:hAnsi="MS PGothic"/>
          <w:sz w:val="12"/>
          <w:szCs w:val="12"/>
          <w:color w:val="auto"/>
        </w:rPr>
        <w:t>☑</w:t>
      </w:r>
    </w:p>
    <w:p>
      <w:pPr>
        <w:spacing w:after="0" w:line="109" w:lineRule="exact"/>
        <w:rPr>
          <w:sz w:val="20"/>
          <w:szCs w:val="20"/>
          <w:color w:val="auto"/>
        </w:rPr>
      </w:pPr>
    </w:p>
    <w:p>
      <w:pPr>
        <w:ind w:left="660"/>
        <w:spacing w:after="0" w:line="138" w:lineRule="exact"/>
        <w:tabs>
          <w:tab w:leader="none" w:pos="10180" w:val="left"/>
        </w:tabs>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Securities Exchange Act of 1934 (the “Exchange Act”). Yes o</w:t>
        <w:tab/>
        <w:t xml:space="preserve">No </w:t>
      </w:r>
      <w:r>
        <w:rPr>
          <w:rFonts w:ascii="MS PGothic" w:cs="MS PGothic" w:eastAsia="MS PGothic" w:hAnsi="MS PGothic"/>
          <w:sz w:val="12"/>
          <w:szCs w:val="12"/>
          <w:color w:val="auto"/>
        </w:rPr>
        <w:t>☑</w:t>
      </w:r>
    </w:p>
    <w:p>
      <w:pPr>
        <w:spacing w:after="0" w:line="134" w:lineRule="exact"/>
        <w:rPr>
          <w:sz w:val="20"/>
          <w:szCs w:val="20"/>
          <w:color w:val="auto"/>
        </w:rPr>
      </w:pPr>
    </w:p>
    <w:p>
      <w:pPr>
        <w:ind w:left="340" w:right="180" w:firstLine="320"/>
        <w:spacing w:after="0" w:line="170"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7" w:lineRule="exact"/>
        <w:rPr>
          <w:sz w:val="20"/>
          <w:szCs w:val="20"/>
          <w:color w:val="auto"/>
        </w:rPr>
      </w:pPr>
    </w:p>
    <w:p>
      <w:pPr>
        <w:ind w:left="340" w:right="420" w:firstLine="320"/>
        <w:spacing w:after="0" w:line="279" w:lineRule="auto"/>
        <w:rPr>
          <w:sz w:val="20"/>
          <w:szCs w:val="20"/>
          <w:color w:val="auto"/>
        </w:rPr>
      </w:pPr>
      <w:r>
        <w:rPr>
          <w:rFonts w:ascii="Arial" w:cs="Arial" w:eastAsia="Arial" w:hAnsi="Arial"/>
          <w:sz w:val="13"/>
          <w:szCs w:val="13"/>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58" w:lineRule="exact"/>
        <w:rPr>
          <w:sz w:val="20"/>
          <w:szCs w:val="20"/>
          <w:color w:val="auto"/>
        </w:rPr>
      </w:pPr>
    </w:p>
    <w:p>
      <w:pPr>
        <w:ind w:left="340" w:firstLine="320"/>
        <w:spacing w:after="0" w:line="27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980"/>
          </w:cols>
          <w:pgMar w:left="220" w:top="127" w:right="699" w:bottom="1440" w:gutter="0" w:footer="0" w:header="0"/>
          <w:type w:val="continuous"/>
        </w:sectPr>
      </w:pPr>
    </w:p>
    <w:p>
      <w:pPr>
        <w:spacing w:after="0" w:line="68" w:lineRule="exact"/>
        <w:rPr>
          <w:sz w:val="20"/>
          <w:szCs w:val="20"/>
          <w:color w:val="auto"/>
        </w:rPr>
      </w:pPr>
    </w:p>
    <w:p>
      <w:pPr>
        <w:ind w:left="340"/>
        <w:spacing w:after="0"/>
        <w:rPr>
          <w:sz w:val="20"/>
          <w:szCs w:val="20"/>
          <w:color w:val="auto"/>
        </w:rPr>
      </w:pPr>
      <w:r>
        <w:rPr>
          <w:rFonts w:ascii="Arial" w:cs="Arial" w:eastAsia="Arial" w:hAnsi="Arial"/>
          <w:sz w:val="11"/>
          <w:szCs w:val="11"/>
          <w:color w:val="auto"/>
        </w:rPr>
        <w:t>Large accelerated filer o</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38"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540"/>
        <w:spacing w:after="0"/>
        <w:rPr>
          <w:sz w:val="20"/>
          <w:szCs w:val="20"/>
          <w:color w:val="auto"/>
        </w:rPr>
      </w:pPr>
      <w:r>
        <w:rPr>
          <w:rFonts w:ascii="Arial" w:cs="Arial" w:eastAsia="Arial" w:hAnsi="Arial"/>
          <w:sz w:val="13"/>
          <w:szCs w:val="13"/>
          <w:color w:val="auto"/>
        </w:rPr>
        <w:t>Non-accelerated filer o</w:t>
      </w:r>
    </w:p>
    <w:p>
      <w:pPr>
        <w:spacing w:after="0" w:line="16" w:lineRule="exact"/>
        <w:rPr>
          <w:sz w:val="20"/>
          <w:szCs w:val="20"/>
          <w:color w:val="auto"/>
        </w:rPr>
      </w:pPr>
    </w:p>
    <w:p>
      <w:pPr>
        <w:jc w:val="center"/>
        <w:ind w:right="540"/>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42" w:lineRule="exact"/>
        <w:rPr>
          <w:sz w:val="20"/>
          <w:szCs w:val="20"/>
          <w:color w:val="auto"/>
        </w:rPr>
      </w:pPr>
    </w:p>
    <w:p>
      <w:pPr>
        <w:sectPr>
          <w:pgSz w:w="11900" w:h="16838" w:orient="portrait"/>
          <w:cols w:equalWidth="0" w:num="4">
            <w:col w:w="2480" w:space="720"/>
            <w:col w:w="1400" w:space="720"/>
            <w:col w:w="2980" w:space="720"/>
            <w:col w:w="1960"/>
          </w:cols>
          <w:pgMar w:left="220" w:top="127" w:right="69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33" w:lineRule="exact"/>
        <w:rPr>
          <w:sz w:val="20"/>
          <w:szCs w:val="20"/>
          <w:color w:val="auto"/>
        </w:rPr>
      </w:pPr>
    </w:p>
    <w:p>
      <w:pPr>
        <w:sectPr>
          <w:pgSz w:w="11900" w:h="16838" w:orient="portrait"/>
          <w:cols w:equalWidth="0" w:num="2">
            <w:col w:w="7000" w:space="160"/>
            <w:col w:w="3820"/>
          </w:cols>
          <w:pgMar w:left="220" w:top="127" w:right="699" w:bottom="1440" w:gutter="0" w:footer="0" w:header="0"/>
          <w:type w:val="continuous"/>
        </w:sectPr>
      </w:pPr>
    </w:p>
    <w:p>
      <w:pPr>
        <w:ind w:left="340" w:right="60" w:firstLine="320"/>
        <w:spacing w:after="0" w:line="279" w:lineRule="auto"/>
        <w:rPr>
          <w:sz w:val="20"/>
          <w:szCs w:val="20"/>
          <w:color w:val="auto"/>
        </w:rPr>
      </w:pPr>
      <w:r>
        <w:rPr>
          <w:rFonts w:ascii="Arial" w:cs="Arial" w:eastAsia="Arial" w:hAnsi="Arial"/>
          <w:sz w:val="13"/>
          <w:szCs w:val="13"/>
          <w:color w:val="auto"/>
        </w:rPr>
        <w:t>The aggregate market value of the voting and non-voting common stock held by non-affiliates of the Registrant as of June 30, 2007, based upon the closing price of the common stock as reported by The NASDAQ Stock Market on such date was approximately $680 million.</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As of February 15, 2008, a total of 32,706,972 shares of the Registrant’s common stock were outstanding.</w:t>
      </w:r>
    </w:p>
    <w:p>
      <w:pPr>
        <w:spacing w:after="0" w:line="173" w:lineRule="exact"/>
        <w:rPr>
          <w:sz w:val="20"/>
          <w:szCs w:val="20"/>
          <w:color w:val="auto"/>
        </w:rPr>
      </w:pPr>
    </w:p>
    <w:p>
      <w:pPr>
        <w:jc w:val="center"/>
        <w:ind w:right="-379"/>
        <w:spacing w:after="0"/>
        <w:rPr>
          <w:sz w:val="20"/>
          <w:szCs w:val="20"/>
          <w:color w:val="auto"/>
        </w:rPr>
      </w:pPr>
      <w:r>
        <w:rPr>
          <w:rFonts w:ascii="Arial" w:cs="Arial" w:eastAsia="Arial" w:hAnsi="Arial"/>
          <w:sz w:val="13"/>
          <w:szCs w:val="13"/>
          <w:b w:val="1"/>
          <w:bCs w:val="1"/>
          <w:color w:val="auto"/>
        </w:rPr>
        <w:t>DOCUMENTS INCORPORATED BY REFERENCE</w:t>
      </w:r>
    </w:p>
    <w:p>
      <w:pPr>
        <w:spacing w:after="0" w:line="102" w:lineRule="exact"/>
        <w:rPr>
          <w:sz w:val="20"/>
          <w:szCs w:val="20"/>
          <w:color w:val="auto"/>
        </w:rPr>
      </w:pPr>
    </w:p>
    <w:p>
      <w:pPr>
        <w:ind w:left="340" w:right="180" w:firstLine="320"/>
        <w:spacing w:after="0" w:line="266" w:lineRule="auto"/>
        <w:rPr>
          <w:sz w:val="20"/>
          <w:szCs w:val="20"/>
          <w:color w:val="auto"/>
        </w:rPr>
      </w:pPr>
      <w:r>
        <w:rPr>
          <w:rFonts w:ascii="Arial" w:cs="Arial" w:eastAsia="Arial" w:hAnsi="Arial"/>
          <w:sz w:val="13"/>
          <w:szCs w:val="13"/>
          <w:color w:val="auto"/>
        </w:rPr>
        <w:t>Information required by Part III (Items 10, 11, 12, 13 and 14) is incorporated by reference to portions of the registrant’s definitive Proxy Statement for its 2008 Annual Meeting of Stockholders (the “Proxy Statement”), which is expected to be filed not later than 120 days after the registrant’s fiscal year ended December 31, 2007. Except as expressly incorporated by reference, the Proxy Statement shall not be deemed to be a part of this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66675</wp:posOffset>
            </wp:positionV>
            <wp:extent cx="677481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4815" cy="19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182880</wp:posOffset>
            </wp:positionV>
            <wp:extent cx="72898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980"/>
          </w:cols>
          <w:pgMar w:left="220" w:top="127" w:right="6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80" w:type="dxa"/>
            <w:vAlign w:val="bottom"/>
            <w:gridSpan w:val="15"/>
          </w:tcPr>
          <w:p>
            <w:pPr>
              <w:jc w:val="center"/>
              <w:ind w:right="3200"/>
              <w:spacing w:after="0"/>
              <w:rPr>
                <w:sz w:val="20"/>
                <w:szCs w:val="20"/>
                <w:color w:val="auto"/>
              </w:rPr>
            </w:pPr>
            <w:r>
              <w:rPr>
                <w:rFonts w:ascii="Arial" w:cs="Arial" w:eastAsia="Arial" w:hAnsi="Arial"/>
                <w:sz w:val="13"/>
                <w:szCs w:val="13"/>
                <w:b w:val="1"/>
                <w:bCs w:val="1"/>
                <w:color w:val="auto"/>
              </w:rPr>
              <w:t>SYNCHRONOSS TECHNOLOGIES, INC.</w:t>
            </w:r>
          </w:p>
        </w:tc>
        <w:tc>
          <w:tcPr>
            <w:tcW w:w="440" w:type="dxa"/>
            <w:vAlign w:val="bottom"/>
          </w:tcPr>
          <w:p>
            <w:pPr>
              <w:spacing w:after="0"/>
              <w:rPr>
                <w:sz w:val="14"/>
                <w:szCs w:val="14"/>
                <w:color w:val="auto"/>
              </w:rPr>
            </w:pPr>
          </w:p>
        </w:tc>
      </w:tr>
      <w:tr>
        <w:trPr>
          <w:trHeight w:val="247"/>
        </w:trPr>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0" w:type="dxa"/>
            <w:vAlign w:val="bottom"/>
            <w:gridSpan w:val="12"/>
          </w:tcPr>
          <w:p>
            <w:pPr>
              <w:jc w:val="center"/>
              <w:ind w:right="3880"/>
              <w:spacing w:after="0"/>
              <w:rPr>
                <w:sz w:val="20"/>
                <w:szCs w:val="20"/>
                <w:color w:val="auto"/>
              </w:rPr>
            </w:pPr>
            <w:r>
              <w:rPr>
                <w:rFonts w:ascii="Arial" w:cs="Arial" w:eastAsia="Arial" w:hAnsi="Arial"/>
                <w:sz w:val="13"/>
                <w:szCs w:val="13"/>
                <w:b w:val="1"/>
                <w:bCs w:val="1"/>
                <w:color w:val="auto"/>
              </w:rPr>
              <w:t>FORM 10-K</w:t>
            </w:r>
          </w:p>
        </w:tc>
        <w:tc>
          <w:tcPr>
            <w:tcW w:w="440" w:type="dxa"/>
            <w:vAlign w:val="bottom"/>
          </w:tcPr>
          <w:p>
            <w:pPr>
              <w:spacing w:after="0"/>
              <w:rPr>
                <w:sz w:val="21"/>
                <w:szCs w:val="21"/>
                <w:color w:val="auto"/>
              </w:rPr>
            </w:pPr>
          </w:p>
        </w:tc>
      </w:tr>
      <w:tr>
        <w:trPr>
          <w:trHeight w:val="247"/>
        </w:trPr>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0" w:type="dxa"/>
            <w:vAlign w:val="bottom"/>
            <w:gridSpan w:val="12"/>
          </w:tcPr>
          <w:p>
            <w:pPr>
              <w:jc w:val="center"/>
              <w:ind w:right="3900"/>
              <w:spacing w:after="0"/>
              <w:rPr>
                <w:sz w:val="20"/>
                <w:szCs w:val="20"/>
                <w:color w:val="auto"/>
              </w:rPr>
            </w:pPr>
            <w:r>
              <w:rPr>
                <w:rFonts w:ascii="Arial" w:cs="Arial" w:eastAsia="Arial" w:hAnsi="Arial"/>
                <w:sz w:val="13"/>
                <w:szCs w:val="13"/>
                <w:b w:val="1"/>
                <w:bCs w:val="1"/>
                <w:color w:val="auto"/>
                <w:w w:val="97"/>
              </w:rPr>
              <w:t>DECEMBER 31, 2007</w:t>
            </w:r>
          </w:p>
        </w:tc>
        <w:tc>
          <w:tcPr>
            <w:tcW w:w="440" w:type="dxa"/>
            <w:vAlign w:val="bottom"/>
          </w:tcPr>
          <w:p>
            <w:pPr>
              <w:spacing w:after="0"/>
              <w:rPr>
                <w:sz w:val="21"/>
                <w:szCs w:val="21"/>
                <w:color w:val="auto"/>
              </w:rPr>
            </w:pPr>
          </w:p>
        </w:tc>
      </w:tr>
      <w:tr>
        <w:trPr>
          <w:trHeight w:val="247"/>
        </w:trPr>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20" w:type="dxa"/>
            <w:vAlign w:val="bottom"/>
            <w:gridSpan w:val="13"/>
          </w:tcPr>
          <w:p>
            <w:pPr>
              <w:jc w:val="center"/>
              <w:ind w:right="3460"/>
              <w:spacing w:after="0"/>
              <w:rPr>
                <w:sz w:val="20"/>
                <w:szCs w:val="20"/>
                <w:color w:val="auto"/>
              </w:rPr>
            </w:pPr>
            <w:r>
              <w:rPr>
                <w:rFonts w:ascii="Arial" w:cs="Arial" w:eastAsia="Arial" w:hAnsi="Arial"/>
                <w:sz w:val="13"/>
                <w:szCs w:val="13"/>
                <w:b w:val="1"/>
                <w:bCs w:val="1"/>
                <w:color w:val="auto"/>
                <w:w w:val="99"/>
              </w:rPr>
              <w:t>TABLE OF CONTENTS</w:t>
            </w:r>
          </w:p>
        </w:tc>
        <w:tc>
          <w:tcPr>
            <w:tcW w:w="440" w:type="dxa"/>
            <w:vAlign w:val="bottom"/>
          </w:tcPr>
          <w:p>
            <w:pPr>
              <w:spacing w:after="0"/>
              <w:rPr>
                <w:sz w:val="21"/>
                <w:szCs w:val="21"/>
                <w:color w:val="auto"/>
              </w:rPr>
            </w:pPr>
          </w:p>
        </w:tc>
      </w:tr>
      <w:tr>
        <w:trPr>
          <w:trHeight w:val="298"/>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0" w:type="dxa"/>
            <w:vAlign w:val="bottom"/>
            <w:gridSpan w:val="31"/>
          </w:tcPr>
          <w:p>
            <w:pPr>
              <w:ind w:left="140"/>
              <w:spacing w:after="0"/>
              <w:rPr>
                <w:sz w:val="20"/>
                <w:szCs w:val="20"/>
                <w:color w:val="auto"/>
              </w:rPr>
            </w:pPr>
            <w:r>
              <w:rPr>
                <w:rFonts w:ascii="Arial" w:cs="Arial" w:eastAsia="Arial" w:hAnsi="Arial"/>
                <w:sz w:val="11"/>
                <w:szCs w:val="11"/>
                <w:b w:val="1"/>
                <w:bCs w:val="1"/>
                <w:color w:val="auto"/>
              </w:rPr>
              <w:t>Item</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4"/>
              </w:rPr>
              <w:t>Page No.</w:t>
            </w:r>
          </w:p>
        </w:tc>
      </w:tr>
      <w:tr>
        <w:trPr>
          <w:trHeight w:val="158"/>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gridSpan w:val="9"/>
          </w:tcPr>
          <w:p>
            <w:pPr>
              <w:jc w:val="center"/>
              <w:ind w:right="4340"/>
              <w:spacing w:after="0"/>
              <w:rPr>
                <w:rFonts w:ascii="Arial" w:cs="Arial" w:eastAsia="Arial" w:hAnsi="Arial"/>
                <w:sz w:val="13"/>
                <w:szCs w:val="13"/>
                <w:b w:val="1"/>
                <w:bCs w:val="1"/>
                <w:color w:val="0000EE"/>
                <w:w w:val="98"/>
              </w:rPr>
            </w:pPr>
            <w:hyperlink w:anchor="page4">
              <w:r>
                <w:rPr>
                  <w:rFonts w:ascii="Arial" w:cs="Arial" w:eastAsia="Arial" w:hAnsi="Arial"/>
                  <w:sz w:val="13"/>
                  <w:szCs w:val="13"/>
                  <w:b w:val="1"/>
                  <w:bCs w:val="1"/>
                  <w:color w:val="0000EE"/>
                  <w:w w:val="98"/>
                </w:rPr>
                <w:t>PART I</w:t>
              </w:r>
            </w:hyperlink>
          </w:p>
        </w:tc>
        <w:tc>
          <w:tcPr>
            <w:tcW w:w="440" w:type="dxa"/>
            <w:vAlign w:val="bottom"/>
          </w:tcPr>
          <w:p>
            <w:pPr>
              <w:spacing w:after="0"/>
              <w:rPr>
                <w:sz w:val="13"/>
                <w:szCs w:val="13"/>
                <w:color w:val="auto"/>
              </w:rPr>
            </w:pPr>
          </w:p>
        </w:tc>
      </w:tr>
      <w:tr>
        <w:trPr>
          <w:trHeight w:val="138"/>
        </w:trPr>
        <w:tc>
          <w:tcPr>
            <w:tcW w:w="100" w:type="dxa"/>
            <w:vAlign w:val="bottom"/>
          </w:tcPr>
          <w:p>
            <w:pPr>
              <w:spacing w:after="0"/>
              <w:rPr>
                <w:rFonts w:ascii="Arial" w:cs="Arial" w:eastAsia="Arial" w:hAnsi="Arial"/>
                <w:sz w:val="10"/>
                <w:szCs w:val="10"/>
                <w:color w:val="0000EE"/>
                <w:w w:val="71"/>
              </w:rPr>
            </w:pPr>
            <w:hyperlink w:anchor="page4">
              <w:r>
                <w:rPr>
                  <w:rFonts w:ascii="Arial" w:cs="Arial" w:eastAsia="Arial" w:hAnsi="Arial"/>
                  <w:sz w:val="10"/>
                  <w:szCs w:val="10"/>
                  <w:color w:val="0000EE"/>
                  <w:w w:val="71"/>
                </w:rPr>
                <w:t>1.</w:t>
              </w:r>
            </w:hyperlink>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20" w:type="dxa"/>
            <w:vAlign w:val="bottom"/>
            <w:gridSpan w:val="21"/>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Business</w:t>
              </w:r>
            </w:hyperlink>
          </w:p>
        </w:tc>
        <w:tc>
          <w:tcPr>
            <w:tcW w:w="420" w:type="dxa"/>
            <w:vAlign w:val="bottom"/>
            <w:tcBorders>
              <w:top w:val="single" w:sz="8" w:color="0000EE"/>
            </w:tcBorders>
          </w:tcPr>
          <w:p>
            <w:pPr>
              <w:spacing w:after="0"/>
              <w:rPr>
                <w:sz w:val="12"/>
                <w:szCs w:val="12"/>
                <w:color w:val="auto"/>
              </w:rPr>
            </w:pPr>
          </w:p>
        </w:tc>
        <w:tc>
          <w:tcPr>
            <w:tcW w:w="4340" w:type="dxa"/>
            <w:vAlign w:val="bottom"/>
            <w:gridSpan w:val="8"/>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3</w:t>
            </w:r>
          </w:p>
        </w:tc>
      </w:tr>
      <w:tr>
        <w:trPr>
          <w:trHeight w:val="20"/>
        </w:trPr>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38"/>
        </w:trPr>
        <w:tc>
          <w:tcPr>
            <w:tcW w:w="340" w:type="dxa"/>
            <w:vAlign w:val="bottom"/>
            <w:gridSpan w:val="3"/>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1A.</w:t>
              </w:r>
            </w:hyperlink>
          </w:p>
        </w:tc>
        <w:tc>
          <w:tcPr>
            <w:tcW w:w="820" w:type="dxa"/>
            <w:vAlign w:val="bottom"/>
          </w:tcPr>
          <w:p>
            <w:pPr>
              <w:spacing w:after="0"/>
              <w:rPr>
                <w:sz w:val="12"/>
                <w:szCs w:val="12"/>
                <w:color w:val="auto"/>
              </w:rPr>
            </w:pPr>
          </w:p>
        </w:tc>
        <w:tc>
          <w:tcPr>
            <w:tcW w:w="8380" w:type="dxa"/>
            <w:vAlign w:val="bottom"/>
            <w:gridSpan w:val="30"/>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Risk Factors</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15</w:t>
            </w:r>
          </w:p>
        </w:tc>
      </w:tr>
      <w:tr>
        <w:trPr>
          <w:trHeight w:val="20"/>
        </w:trPr>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38"/>
        </w:trPr>
        <w:tc>
          <w:tcPr>
            <w:tcW w:w="200" w:type="dxa"/>
            <w:vAlign w:val="bottom"/>
            <w:tcBorders>
              <w:bottom w:val="single" w:sz="8" w:color="0000EE"/>
            </w:tcBorders>
            <w:gridSpan w:val="2"/>
          </w:tcPr>
          <w:p>
            <w:pPr>
              <w:spacing w:after="0" w:line="138" w:lineRule="exact"/>
              <w:rPr>
                <w:rFonts w:ascii="Arial" w:cs="Arial" w:eastAsia="Arial" w:hAnsi="Arial"/>
                <w:sz w:val="13"/>
                <w:szCs w:val="13"/>
                <w:color w:val="0000EE"/>
                <w:w w:val="81"/>
              </w:rPr>
            </w:pPr>
            <w:hyperlink w:anchor="page23">
              <w:r>
                <w:rPr>
                  <w:rFonts w:ascii="Arial" w:cs="Arial" w:eastAsia="Arial" w:hAnsi="Arial"/>
                  <w:sz w:val="13"/>
                  <w:szCs w:val="13"/>
                  <w:color w:val="0000EE"/>
                  <w:w w:val="81"/>
                </w:rPr>
                <w:t>1B.</w:t>
              </w:r>
            </w:hyperlink>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00" w:type="dxa"/>
            <w:vAlign w:val="bottom"/>
            <w:tcBorders>
              <w:bottom w:val="single" w:sz="8" w:color="0000EE"/>
            </w:tcBorders>
            <w:gridSpan w:val="11"/>
          </w:tcPr>
          <w:p>
            <w:pPr>
              <w:spacing w:after="0" w:line="138" w:lineRule="exact"/>
              <w:rPr>
                <w:rFonts w:ascii="Arial" w:cs="Arial" w:eastAsia="Arial" w:hAnsi="Arial"/>
                <w:sz w:val="13"/>
                <w:szCs w:val="13"/>
                <w:color w:val="0000EE"/>
                <w:w w:val="91"/>
              </w:rPr>
            </w:pPr>
            <w:hyperlink w:anchor="page23">
              <w:r>
                <w:rPr>
                  <w:rFonts w:ascii="Arial" w:cs="Arial" w:eastAsia="Arial" w:hAnsi="Arial"/>
                  <w:sz w:val="13"/>
                  <w:szCs w:val="13"/>
                  <w:color w:val="0000EE"/>
                  <w:w w:val="91"/>
                </w:rPr>
                <w:t>Unresolved Staff Comments</w:t>
              </w:r>
            </w:hyperlink>
          </w:p>
        </w:tc>
        <w:tc>
          <w:tcPr>
            <w:tcW w:w="6880" w:type="dxa"/>
            <w:vAlign w:val="bottom"/>
            <w:gridSpan w:val="19"/>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22</w:t>
            </w:r>
          </w:p>
        </w:tc>
      </w:tr>
      <w:tr>
        <w:trPr>
          <w:trHeight w:val="138"/>
        </w:trPr>
        <w:tc>
          <w:tcPr>
            <w:tcW w:w="100" w:type="dxa"/>
            <w:vAlign w:val="bottom"/>
          </w:tcPr>
          <w:p>
            <w:pPr>
              <w:spacing w:after="0"/>
              <w:rPr>
                <w:rFonts w:ascii="Arial" w:cs="Arial" w:eastAsia="Arial" w:hAnsi="Arial"/>
                <w:sz w:val="10"/>
                <w:szCs w:val="10"/>
                <w:color w:val="0000EE"/>
                <w:w w:val="71"/>
              </w:rPr>
            </w:pPr>
            <w:hyperlink w:anchor="page23">
              <w:r>
                <w:rPr>
                  <w:rFonts w:ascii="Arial" w:cs="Arial" w:eastAsia="Arial" w:hAnsi="Arial"/>
                  <w:sz w:val="10"/>
                  <w:szCs w:val="10"/>
                  <w:color w:val="0000EE"/>
                  <w:w w:val="71"/>
                </w:rPr>
                <w:t>2.</w:t>
              </w:r>
            </w:hyperlink>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380" w:type="dxa"/>
            <w:vAlign w:val="bottom"/>
            <w:gridSpan w:val="30"/>
          </w:tcPr>
          <w:p>
            <w:pPr>
              <w:spacing w:after="0" w:line="138" w:lineRule="exact"/>
              <w:rPr>
                <w:rFonts w:ascii="Arial" w:cs="Arial" w:eastAsia="Arial" w:hAnsi="Arial"/>
                <w:sz w:val="13"/>
                <w:szCs w:val="13"/>
                <w:color w:val="0000EE"/>
              </w:rPr>
            </w:pPr>
            <w:hyperlink w:anchor="page23">
              <w:r>
                <w:rPr>
                  <w:rFonts w:ascii="Arial" w:cs="Arial" w:eastAsia="Arial" w:hAnsi="Arial"/>
                  <w:sz w:val="13"/>
                  <w:szCs w:val="13"/>
                  <w:color w:val="0000EE"/>
                </w:rPr>
                <w:t>Properties</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22</w:t>
            </w:r>
          </w:p>
        </w:tc>
      </w:tr>
      <w:tr>
        <w:trPr>
          <w:trHeight w:val="20"/>
        </w:trPr>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38"/>
        </w:trPr>
        <w:tc>
          <w:tcPr>
            <w:tcW w:w="100" w:type="dxa"/>
            <w:vAlign w:val="bottom"/>
            <w:tcBorders>
              <w:bottom w:val="single" w:sz="8" w:color="0000EE"/>
            </w:tcBorders>
          </w:tcPr>
          <w:p>
            <w:pPr>
              <w:spacing w:after="0"/>
              <w:rPr>
                <w:rFonts w:ascii="Arial" w:cs="Arial" w:eastAsia="Arial" w:hAnsi="Arial"/>
                <w:sz w:val="10"/>
                <w:szCs w:val="10"/>
                <w:color w:val="0000EE"/>
                <w:w w:val="71"/>
              </w:rPr>
            </w:pPr>
            <w:hyperlink w:anchor="page23">
              <w:r>
                <w:rPr>
                  <w:rFonts w:ascii="Arial" w:cs="Arial" w:eastAsia="Arial" w:hAnsi="Arial"/>
                  <w:sz w:val="10"/>
                  <w:szCs w:val="10"/>
                  <w:color w:val="0000EE"/>
                  <w:w w:val="71"/>
                </w:rPr>
                <w:t>3.</w:t>
              </w:r>
            </w:hyperlink>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Borders>
              <w:bottom w:val="single" w:sz="8" w:color="0000EE"/>
            </w:tcBorders>
            <w:gridSpan w:val="7"/>
          </w:tcPr>
          <w:p>
            <w:pPr>
              <w:spacing w:after="0" w:line="138" w:lineRule="exact"/>
              <w:rPr>
                <w:rFonts w:ascii="Arial" w:cs="Arial" w:eastAsia="Arial" w:hAnsi="Arial"/>
                <w:sz w:val="13"/>
                <w:szCs w:val="13"/>
                <w:color w:val="0000EE"/>
                <w:w w:val="89"/>
              </w:rPr>
            </w:pPr>
            <w:hyperlink w:anchor="page23">
              <w:r>
                <w:rPr>
                  <w:rFonts w:ascii="Arial" w:cs="Arial" w:eastAsia="Arial" w:hAnsi="Arial"/>
                  <w:sz w:val="13"/>
                  <w:szCs w:val="13"/>
                  <w:color w:val="0000EE"/>
                  <w:w w:val="89"/>
                </w:rPr>
                <w:t>Legal Proceedings</w:t>
              </w:r>
            </w:hyperlink>
          </w:p>
        </w:tc>
        <w:tc>
          <w:tcPr>
            <w:tcW w:w="7400" w:type="dxa"/>
            <w:vAlign w:val="bottom"/>
            <w:gridSpan w:val="23"/>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22</w:t>
            </w:r>
          </w:p>
        </w:tc>
      </w:tr>
      <w:tr>
        <w:trPr>
          <w:trHeight w:val="138"/>
        </w:trPr>
        <w:tc>
          <w:tcPr>
            <w:tcW w:w="100" w:type="dxa"/>
            <w:vAlign w:val="bottom"/>
          </w:tcPr>
          <w:p>
            <w:pPr>
              <w:spacing w:after="0"/>
              <w:rPr>
                <w:rFonts w:ascii="Arial" w:cs="Arial" w:eastAsia="Arial" w:hAnsi="Arial"/>
                <w:sz w:val="10"/>
                <w:szCs w:val="10"/>
                <w:color w:val="0000EE"/>
                <w:w w:val="71"/>
              </w:rPr>
            </w:pPr>
            <w:hyperlink w:anchor="page23">
              <w:r>
                <w:rPr>
                  <w:rFonts w:ascii="Arial" w:cs="Arial" w:eastAsia="Arial" w:hAnsi="Arial"/>
                  <w:sz w:val="10"/>
                  <w:szCs w:val="10"/>
                  <w:color w:val="0000EE"/>
                  <w:w w:val="71"/>
                </w:rPr>
                <w:t>4.</w:t>
              </w:r>
            </w:hyperlink>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380" w:type="dxa"/>
            <w:vAlign w:val="bottom"/>
            <w:gridSpan w:val="30"/>
          </w:tcPr>
          <w:p>
            <w:pPr>
              <w:spacing w:after="0" w:line="138" w:lineRule="exact"/>
              <w:rPr>
                <w:rFonts w:ascii="Arial" w:cs="Arial" w:eastAsia="Arial" w:hAnsi="Arial"/>
                <w:sz w:val="13"/>
                <w:szCs w:val="13"/>
                <w:color w:val="0000EE"/>
              </w:rPr>
            </w:pPr>
            <w:hyperlink w:anchor="page23">
              <w:r>
                <w:rPr>
                  <w:rFonts w:ascii="Arial" w:cs="Arial" w:eastAsia="Arial" w:hAnsi="Arial"/>
                  <w:sz w:val="13"/>
                  <w:szCs w:val="13"/>
                  <w:color w:val="0000EE"/>
                </w:rPr>
                <w:t>Submission of Matters to a Vote of Security Holders</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22</w:t>
            </w:r>
          </w:p>
        </w:tc>
      </w:tr>
      <w:tr>
        <w:trPr>
          <w:trHeight w:val="257"/>
        </w:trPr>
        <w:tc>
          <w:tcPr>
            <w:tcW w:w="10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58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24">
              <w:r>
                <w:rPr>
                  <w:rFonts w:ascii="Arial" w:cs="Arial" w:eastAsia="Arial" w:hAnsi="Arial"/>
                  <w:sz w:val="13"/>
                  <w:szCs w:val="13"/>
                  <w:b w:val="1"/>
                  <w:bCs w:val="1"/>
                  <w:color w:val="0000EE"/>
                </w:rPr>
                <w:t>PART II</w:t>
              </w:r>
            </w:hyperlink>
          </w:p>
        </w:tc>
        <w:tc>
          <w:tcPr>
            <w:tcW w:w="4300" w:type="dxa"/>
            <w:vAlign w:val="bottom"/>
            <w:gridSpan w:val="7"/>
          </w:tcPr>
          <w:p>
            <w:pPr>
              <w:spacing w:after="0"/>
              <w:rPr>
                <w:sz w:val="22"/>
                <w:szCs w:val="22"/>
                <w:color w:val="auto"/>
              </w:rPr>
            </w:pPr>
          </w:p>
        </w:tc>
        <w:tc>
          <w:tcPr>
            <w:tcW w:w="440" w:type="dxa"/>
            <w:vAlign w:val="bottom"/>
          </w:tcPr>
          <w:p>
            <w:pPr>
              <w:spacing w:after="0"/>
              <w:rPr>
                <w:sz w:val="22"/>
                <w:szCs w:val="22"/>
                <w:color w:val="auto"/>
              </w:rPr>
            </w:pPr>
          </w:p>
        </w:tc>
      </w:tr>
      <w:tr>
        <w:trPr>
          <w:trHeight w:val="138"/>
        </w:trPr>
        <w:tc>
          <w:tcPr>
            <w:tcW w:w="100" w:type="dxa"/>
            <w:vAlign w:val="bottom"/>
          </w:tcPr>
          <w:p>
            <w:pPr>
              <w:spacing w:after="0"/>
              <w:rPr>
                <w:rFonts w:ascii="Arial" w:cs="Arial" w:eastAsia="Arial" w:hAnsi="Arial"/>
                <w:sz w:val="10"/>
                <w:szCs w:val="10"/>
                <w:color w:val="0000EE"/>
                <w:w w:val="71"/>
              </w:rPr>
            </w:pPr>
            <w:hyperlink w:anchor="page24">
              <w:r>
                <w:rPr>
                  <w:rFonts w:ascii="Arial" w:cs="Arial" w:eastAsia="Arial" w:hAnsi="Arial"/>
                  <w:sz w:val="10"/>
                  <w:szCs w:val="10"/>
                  <w:color w:val="0000EE"/>
                  <w:w w:val="71"/>
                </w:rPr>
                <w:t>5.</w:t>
              </w:r>
            </w:hyperlink>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380" w:type="dxa"/>
            <w:vAlign w:val="bottom"/>
            <w:gridSpan w:val="30"/>
          </w:tcPr>
          <w:p>
            <w:pPr>
              <w:spacing w:after="0" w:line="138" w:lineRule="exact"/>
              <w:rPr>
                <w:rFonts w:ascii="Arial" w:cs="Arial" w:eastAsia="Arial" w:hAnsi="Arial"/>
                <w:sz w:val="13"/>
                <w:szCs w:val="13"/>
                <w:color w:val="0000EE"/>
              </w:rPr>
            </w:pPr>
            <w:hyperlink w:anchor="page24">
              <w:r>
                <w:rPr>
                  <w:rFonts w:ascii="Arial" w:cs="Arial" w:eastAsia="Arial" w:hAnsi="Arial"/>
                  <w:sz w:val="13"/>
                  <w:szCs w:val="13"/>
                  <w:color w:val="0000EE"/>
                </w:rPr>
                <w:t>Market for Registrant’s Common Equity, Related Stockholder Matters and Issuer Purchases of Equity Securities</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23</w:t>
            </w:r>
          </w:p>
        </w:tc>
      </w:tr>
      <w:tr>
        <w:trPr>
          <w:trHeight w:val="138"/>
        </w:trPr>
        <w:tc>
          <w:tcPr>
            <w:tcW w:w="100" w:type="dxa"/>
            <w:vAlign w:val="bottom"/>
            <w:tcBorders>
              <w:top w:val="single" w:sz="8" w:color="0000EE"/>
            </w:tcBorders>
          </w:tcPr>
          <w:p>
            <w:pPr>
              <w:spacing w:after="0"/>
              <w:rPr>
                <w:rFonts w:ascii="Arial" w:cs="Arial" w:eastAsia="Arial" w:hAnsi="Arial"/>
                <w:sz w:val="10"/>
                <w:szCs w:val="10"/>
                <w:color w:val="0000EE"/>
                <w:w w:val="71"/>
              </w:rPr>
            </w:pPr>
            <w:hyperlink w:anchor="page27">
              <w:r>
                <w:rPr>
                  <w:rFonts w:ascii="Arial" w:cs="Arial" w:eastAsia="Arial" w:hAnsi="Arial"/>
                  <w:sz w:val="10"/>
                  <w:szCs w:val="10"/>
                  <w:color w:val="0000EE"/>
                  <w:w w:val="71"/>
                </w:rPr>
                <w:t>6.</w:t>
              </w:r>
            </w:hyperlink>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900" w:type="dxa"/>
            <w:vAlign w:val="bottom"/>
            <w:tcBorders>
              <w:top w:val="single" w:sz="8" w:color="0000EE"/>
            </w:tcBorders>
            <w:gridSpan w:val="29"/>
          </w:tcPr>
          <w:p>
            <w:pPr>
              <w:spacing w:after="0" w:line="138" w:lineRule="exact"/>
              <w:rPr>
                <w:rFonts w:ascii="Arial" w:cs="Arial" w:eastAsia="Arial" w:hAnsi="Arial"/>
                <w:sz w:val="13"/>
                <w:szCs w:val="13"/>
                <w:color w:val="0000EE"/>
              </w:rPr>
            </w:pPr>
            <w:hyperlink w:anchor="page27">
              <w:r>
                <w:rPr>
                  <w:rFonts w:ascii="Arial" w:cs="Arial" w:eastAsia="Arial" w:hAnsi="Arial"/>
                  <w:sz w:val="13"/>
                  <w:szCs w:val="13"/>
                  <w:color w:val="0000EE"/>
                </w:rPr>
                <w:t>Selected Financial Data</w:t>
              </w:r>
            </w:hyperlink>
          </w:p>
        </w:tc>
        <w:tc>
          <w:tcPr>
            <w:tcW w:w="2480" w:type="dxa"/>
            <w:vAlign w:val="bottom"/>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26</w:t>
            </w:r>
          </w:p>
        </w:tc>
      </w:tr>
      <w:tr>
        <w:trPr>
          <w:trHeight w:val="20"/>
        </w:trPr>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38"/>
        </w:trPr>
        <w:tc>
          <w:tcPr>
            <w:tcW w:w="100" w:type="dxa"/>
            <w:vAlign w:val="bottom"/>
          </w:tcPr>
          <w:p>
            <w:pPr>
              <w:spacing w:after="0"/>
              <w:rPr>
                <w:rFonts w:ascii="Arial" w:cs="Arial" w:eastAsia="Arial" w:hAnsi="Arial"/>
                <w:sz w:val="10"/>
                <w:szCs w:val="10"/>
                <w:color w:val="0000EE"/>
                <w:w w:val="71"/>
              </w:rPr>
            </w:pPr>
            <w:hyperlink w:anchor="page28">
              <w:r>
                <w:rPr>
                  <w:rFonts w:ascii="Arial" w:cs="Arial" w:eastAsia="Arial" w:hAnsi="Arial"/>
                  <w:sz w:val="10"/>
                  <w:szCs w:val="10"/>
                  <w:color w:val="0000EE"/>
                  <w:w w:val="71"/>
                </w:rPr>
                <w:t>7.</w:t>
              </w:r>
            </w:hyperlink>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380" w:type="dxa"/>
            <w:vAlign w:val="bottom"/>
            <w:gridSpan w:val="30"/>
          </w:tcPr>
          <w:p>
            <w:pPr>
              <w:spacing w:after="0" w:line="138" w:lineRule="exact"/>
              <w:rPr>
                <w:rFonts w:ascii="Arial" w:cs="Arial" w:eastAsia="Arial" w:hAnsi="Arial"/>
                <w:sz w:val="13"/>
                <w:szCs w:val="13"/>
                <w:color w:val="0000EE"/>
              </w:rPr>
            </w:pPr>
            <w:hyperlink w:anchor="page28">
              <w:r>
                <w:rPr>
                  <w:rFonts w:ascii="Arial" w:cs="Arial" w:eastAsia="Arial" w:hAnsi="Arial"/>
                  <w:sz w:val="13"/>
                  <w:szCs w:val="13"/>
                  <w:color w:val="0000EE"/>
                </w:rPr>
                <w:t>Management’s Discussion and Analysis of Financial Condition and Results of Operations</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27</w:t>
            </w:r>
          </w:p>
        </w:tc>
      </w:tr>
      <w:tr>
        <w:trPr>
          <w:trHeight w:val="20"/>
        </w:trPr>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38"/>
        </w:trPr>
        <w:tc>
          <w:tcPr>
            <w:tcW w:w="340" w:type="dxa"/>
            <w:vAlign w:val="bottom"/>
            <w:gridSpan w:val="3"/>
          </w:tcPr>
          <w:p>
            <w:pPr>
              <w:spacing w:after="0" w:line="138" w:lineRule="exact"/>
              <w:rPr>
                <w:rFonts w:ascii="Arial" w:cs="Arial" w:eastAsia="Arial" w:hAnsi="Arial"/>
                <w:sz w:val="13"/>
                <w:szCs w:val="13"/>
                <w:color w:val="0000EE"/>
              </w:rPr>
            </w:pPr>
            <w:hyperlink w:anchor="page37">
              <w:r>
                <w:rPr>
                  <w:rFonts w:ascii="Arial" w:cs="Arial" w:eastAsia="Arial" w:hAnsi="Arial"/>
                  <w:sz w:val="13"/>
                  <w:szCs w:val="13"/>
                  <w:color w:val="0000EE"/>
                </w:rPr>
                <w:t>7A.</w:t>
              </w:r>
            </w:hyperlink>
          </w:p>
        </w:tc>
        <w:tc>
          <w:tcPr>
            <w:tcW w:w="820" w:type="dxa"/>
            <w:vAlign w:val="bottom"/>
          </w:tcPr>
          <w:p>
            <w:pPr>
              <w:spacing w:after="0"/>
              <w:rPr>
                <w:sz w:val="12"/>
                <w:szCs w:val="12"/>
                <w:color w:val="auto"/>
              </w:rPr>
            </w:pPr>
          </w:p>
        </w:tc>
        <w:tc>
          <w:tcPr>
            <w:tcW w:w="8380" w:type="dxa"/>
            <w:vAlign w:val="bottom"/>
            <w:gridSpan w:val="30"/>
          </w:tcPr>
          <w:p>
            <w:pPr>
              <w:spacing w:after="0" w:line="138" w:lineRule="exact"/>
              <w:rPr>
                <w:rFonts w:ascii="Arial" w:cs="Arial" w:eastAsia="Arial" w:hAnsi="Arial"/>
                <w:sz w:val="13"/>
                <w:szCs w:val="13"/>
                <w:color w:val="0000EE"/>
              </w:rPr>
            </w:pPr>
            <w:hyperlink w:anchor="page37">
              <w:r>
                <w:rPr>
                  <w:rFonts w:ascii="Arial" w:cs="Arial" w:eastAsia="Arial" w:hAnsi="Arial"/>
                  <w:sz w:val="13"/>
                  <w:szCs w:val="13"/>
                  <w:color w:val="0000EE"/>
                </w:rPr>
                <w:t>Quantitative and Qualitative Disclosures About Market Risk</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36</w:t>
            </w:r>
          </w:p>
        </w:tc>
      </w:tr>
      <w:tr>
        <w:trPr>
          <w:trHeight w:val="138"/>
        </w:trPr>
        <w:tc>
          <w:tcPr>
            <w:tcW w:w="100" w:type="dxa"/>
            <w:vAlign w:val="bottom"/>
            <w:tcBorders>
              <w:top w:val="single" w:sz="8" w:color="0000EE"/>
              <w:bottom w:val="single" w:sz="8" w:color="0000EE"/>
            </w:tcBorders>
          </w:tcPr>
          <w:p>
            <w:pPr>
              <w:spacing w:after="0"/>
              <w:rPr>
                <w:rFonts w:ascii="Arial" w:cs="Arial" w:eastAsia="Arial" w:hAnsi="Arial"/>
                <w:sz w:val="10"/>
                <w:szCs w:val="10"/>
                <w:color w:val="0000EE"/>
                <w:w w:val="71"/>
              </w:rPr>
            </w:pPr>
            <w:hyperlink w:anchor="page37">
              <w:r>
                <w:rPr>
                  <w:rFonts w:ascii="Arial" w:cs="Arial" w:eastAsia="Arial" w:hAnsi="Arial"/>
                  <w:sz w:val="10"/>
                  <w:szCs w:val="10"/>
                  <w:color w:val="0000EE"/>
                  <w:w w:val="71"/>
                </w:rPr>
                <w:t>8.</w:t>
              </w:r>
            </w:hyperlink>
          </w:p>
        </w:tc>
        <w:tc>
          <w:tcPr>
            <w:tcW w:w="10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40" w:type="dxa"/>
            <w:vAlign w:val="bottom"/>
            <w:tcBorders>
              <w:top w:val="single" w:sz="8" w:color="0000EE"/>
              <w:bottom w:val="single" w:sz="8" w:color="0000EE"/>
            </w:tcBorders>
            <w:gridSpan w:val="14"/>
          </w:tcPr>
          <w:p>
            <w:pPr>
              <w:spacing w:after="0" w:line="138" w:lineRule="exact"/>
              <w:rPr>
                <w:rFonts w:ascii="Arial" w:cs="Arial" w:eastAsia="Arial" w:hAnsi="Arial"/>
                <w:sz w:val="13"/>
                <w:szCs w:val="13"/>
                <w:color w:val="0000EE"/>
                <w:w w:val="90"/>
              </w:rPr>
            </w:pPr>
            <w:hyperlink w:anchor="page37">
              <w:r>
                <w:rPr>
                  <w:rFonts w:ascii="Arial" w:cs="Arial" w:eastAsia="Arial" w:hAnsi="Arial"/>
                  <w:sz w:val="13"/>
                  <w:szCs w:val="13"/>
                  <w:color w:val="0000EE"/>
                  <w:w w:val="90"/>
                </w:rPr>
                <w:t>Financial Statements and Supplementary Data</w:t>
              </w:r>
            </w:hyperlink>
          </w:p>
        </w:tc>
        <w:tc>
          <w:tcPr>
            <w:tcW w:w="740" w:type="dxa"/>
            <w:vAlign w:val="bottom"/>
            <w:tcBorders>
              <w:top w:val="single" w:sz="8" w:color="0000EE"/>
            </w:tcBorders>
            <w:gridSpan w:val="4"/>
          </w:tcPr>
          <w:p>
            <w:pPr>
              <w:spacing w:after="0"/>
              <w:rPr>
                <w:sz w:val="12"/>
                <w:szCs w:val="12"/>
                <w:color w:val="auto"/>
              </w:rPr>
            </w:pPr>
          </w:p>
        </w:tc>
        <w:tc>
          <w:tcPr>
            <w:tcW w:w="5200" w:type="dxa"/>
            <w:vAlign w:val="bottom"/>
            <w:gridSpan w:val="12"/>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36</w:t>
            </w:r>
          </w:p>
        </w:tc>
      </w:tr>
      <w:tr>
        <w:trPr>
          <w:trHeight w:val="138"/>
        </w:trPr>
        <w:tc>
          <w:tcPr>
            <w:tcW w:w="100" w:type="dxa"/>
            <w:vAlign w:val="bottom"/>
            <w:tcBorders>
              <w:bottom w:val="single" w:sz="8" w:color="0000EE"/>
            </w:tcBorders>
          </w:tcPr>
          <w:p>
            <w:pPr>
              <w:spacing w:after="0"/>
              <w:rPr>
                <w:rFonts w:ascii="Arial" w:cs="Arial" w:eastAsia="Arial" w:hAnsi="Arial"/>
                <w:sz w:val="10"/>
                <w:szCs w:val="10"/>
                <w:color w:val="0000EE"/>
                <w:w w:val="71"/>
              </w:rPr>
            </w:pPr>
            <w:hyperlink w:anchor="page58">
              <w:r>
                <w:rPr>
                  <w:rFonts w:ascii="Arial" w:cs="Arial" w:eastAsia="Arial" w:hAnsi="Arial"/>
                  <w:sz w:val="10"/>
                  <w:szCs w:val="10"/>
                  <w:color w:val="0000EE"/>
                  <w:w w:val="71"/>
                </w:rPr>
                <w:t>9.</w:t>
              </w:r>
            </w:hyperlink>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740" w:type="dxa"/>
            <w:vAlign w:val="bottom"/>
            <w:tcBorders>
              <w:bottom w:val="single" w:sz="8" w:color="0000EE"/>
            </w:tcBorders>
            <w:gridSpan w:val="27"/>
          </w:tcPr>
          <w:p>
            <w:pPr>
              <w:spacing w:after="0" w:line="138" w:lineRule="exact"/>
              <w:rPr>
                <w:rFonts w:ascii="Arial" w:cs="Arial" w:eastAsia="Arial" w:hAnsi="Arial"/>
                <w:sz w:val="13"/>
                <w:szCs w:val="13"/>
                <w:color w:val="0000EE"/>
                <w:w w:val="91"/>
              </w:rPr>
            </w:pPr>
            <w:hyperlink w:anchor="page58">
              <w:r>
                <w:rPr>
                  <w:rFonts w:ascii="Arial" w:cs="Arial" w:eastAsia="Arial" w:hAnsi="Arial"/>
                  <w:sz w:val="13"/>
                  <w:szCs w:val="13"/>
                  <w:color w:val="0000EE"/>
                  <w:w w:val="91"/>
                </w:rPr>
                <w:t>Changes in and Disagreements with Accountants on Accounting and Financial Disclosure</w:t>
              </w:r>
            </w:hyperlink>
          </w:p>
        </w:tc>
        <w:tc>
          <w:tcPr>
            <w:tcW w:w="3640" w:type="dxa"/>
            <w:vAlign w:val="bottom"/>
            <w:gridSpan w:val="3"/>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57</w:t>
            </w:r>
          </w:p>
        </w:tc>
      </w:tr>
      <w:tr>
        <w:trPr>
          <w:trHeight w:val="138"/>
        </w:trPr>
        <w:tc>
          <w:tcPr>
            <w:tcW w:w="340" w:type="dxa"/>
            <w:vAlign w:val="bottom"/>
            <w:gridSpan w:val="3"/>
          </w:tcPr>
          <w:p>
            <w:pPr>
              <w:spacing w:after="0" w:line="138" w:lineRule="exact"/>
              <w:rPr>
                <w:rFonts w:ascii="Arial" w:cs="Arial" w:eastAsia="Arial" w:hAnsi="Arial"/>
                <w:sz w:val="13"/>
                <w:szCs w:val="13"/>
                <w:color w:val="0000EE"/>
              </w:rPr>
            </w:pPr>
            <w:hyperlink w:anchor="page58">
              <w:r>
                <w:rPr>
                  <w:rFonts w:ascii="Arial" w:cs="Arial" w:eastAsia="Arial" w:hAnsi="Arial"/>
                  <w:sz w:val="13"/>
                  <w:szCs w:val="13"/>
                  <w:color w:val="0000EE"/>
                </w:rPr>
                <w:t>9A.</w:t>
              </w:r>
            </w:hyperlink>
          </w:p>
        </w:tc>
        <w:tc>
          <w:tcPr>
            <w:tcW w:w="820" w:type="dxa"/>
            <w:vAlign w:val="bottom"/>
          </w:tcPr>
          <w:p>
            <w:pPr>
              <w:spacing w:after="0"/>
              <w:rPr>
                <w:sz w:val="12"/>
                <w:szCs w:val="12"/>
                <w:color w:val="auto"/>
              </w:rPr>
            </w:pPr>
          </w:p>
        </w:tc>
        <w:tc>
          <w:tcPr>
            <w:tcW w:w="8380" w:type="dxa"/>
            <w:vAlign w:val="bottom"/>
            <w:gridSpan w:val="30"/>
          </w:tcPr>
          <w:p>
            <w:pPr>
              <w:spacing w:after="0" w:line="138" w:lineRule="exact"/>
              <w:rPr>
                <w:rFonts w:ascii="Arial" w:cs="Arial" w:eastAsia="Arial" w:hAnsi="Arial"/>
                <w:sz w:val="13"/>
                <w:szCs w:val="13"/>
                <w:color w:val="0000EE"/>
              </w:rPr>
            </w:pPr>
            <w:hyperlink w:anchor="page58">
              <w:r>
                <w:rPr>
                  <w:rFonts w:ascii="Arial" w:cs="Arial" w:eastAsia="Arial" w:hAnsi="Arial"/>
                  <w:sz w:val="13"/>
                  <w:szCs w:val="13"/>
                  <w:color w:val="0000EE"/>
                </w:rPr>
                <w:t>Controls and Procedures</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57</w:t>
            </w:r>
          </w:p>
        </w:tc>
      </w:tr>
      <w:tr>
        <w:trPr>
          <w:trHeight w:val="138"/>
        </w:trPr>
        <w:tc>
          <w:tcPr>
            <w:tcW w:w="200" w:type="dxa"/>
            <w:vAlign w:val="bottom"/>
            <w:tcBorders>
              <w:top w:val="single" w:sz="8" w:color="0000EE"/>
            </w:tcBorders>
            <w:gridSpan w:val="2"/>
          </w:tcPr>
          <w:p>
            <w:pPr>
              <w:spacing w:after="0" w:line="138" w:lineRule="exact"/>
              <w:rPr>
                <w:rFonts w:ascii="Arial" w:cs="Arial" w:eastAsia="Arial" w:hAnsi="Arial"/>
                <w:sz w:val="13"/>
                <w:szCs w:val="13"/>
                <w:color w:val="0000EE"/>
                <w:w w:val="81"/>
              </w:rPr>
            </w:pPr>
            <w:hyperlink w:anchor="page61">
              <w:r>
                <w:rPr>
                  <w:rFonts w:ascii="Arial" w:cs="Arial" w:eastAsia="Arial" w:hAnsi="Arial"/>
                  <w:sz w:val="13"/>
                  <w:szCs w:val="13"/>
                  <w:color w:val="0000EE"/>
                  <w:w w:val="81"/>
                </w:rPr>
                <w:t>9B.</w:t>
              </w:r>
            </w:hyperlink>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00" w:type="dxa"/>
            <w:vAlign w:val="bottom"/>
            <w:tcBorders>
              <w:top w:val="single" w:sz="8" w:color="0000EE"/>
            </w:tcBorders>
            <w:gridSpan w:val="9"/>
          </w:tcPr>
          <w:p>
            <w:pPr>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Other Information</w:t>
              </w:r>
            </w:hyperlink>
          </w:p>
        </w:tc>
        <w:tc>
          <w:tcPr>
            <w:tcW w:w="7080" w:type="dxa"/>
            <w:vAlign w:val="bottom"/>
            <w:gridSpan w:val="21"/>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59</w:t>
            </w:r>
          </w:p>
        </w:tc>
      </w:tr>
      <w:tr>
        <w:trPr>
          <w:trHeight w:val="257"/>
        </w:trPr>
        <w:tc>
          <w:tcPr>
            <w:tcW w:w="1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Borders>
              <w:bottom w:val="single" w:sz="8" w:color="0000EE"/>
            </w:tcBorders>
            <w:gridSpan w:val="6"/>
          </w:tcPr>
          <w:p>
            <w:pPr>
              <w:jc w:val="center"/>
              <w:ind w:right="20"/>
              <w:spacing w:after="0"/>
              <w:rPr>
                <w:rFonts w:ascii="Arial" w:cs="Arial" w:eastAsia="Arial" w:hAnsi="Arial"/>
                <w:sz w:val="13"/>
                <w:szCs w:val="13"/>
                <w:b w:val="1"/>
                <w:bCs w:val="1"/>
                <w:color w:val="0000EE"/>
              </w:rPr>
            </w:pPr>
            <w:hyperlink w:anchor="page61">
              <w:r>
                <w:rPr>
                  <w:rFonts w:ascii="Arial" w:cs="Arial" w:eastAsia="Arial" w:hAnsi="Arial"/>
                  <w:sz w:val="13"/>
                  <w:szCs w:val="13"/>
                  <w:b w:val="1"/>
                  <w:bCs w:val="1"/>
                  <w:color w:val="0000EE"/>
                </w:rPr>
                <w:t>PART III</w:t>
              </w:r>
            </w:hyperlink>
          </w:p>
        </w:tc>
        <w:tc>
          <w:tcPr>
            <w:tcW w:w="4260" w:type="dxa"/>
            <w:vAlign w:val="bottom"/>
            <w:gridSpan w:val="5"/>
          </w:tcPr>
          <w:p>
            <w:pPr>
              <w:spacing w:after="0"/>
              <w:rPr>
                <w:sz w:val="22"/>
                <w:szCs w:val="22"/>
                <w:color w:val="auto"/>
              </w:rPr>
            </w:pPr>
          </w:p>
        </w:tc>
        <w:tc>
          <w:tcPr>
            <w:tcW w:w="440" w:type="dxa"/>
            <w:vAlign w:val="bottom"/>
          </w:tcPr>
          <w:p>
            <w:pPr>
              <w:spacing w:after="0"/>
              <w:rPr>
                <w:sz w:val="22"/>
                <w:szCs w:val="22"/>
                <w:color w:val="auto"/>
              </w:rPr>
            </w:pPr>
          </w:p>
        </w:tc>
      </w:tr>
      <w:tr>
        <w:trPr>
          <w:trHeight w:val="138"/>
        </w:trPr>
        <w:tc>
          <w:tcPr>
            <w:tcW w:w="200" w:type="dxa"/>
            <w:vAlign w:val="bottom"/>
            <w:gridSpan w:val="2"/>
          </w:tcPr>
          <w:p>
            <w:pPr>
              <w:spacing w:after="0" w:line="138" w:lineRule="exact"/>
              <w:rPr>
                <w:rFonts w:ascii="Arial" w:cs="Arial" w:eastAsia="Arial" w:hAnsi="Arial"/>
                <w:sz w:val="13"/>
                <w:szCs w:val="13"/>
                <w:color w:val="0000EE"/>
                <w:w w:val="88"/>
              </w:rPr>
            </w:pPr>
            <w:hyperlink w:anchor="page61">
              <w:r>
                <w:rPr>
                  <w:rFonts w:ascii="Arial" w:cs="Arial" w:eastAsia="Arial" w:hAnsi="Arial"/>
                  <w:sz w:val="13"/>
                  <w:szCs w:val="13"/>
                  <w:color w:val="0000EE"/>
                  <w:w w:val="88"/>
                </w:rPr>
                <w:t>10.</w:t>
              </w:r>
            </w:hyperlink>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380" w:type="dxa"/>
            <w:vAlign w:val="bottom"/>
            <w:gridSpan w:val="30"/>
          </w:tcPr>
          <w:p>
            <w:pPr>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Directors and Executive Officers of the Registrant</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60</w:t>
            </w:r>
          </w:p>
        </w:tc>
      </w:tr>
      <w:tr>
        <w:trPr>
          <w:trHeight w:val="138"/>
        </w:trPr>
        <w:tc>
          <w:tcPr>
            <w:tcW w:w="100" w:type="dxa"/>
            <w:vAlign w:val="bottom"/>
            <w:tcBorders>
              <w:top w:val="single" w:sz="8" w:color="0000EE"/>
              <w:bottom w:val="single" w:sz="8" w:color="0000EE"/>
            </w:tcBorders>
          </w:tcPr>
          <w:p>
            <w:pPr>
              <w:spacing w:after="0"/>
              <w:rPr>
                <w:rFonts w:ascii="Arial" w:cs="Arial" w:eastAsia="Arial" w:hAnsi="Arial"/>
                <w:sz w:val="5"/>
                <w:szCs w:val="5"/>
                <w:color w:val="0000EE"/>
                <w:w w:val="85"/>
              </w:rPr>
            </w:pPr>
            <w:hyperlink w:anchor="page61">
              <w:r>
                <w:rPr>
                  <w:rFonts w:ascii="Arial" w:cs="Arial" w:eastAsia="Arial" w:hAnsi="Arial"/>
                  <w:sz w:val="5"/>
                  <w:szCs w:val="5"/>
                  <w:color w:val="0000EE"/>
                  <w:w w:val="85"/>
                </w:rPr>
                <w:t>11.</w:t>
              </w:r>
            </w:hyperlink>
          </w:p>
        </w:tc>
        <w:tc>
          <w:tcPr>
            <w:tcW w:w="10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Borders>
              <w:top w:val="single" w:sz="8" w:color="0000EE"/>
              <w:bottom w:val="single" w:sz="8" w:color="0000EE"/>
            </w:tcBorders>
            <w:gridSpan w:val="10"/>
          </w:tcPr>
          <w:p>
            <w:pPr>
              <w:spacing w:after="0" w:line="138" w:lineRule="exact"/>
              <w:rPr>
                <w:rFonts w:ascii="Arial" w:cs="Arial" w:eastAsia="Arial" w:hAnsi="Arial"/>
                <w:sz w:val="13"/>
                <w:szCs w:val="13"/>
                <w:color w:val="0000EE"/>
                <w:w w:val="90"/>
              </w:rPr>
            </w:pPr>
            <w:hyperlink w:anchor="page61">
              <w:r>
                <w:rPr>
                  <w:rFonts w:ascii="Arial" w:cs="Arial" w:eastAsia="Arial" w:hAnsi="Arial"/>
                  <w:sz w:val="13"/>
                  <w:szCs w:val="13"/>
                  <w:color w:val="0000EE"/>
                  <w:w w:val="90"/>
                </w:rPr>
                <w:t>Executive Compensation</w:t>
              </w:r>
            </w:hyperlink>
          </w:p>
        </w:tc>
        <w:tc>
          <w:tcPr>
            <w:tcW w:w="1320" w:type="dxa"/>
            <w:vAlign w:val="bottom"/>
            <w:tcBorders>
              <w:top w:val="single" w:sz="8" w:color="0000EE"/>
            </w:tcBorders>
            <w:gridSpan w:val="6"/>
          </w:tcPr>
          <w:p>
            <w:pPr>
              <w:spacing w:after="0"/>
              <w:rPr>
                <w:sz w:val="12"/>
                <w:szCs w:val="12"/>
                <w:color w:val="auto"/>
              </w:rPr>
            </w:pPr>
          </w:p>
        </w:tc>
        <w:tc>
          <w:tcPr>
            <w:tcW w:w="5740" w:type="dxa"/>
            <w:vAlign w:val="bottom"/>
            <w:gridSpan w:val="14"/>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60</w:t>
            </w:r>
          </w:p>
        </w:tc>
      </w:tr>
      <w:tr>
        <w:trPr>
          <w:trHeight w:val="138"/>
        </w:trPr>
        <w:tc>
          <w:tcPr>
            <w:tcW w:w="200" w:type="dxa"/>
            <w:vAlign w:val="bottom"/>
            <w:tcBorders>
              <w:bottom w:val="single" w:sz="8" w:color="0000EE"/>
            </w:tcBorders>
            <w:gridSpan w:val="2"/>
          </w:tcPr>
          <w:p>
            <w:pPr>
              <w:spacing w:after="0" w:line="138" w:lineRule="exact"/>
              <w:rPr>
                <w:rFonts w:ascii="Arial" w:cs="Arial" w:eastAsia="Arial" w:hAnsi="Arial"/>
                <w:sz w:val="13"/>
                <w:szCs w:val="13"/>
                <w:color w:val="0000EE"/>
                <w:w w:val="88"/>
              </w:rPr>
            </w:pPr>
            <w:hyperlink w:anchor="page61">
              <w:r>
                <w:rPr>
                  <w:rFonts w:ascii="Arial" w:cs="Arial" w:eastAsia="Arial" w:hAnsi="Arial"/>
                  <w:sz w:val="13"/>
                  <w:szCs w:val="13"/>
                  <w:color w:val="0000EE"/>
                  <w:w w:val="88"/>
                </w:rPr>
                <w:t>12.</w:t>
              </w:r>
            </w:hyperlink>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340" w:type="dxa"/>
            <w:vAlign w:val="bottom"/>
            <w:tcBorders>
              <w:bottom w:val="single" w:sz="8" w:color="0000EE"/>
            </w:tcBorders>
            <w:gridSpan w:val="28"/>
          </w:tcPr>
          <w:p>
            <w:pPr>
              <w:spacing w:after="0" w:line="138" w:lineRule="exact"/>
              <w:rPr>
                <w:rFonts w:ascii="Arial" w:cs="Arial" w:eastAsia="Arial" w:hAnsi="Arial"/>
                <w:sz w:val="13"/>
                <w:szCs w:val="13"/>
                <w:color w:val="0000EE"/>
                <w:w w:val="91"/>
              </w:rPr>
            </w:pPr>
            <w:hyperlink w:anchor="page61">
              <w:r>
                <w:rPr>
                  <w:rFonts w:ascii="Arial" w:cs="Arial" w:eastAsia="Arial" w:hAnsi="Arial"/>
                  <w:sz w:val="13"/>
                  <w:szCs w:val="13"/>
                  <w:color w:val="0000EE"/>
                  <w:w w:val="91"/>
                </w:rPr>
                <w:t>Security Ownership of Certain Beneficial Owners and Management and Related Stockholder Matters</w:t>
              </w:r>
            </w:hyperlink>
          </w:p>
        </w:tc>
        <w:tc>
          <w:tcPr>
            <w:tcW w:w="3040" w:type="dxa"/>
            <w:vAlign w:val="bottom"/>
            <w:gridSpan w:val="2"/>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60</w:t>
            </w:r>
          </w:p>
        </w:tc>
      </w:tr>
      <w:tr>
        <w:trPr>
          <w:trHeight w:val="138"/>
        </w:trPr>
        <w:tc>
          <w:tcPr>
            <w:tcW w:w="200" w:type="dxa"/>
            <w:vAlign w:val="bottom"/>
            <w:tcBorders>
              <w:bottom w:val="single" w:sz="8" w:color="0000EE"/>
            </w:tcBorders>
            <w:gridSpan w:val="2"/>
          </w:tcPr>
          <w:p>
            <w:pPr>
              <w:spacing w:after="0" w:line="138" w:lineRule="exact"/>
              <w:rPr>
                <w:rFonts w:ascii="Arial" w:cs="Arial" w:eastAsia="Arial" w:hAnsi="Arial"/>
                <w:sz w:val="13"/>
                <w:szCs w:val="13"/>
                <w:color w:val="0000EE"/>
                <w:w w:val="88"/>
              </w:rPr>
            </w:pPr>
            <w:hyperlink w:anchor="page61">
              <w:r>
                <w:rPr>
                  <w:rFonts w:ascii="Arial" w:cs="Arial" w:eastAsia="Arial" w:hAnsi="Arial"/>
                  <w:sz w:val="13"/>
                  <w:szCs w:val="13"/>
                  <w:color w:val="0000EE"/>
                  <w:w w:val="88"/>
                </w:rPr>
                <w:t>13.</w:t>
              </w:r>
            </w:hyperlink>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00" w:type="dxa"/>
            <w:vAlign w:val="bottom"/>
            <w:tcBorders>
              <w:bottom w:val="single" w:sz="8" w:color="0000EE"/>
            </w:tcBorders>
            <w:gridSpan w:val="15"/>
          </w:tcPr>
          <w:p>
            <w:pPr>
              <w:spacing w:after="0" w:line="138" w:lineRule="exact"/>
              <w:rPr>
                <w:rFonts w:ascii="Arial" w:cs="Arial" w:eastAsia="Arial" w:hAnsi="Arial"/>
                <w:sz w:val="13"/>
                <w:szCs w:val="13"/>
                <w:color w:val="0000EE"/>
                <w:w w:val="90"/>
              </w:rPr>
            </w:pPr>
            <w:hyperlink w:anchor="page61">
              <w:r>
                <w:rPr>
                  <w:rFonts w:ascii="Arial" w:cs="Arial" w:eastAsia="Arial" w:hAnsi="Arial"/>
                  <w:sz w:val="13"/>
                  <w:szCs w:val="13"/>
                  <w:color w:val="0000EE"/>
                  <w:w w:val="90"/>
                </w:rPr>
                <w:t>Certain Relationships and Related Transactions</w:t>
              </w:r>
            </w:hyperlink>
          </w:p>
        </w:tc>
        <w:tc>
          <w:tcPr>
            <w:tcW w:w="5880" w:type="dxa"/>
            <w:vAlign w:val="bottom"/>
            <w:gridSpan w:val="15"/>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60</w:t>
            </w:r>
          </w:p>
        </w:tc>
      </w:tr>
      <w:tr>
        <w:trPr>
          <w:trHeight w:val="138"/>
        </w:trPr>
        <w:tc>
          <w:tcPr>
            <w:tcW w:w="200" w:type="dxa"/>
            <w:vAlign w:val="bottom"/>
            <w:gridSpan w:val="2"/>
          </w:tcPr>
          <w:p>
            <w:pPr>
              <w:spacing w:after="0" w:line="138" w:lineRule="exact"/>
              <w:rPr>
                <w:rFonts w:ascii="Arial" w:cs="Arial" w:eastAsia="Arial" w:hAnsi="Arial"/>
                <w:sz w:val="13"/>
                <w:szCs w:val="13"/>
                <w:color w:val="0000EE"/>
                <w:w w:val="88"/>
              </w:rPr>
            </w:pPr>
            <w:hyperlink w:anchor="page61">
              <w:r>
                <w:rPr>
                  <w:rFonts w:ascii="Arial" w:cs="Arial" w:eastAsia="Arial" w:hAnsi="Arial"/>
                  <w:sz w:val="13"/>
                  <w:szCs w:val="13"/>
                  <w:color w:val="0000EE"/>
                  <w:w w:val="88"/>
                </w:rPr>
                <w:t>14.</w:t>
              </w:r>
            </w:hyperlink>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380" w:type="dxa"/>
            <w:vAlign w:val="bottom"/>
            <w:gridSpan w:val="30"/>
          </w:tcPr>
          <w:p>
            <w:pPr>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Principal Accountant Fees and Services</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60</w:t>
            </w:r>
          </w:p>
        </w:tc>
      </w:tr>
      <w:tr>
        <w:trPr>
          <w:trHeight w:val="257"/>
        </w:trPr>
        <w:tc>
          <w:tcPr>
            <w:tcW w:w="1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580" w:type="dxa"/>
            <w:vAlign w:val="bottom"/>
            <w:tcBorders>
              <w:top w:val="single" w:sz="8" w:color="0000EE"/>
            </w:tcBorders>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0" w:type="dxa"/>
            <w:vAlign w:val="bottom"/>
            <w:gridSpan w:val="11"/>
          </w:tcPr>
          <w:p>
            <w:pPr>
              <w:jc w:val="center"/>
              <w:ind w:right="4280"/>
              <w:spacing w:after="0"/>
              <w:rPr>
                <w:rFonts w:ascii="Arial" w:cs="Arial" w:eastAsia="Arial" w:hAnsi="Arial"/>
                <w:sz w:val="13"/>
                <w:szCs w:val="13"/>
                <w:b w:val="1"/>
                <w:bCs w:val="1"/>
                <w:color w:val="0000EE"/>
              </w:rPr>
            </w:pPr>
            <w:hyperlink w:anchor="page62">
              <w:r>
                <w:rPr>
                  <w:rFonts w:ascii="Arial" w:cs="Arial" w:eastAsia="Arial" w:hAnsi="Arial"/>
                  <w:sz w:val="13"/>
                  <w:szCs w:val="13"/>
                  <w:b w:val="1"/>
                  <w:bCs w:val="1"/>
                  <w:color w:val="0000EE"/>
                </w:rPr>
                <w:t>PART IV</w:t>
              </w:r>
            </w:hyperlink>
          </w:p>
        </w:tc>
        <w:tc>
          <w:tcPr>
            <w:tcW w:w="440" w:type="dxa"/>
            <w:vAlign w:val="bottom"/>
          </w:tcPr>
          <w:p>
            <w:pPr>
              <w:spacing w:after="0"/>
              <w:rPr>
                <w:sz w:val="22"/>
                <w:szCs w:val="22"/>
                <w:color w:val="auto"/>
              </w:rPr>
            </w:pPr>
          </w:p>
        </w:tc>
      </w:tr>
      <w:tr>
        <w:trPr>
          <w:trHeight w:val="138"/>
        </w:trPr>
        <w:tc>
          <w:tcPr>
            <w:tcW w:w="200" w:type="dxa"/>
            <w:vAlign w:val="bottom"/>
            <w:gridSpan w:val="2"/>
          </w:tcPr>
          <w:p>
            <w:pPr>
              <w:spacing w:after="0" w:line="138" w:lineRule="exact"/>
              <w:rPr>
                <w:rFonts w:ascii="Arial" w:cs="Arial" w:eastAsia="Arial" w:hAnsi="Arial"/>
                <w:sz w:val="13"/>
                <w:szCs w:val="13"/>
                <w:color w:val="0000EE"/>
                <w:w w:val="88"/>
              </w:rPr>
            </w:pPr>
            <w:hyperlink w:anchor="page62">
              <w:r>
                <w:rPr>
                  <w:rFonts w:ascii="Arial" w:cs="Arial" w:eastAsia="Arial" w:hAnsi="Arial"/>
                  <w:sz w:val="13"/>
                  <w:szCs w:val="13"/>
                  <w:color w:val="0000EE"/>
                  <w:w w:val="88"/>
                </w:rPr>
                <w:t>15.</w:t>
              </w:r>
            </w:hyperlink>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0" w:type="dxa"/>
            <w:vAlign w:val="bottom"/>
            <w:gridSpan w:val="20"/>
          </w:tcPr>
          <w:p>
            <w:pPr>
              <w:spacing w:after="0" w:line="138" w:lineRule="exact"/>
              <w:rPr>
                <w:rFonts w:ascii="Arial" w:cs="Arial" w:eastAsia="Arial" w:hAnsi="Arial"/>
                <w:sz w:val="13"/>
                <w:szCs w:val="13"/>
                <w:color w:val="0000EE"/>
              </w:rPr>
            </w:pPr>
            <w:hyperlink w:anchor="page62">
              <w:r>
                <w:rPr>
                  <w:rFonts w:ascii="Arial" w:cs="Arial" w:eastAsia="Arial" w:hAnsi="Arial"/>
                  <w:sz w:val="13"/>
                  <w:szCs w:val="13"/>
                  <w:color w:val="0000EE"/>
                </w:rPr>
                <w:t>Exhibits and Financial Statement Schedules</w:t>
              </w:r>
            </w:hyperlink>
          </w:p>
        </w:tc>
        <w:tc>
          <w:tcPr>
            <w:tcW w:w="500" w:type="dxa"/>
            <w:vAlign w:val="bottom"/>
            <w:tcBorders>
              <w:top w:val="single" w:sz="8" w:color="0000EE"/>
            </w:tcBorders>
            <w:gridSpan w:val="4"/>
          </w:tcPr>
          <w:p>
            <w:pPr>
              <w:spacing w:after="0"/>
              <w:rPr>
                <w:sz w:val="12"/>
                <w:szCs w:val="12"/>
                <w:color w:val="auto"/>
              </w:rPr>
            </w:pPr>
          </w:p>
        </w:tc>
        <w:tc>
          <w:tcPr>
            <w:tcW w:w="4280" w:type="dxa"/>
            <w:vAlign w:val="bottom"/>
            <w:gridSpan w:val="6"/>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61</w:t>
            </w:r>
          </w:p>
        </w:tc>
      </w:tr>
      <w:tr>
        <w:trPr>
          <w:trHeight w:val="138"/>
        </w:trPr>
        <w:tc>
          <w:tcPr>
            <w:tcW w:w="1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Borders>
              <w:top w:val="single" w:sz="8" w:color="0000EE"/>
              <w:bottom w:val="single" w:sz="8" w:color="0000EE"/>
            </w:tcBorders>
            <w:gridSpan w:val="4"/>
          </w:tcPr>
          <w:p>
            <w:pPr>
              <w:spacing w:after="0" w:line="138" w:lineRule="exact"/>
              <w:rPr>
                <w:rFonts w:ascii="Arial" w:cs="Arial" w:eastAsia="Arial" w:hAnsi="Arial"/>
                <w:sz w:val="13"/>
                <w:szCs w:val="13"/>
                <w:color w:val="0000EE"/>
                <w:w w:val="86"/>
              </w:rPr>
            </w:pPr>
            <w:hyperlink w:anchor="page64">
              <w:r>
                <w:rPr>
                  <w:rFonts w:ascii="Arial" w:cs="Arial" w:eastAsia="Arial" w:hAnsi="Arial"/>
                  <w:sz w:val="13"/>
                  <w:szCs w:val="13"/>
                  <w:color w:val="0000EE"/>
                  <w:w w:val="86"/>
                </w:rPr>
                <w:t>Signatures</w:t>
              </w:r>
            </w:hyperlink>
          </w:p>
        </w:tc>
        <w:tc>
          <w:tcPr>
            <w:tcW w:w="1780" w:type="dxa"/>
            <w:vAlign w:val="bottom"/>
            <w:tcBorders>
              <w:top w:val="single" w:sz="8" w:color="0000EE"/>
            </w:tcBorders>
            <w:gridSpan w:val="9"/>
          </w:tcPr>
          <w:p>
            <w:pPr>
              <w:spacing w:after="0"/>
              <w:rPr>
                <w:sz w:val="12"/>
                <w:szCs w:val="12"/>
                <w:color w:val="auto"/>
              </w:rPr>
            </w:pPr>
          </w:p>
        </w:tc>
        <w:tc>
          <w:tcPr>
            <w:tcW w:w="6040" w:type="dxa"/>
            <w:vAlign w:val="bottom"/>
            <w:gridSpan w:val="17"/>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63</w:t>
            </w:r>
          </w:p>
        </w:tc>
      </w:tr>
      <w:tr>
        <w:trPr>
          <w:trHeight w:val="138"/>
        </w:trPr>
        <w:tc>
          <w:tcPr>
            <w:tcW w:w="100" w:type="dxa"/>
            <w:vAlign w:val="bottom"/>
          </w:tcPr>
          <w:p>
            <w:pPr>
              <w:spacing w:after="0"/>
              <w:rPr>
                <w:sz w:val="12"/>
                <w:szCs w:val="12"/>
                <w:color w:val="auto"/>
              </w:rPr>
            </w:pPr>
          </w:p>
        </w:tc>
        <w:tc>
          <w:tcPr>
            <w:tcW w:w="1600" w:type="dxa"/>
            <w:vAlign w:val="bottom"/>
            <w:tcBorders>
              <w:bottom w:val="single" w:sz="8" w:color="0000EE"/>
            </w:tcBorders>
            <w:gridSpan w:val="6"/>
          </w:tcPr>
          <w:p>
            <w:pPr>
              <w:spacing w:after="0" w:line="138" w:lineRule="exact"/>
              <w:rPr>
                <w:sz w:val="20"/>
                <w:szCs w:val="20"/>
                <w:color w:val="auto"/>
              </w:rPr>
            </w:pPr>
            <w:r>
              <w:rPr>
                <w:rFonts w:ascii="Arial" w:cs="Arial" w:eastAsia="Arial" w:hAnsi="Arial"/>
                <w:sz w:val="13"/>
                <w:szCs w:val="13"/>
                <w:color w:val="0000EE"/>
                <w:w w:val="87"/>
              </w:rPr>
              <w:t>Consent of Ernst &amp; Young, LLP</w:t>
            </w:r>
          </w:p>
        </w:tc>
        <w:tc>
          <w:tcPr>
            <w:tcW w:w="7840" w:type="dxa"/>
            <w:vAlign w:val="bottom"/>
            <w:gridSpan w:val="27"/>
          </w:tcPr>
          <w:p>
            <w:pPr>
              <w:spacing w:after="0"/>
              <w:rPr>
                <w:sz w:val="12"/>
                <w:szCs w:val="12"/>
                <w:color w:val="auto"/>
              </w:rPr>
            </w:pPr>
          </w:p>
        </w:tc>
        <w:tc>
          <w:tcPr>
            <w:tcW w:w="440" w:type="dxa"/>
            <w:vAlign w:val="bottom"/>
          </w:tcPr>
          <w:p>
            <w:pPr>
              <w:spacing w:after="0"/>
              <w:rPr>
                <w:sz w:val="12"/>
                <w:szCs w:val="12"/>
                <w:color w:val="auto"/>
              </w:rPr>
            </w:pPr>
          </w:p>
        </w:tc>
      </w:tr>
      <w:tr>
        <w:trPr>
          <w:trHeight w:val="138"/>
        </w:trPr>
        <w:tc>
          <w:tcPr>
            <w:tcW w:w="100" w:type="dxa"/>
            <w:vAlign w:val="bottom"/>
          </w:tcPr>
          <w:p>
            <w:pPr>
              <w:spacing w:after="0"/>
              <w:rPr>
                <w:sz w:val="12"/>
                <w:szCs w:val="12"/>
                <w:color w:val="auto"/>
              </w:rPr>
            </w:pPr>
          </w:p>
        </w:tc>
        <w:tc>
          <w:tcPr>
            <w:tcW w:w="9440" w:type="dxa"/>
            <w:vAlign w:val="bottom"/>
            <w:gridSpan w:val="33"/>
          </w:tcPr>
          <w:p>
            <w:pPr>
              <w:spacing w:after="0" w:line="138" w:lineRule="exact"/>
              <w:rPr>
                <w:sz w:val="20"/>
                <w:szCs w:val="20"/>
                <w:color w:val="auto"/>
              </w:rPr>
            </w:pPr>
            <w:r>
              <w:rPr>
                <w:rFonts w:ascii="Arial" w:cs="Arial" w:eastAsia="Arial" w:hAnsi="Arial"/>
                <w:sz w:val="13"/>
                <w:szCs w:val="13"/>
                <w:color w:val="0000EE"/>
              </w:rPr>
              <w:t>Certification of Chief Executive Officer pursuant to Rule 13a-14(a)</w:t>
            </w:r>
          </w:p>
        </w:tc>
        <w:tc>
          <w:tcPr>
            <w:tcW w:w="440" w:type="dxa"/>
            <w:vAlign w:val="bottom"/>
          </w:tcPr>
          <w:p>
            <w:pPr>
              <w:spacing w:after="0"/>
              <w:rPr>
                <w:sz w:val="12"/>
                <w:szCs w:val="12"/>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-2956560</wp:posOffset>
            </wp:positionV>
            <wp:extent cx="635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u w:val="single" w:color="auto"/>
          <w:color w:val="0000EE"/>
        </w:rPr>
        <w:t>Certification of Chief Financial Officer pursuant to Rule 13a-14(a)</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Certification of Chief Executive Officer pursuant to Rule 13a-14(b)</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Certification of Chief Financial Officer pursuant to Rule 13a-14(b)</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108585</wp:posOffset>
            </wp:positionV>
            <wp:extent cx="728980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9980"/>
          </w:cols>
          <w:pgMar w:left="900" w:top="750"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7"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i w:val="1"/>
          <w:iCs w:val="1"/>
          <w:color w:val="auto"/>
        </w:rPr>
        <w:t>BUSINESS</w:t>
      </w:r>
    </w:p>
    <w:p>
      <w:pPr>
        <w:spacing w:after="0" w:line="102"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i w:val="1"/>
          <w:iCs w:val="1"/>
          <w:color w:val="auto"/>
        </w:rPr>
        <w:t>The words “Synchronoss”, “we”, “our”, “ours”, “us” and the “Company” refer to Synchronoss Technologies, Inc. All statements in this discussion that are not historical are forward-looking statements within the meaning of Section 27A of the Securities Act of 1933, as amended, and Section 21E of the Securities Exchange Act of 1934, as amended, including statements regarding Synchronoss’ “expectations”, “beliefs”, “hopes”, “intentions”, “strategies” or the like. Such statements are based on management’s current expectations and are subject to a number of factors and uncertainties that could cause actual results to differ materially from those described in the forward-looking statements. Synchronoss cautions investors that there can be no assurance that actual results or business conditions will not differ materially from those projected or suggested in such forward-looking statements as a result of various factors, including, but not limited to, the risk factors discussed in this Annual Report on Form 10-K. Synchronoss expressly disclaims any obligation or undertaking to release publicly any updates or revisions to any forward-looking statements contained herein to reflect any change in Synchronoss’ expectations with regard thereto or any change in events, conditions, or circumstances on which any such statements are based.</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2"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are a leading provider of on-demand multi-channel transaction software management platforms that enable communications service providers (CSPs) to automate new subscriber activation, order management and service provisioning. Our ConvergenceNow</w:t>
      </w:r>
      <w:r>
        <w:rPr>
          <w:rFonts w:ascii="Arial" w:cs="Arial" w:eastAsia="Arial" w:hAnsi="Arial"/>
          <w:sz w:val="10"/>
          <w:szCs w:val="10"/>
          <w:color w:val="auto"/>
        </w:rPr>
        <w:t>®</w:t>
      </w:r>
      <w:r>
        <w:rPr>
          <w:rFonts w:ascii="Arial" w:cs="Arial" w:eastAsia="Arial" w:hAnsi="Arial"/>
          <w:sz w:val="12"/>
          <w:szCs w:val="12"/>
          <w:color w:val="auto"/>
        </w:rPr>
        <w:t xml:space="preserve"> platforms provide seamless integration between customer-facing applications and “back-office” or ActivationNow</w:t>
      </w:r>
      <w:r>
        <w:rPr>
          <w:rFonts w:ascii="Arial" w:cs="Arial" w:eastAsia="Arial" w:hAnsi="Arial"/>
          <w:sz w:val="10"/>
          <w:szCs w:val="10"/>
          <w:color w:val="auto"/>
        </w:rPr>
        <w:t>®</w:t>
      </w:r>
      <w:r>
        <w:rPr>
          <w:rFonts w:ascii="Arial" w:cs="Arial" w:eastAsia="Arial" w:hAnsi="Arial"/>
          <w:sz w:val="12"/>
          <w:szCs w:val="12"/>
          <w:color w:val="auto"/>
        </w:rPr>
        <w:t xml:space="preserve"> and infrastructure-related systems and processes. Our CSP customers rely on our internet based solutions and technology to automate the process of activating customers and delivering additional communications services including new service offerings and ongoing customer care. We have designed our platforms to be flexible to enable multiple communication services including wireless, Voice Over Internet Protocol (VoIP), wireline and cable to be managed through multiple distribution channels including e-commerce, CSP stores and other retail outlets, etc., allowing us to meet the rapidly changing and converging services offered by CSPs. By simplifying the processes associated with managing the customer experience for ordering and activating services through the automation and integration of disparate systems, we enable CSPs to acquire, retain and service customers quickly, reliably and cost-effectively. We enable service providers to drive growth in new and existing markets while delivering an improved customer experience at lower costs.</w:t>
      </w:r>
    </w:p>
    <w:p>
      <w:pPr>
        <w:spacing w:after="0" w:line="62" w:lineRule="exact"/>
        <w:rPr>
          <w:sz w:val="20"/>
          <w:szCs w:val="20"/>
          <w:color w:val="auto"/>
        </w:rPr>
      </w:pPr>
    </w:p>
    <w:p>
      <w:pPr>
        <w:ind w:left="680" w:right="100" w:firstLine="399"/>
        <w:spacing w:after="0" w:line="266" w:lineRule="auto"/>
        <w:rPr>
          <w:sz w:val="20"/>
          <w:szCs w:val="20"/>
          <w:color w:val="auto"/>
        </w:rPr>
      </w:pPr>
      <w:r>
        <w:rPr>
          <w:rFonts w:ascii="Arial" w:cs="Arial" w:eastAsia="Arial" w:hAnsi="Arial"/>
          <w:sz w:val="13"/>
          <w:szCs w:val="13"/>
          <w:color w:val="auto"/>
        </w:rPr>
        <w:t>Our industry-leading customers include wireline, wireless, VoIP and cable MSO companies including AT&amp;T Inc., Sprint Nextel, Embarq, Vonage Holdings, Cablevision Systems Corporation, Level 3 Communications, Covad, Verizon Business Solutions, Charter Communications, Clearwire, Time Warner Cable and Comcast. These customers use our platforms and technology to service both consumer and business customers, including over 300 of the Fortune 500 companies.</w:t>
      </w:r>
    </w:p>
    <w:p>
      <w:pPr>
        <w:spacing w:after="0" w:line="67" w:lineRule="exact"/>
        <w:rPr>
          <w:sz w:val="20"/>
          <w:szCs w:val="20"/>
          <w:color w:val="auto"/>
        </w:rPr>
      </w:pPr>
    </w:p>
    <w:p>
      <w:pPr>
        <w:ind w:left="680" w:right="20" w:firstLine="399"/>
        <w:spacing w:after="0" w:line="287" w:lineRule="auto"/>
        <w:rPr>
          <w:sz w:val="20"/>
          <w:szCs w:val="20"/>
          <w:color w:val="auto"/>
        </w:rPr>
      </w:pPr>
      <w:r>
        <w:rPr>
          <w:rFonts w:ascii="Arial" w:cs="Arial" w:eastAsia="Arial" w:hAnsi="Arial"/>
          <w:sz w:val="12"/>
          <w:szCs w:val="12"/>
          <w:color w:val="auto"/>
        </w:rPr>
        <w:t>We were incorporated in Delaware in 2000. Our internet address is www.synchronoss.com. On this website, we post the following filings as soon as reasonably practicable after they are electronically filed with or furnished to the U.S. Securities and Exchange Commission (SEC): our annual reports on Form 10-K, quarterly reports on Form 10-Q, our current reports on Form 8-K, our proxy statement on Form 14A related to our annual stockholders’ meeting and any amendment to those reports or statements filed or furnished pursuant to Section 13(a) or 15(d) of the Securities Exchange Act of 1934, as amended. All such filings are available on the Investor Relations portion of our web site free of charge. The contents of our web site are not intended to be incorporated by reference into this Form 10-K or in any other report or document we file.</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Synchronoss Solutions</w:t>
      </w:r>
    </w:p>
    <w:p>
      <w:pPr>
        <w:spacing w:after="0" w:line="100"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Our ActivationNow</w:t>
      </w:r>
      <w:r>
        <w:rPr>
          <w:rFonts w:ascii="Arial" w:cs="Arial" w:eastAsia="Arial" w:hAnsi="Arial"/>
          <w:sz w:val="11"/>
          <w:szCs w:val="11"/>
          <w:color w:val="auto"/>
        </w:rPr>
        <w:t>®</w:t>
      </w:r>
      <w:r>
        <w:rPr>
          <w:rFonts w:ascii="Arial" w:cs="Arial" w:eastAsia="Arial" w:hAnsi="Arial"/>
          <w:sz w:val="13"/>
          <w:szCs w:val="13"/>
          <w:color w:val="auto"/>
        </w:rPr>
        <w:t xml:space="preserve"> and ConvergenceNow</w:t>
      </w:r>
      <w:r>
        <w:rPr>
          <w:rFonts w:ascii="Arial" w:cs="Arial" w:eastAsia="Arial" w:hAnsi="Arial"/>
          <w:sz w:val="11"/>
          <w:szCs w:val="11"/>
          <w:color w:val="auto"/>
        </w:rPr>
        <w:t>®</w:t>
      </w:r>
      <w:r>
        <w:rPr>
          <w:rFonts w:ascii="Arial" w:cs="Arial" w:eastAsia="Arial" w:hAnsi="Arial"/>
          <w:sz w:val="13"/>
          <w:szCs w:val="13"/>
          <w:color w:val="auto"/>
        </w:rPr>
        <w:t xml:space="preserve"> platforms provide comprehensive on-demand e-commerce order processing, transaction management and service provisioning through multiple channels including e-commerce, telesales, CSP stores and other retail outlets. We have designed ActivationNow</w:t>
      </w:r>
      <w:r>
        <w:rPr>
          <w:rFonts w:ascii="Arial" w:cs="Arial" w:eastAsia="Arial" w:hAnsi="Arial"/>
          <w:sz w:val="11"/>
          <w:szCs w:val="11"/>
          <w:color w:val="auto"/>
        </w:rPr>
        <w:t>®</w:t>
      </w:r>
      <w:r>
        <w:rPr>
          <w:rFonts w:ascii="Arial" w:cs="Arial" w:eastAsia="Arial" w:hAnsi="Arial"/>
          <w:sz w:val="13"/>
          <w:szCs w:val="13"/>
          <w:color w:val="auto"/>
        </w:rPr>
        <w:t xml:space="preserve"> to be a flexible, scalable, open and on-demand platform, offering a unique solution for managing transactions for a wide range of existing communications and digital content services as well as rapidly deploying new services. Our ConvergenceNow</w:t>
      </w:r>
      <w:r>
        <w:rPr>
          <w:rFonts w:ascii="Arial" w:cs="Arial" w:eastAsia="Arial" w:hAnsi="Arial"/>
          <w:sz w:val="11"/>
          <w:szCs w:val="11"/>
          <w:color w:val="auto"/>
        </w:rPr>
        <w:t>®</w:t>
      </w:r>
      <w:r>
        <w:rPr>
          <w:rFonts w:ascii="Arial" w:cs="Arial" w:eastAsia="Arial" w:hAnsi="Arial"/>
          <w:sz w:val="13"/>
          <w:szCs w:val="13"/>
          <w:color w:val="auto"/>
        </w:rPr>
        <w:t xml:space="preserve"> platform,</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40"/>
        <w:spacing w:after="0" w:line="283" w:lineRule="auto"/>
        <w:rPr>
          <w:sz w:val="20"/>
          <w:szCs w:val="20"/>
          <w:color w:val="auto"/>
        </w:rPr>
      </w:pPr>
      <w:r>
        <w:rPr>
          <w:rFonts w:ascii="Arial" w:cs="Arial" w:eastAsia="Arial" w:hAnsi="Arial"/>
          <w:sz w:val="13"/>
          <w:szCs w:val="13"/>
          <w:color w:val="auto"/>
        </w:rPr>
        <w:t>launched in February 2007, expands the capabilities of ActivationNow</w:t>
      </w:r>
      <w:r>
        <w:rPr>
          <w:rFonts w:ascii="Arial" w:cs="Arial" w:eastAsia="Arial" w:hAnsi="Arial"/>
          <w:sz w:val="11"/>
          <w:szCs w:val="11"/>
          <w:color w:val="auto"/>
        </w:rPr>
        <w:t>®</w:t>
      </w:r>
      <w:r>
        <w:rPr>
          <w:rFonts w:ascii="Arial" w:cs="Arial" w:eastAsia="Arial" w:hAnsi="Arial"/>
          <w:sz w:val="13"/>
          <w:szCs w:val="13"/>
          <w:color w:val="auto"/>
        </w:rPr>
        <w:t xml:space="preserve"> to enable an environment with a single point of access (i.e., handheld devices or desktops) to numerous communication and entertainment services.</w:t>
      </w:r>
    </w:p>
    <w:p>
      <w:pPr>
        <w:spacing w:after="0" w:line="55" w:lineRule="exact"/>
        <w:rPr>
          <w:sz w:val="20"/>
          <w:szCs w:val="20"/>
          <w:color w:val="auto"/>
        </w:rPr>
      </w:pPr>
    </w:p>
    <w:p>
      <w:pPr>
        <w:ind w:left="680" w:right="20" w:firstLine="399"/>
        <w:spacing w:after="0" w:line="283" w:lineRule="auto"/>
        <w:rPr>
          <w:sz w:val="20"/>
          <w:szCs w:val="20"/>
          <w:color w:val="auto"/>
        </w:rPr>
      </w:pPr>
      <w:r>
        <w:rPr>
          <w:rFonts w:ascii="Arial" w:cs="Arial" w:eastAsia="Arial" w:hAnsi="Arial"/>
          <w:sz w:val="12"/>
          <w:szCs w:val="12"/>
          <w:color w:val="auto"/>
        </w:rPr>
        <w:t>In addition to handling large volumes of customer transactions quickly and efficiently, our solutions are designed to recognize, isolate and address transactions when there is insufficient information or other erroneous process elements. This knowledge enables us to adapt our software solutions to automate a higher percentage of transactions over time, further improving the value of our solutions to our customers. Our solutions also offer a centralized reporting platform that provides intelligent, real-time analytics around the entire workflow related to any transaction. This reporting allows CSPs to appropriately identify buying trends, their customer’s segments, areas where their business has increased, and empowers the CSP’s with the tools to maximize their marketing trade and promotion dollars and merchandising. The automation and ease of integration of our platforms enable CSPs and handset device manufacturers to lower the cost of new customer acquisitions, enhance the accuracy and reliability of customer transactions and respond rapidly to competitive market conditions. Our platforms offer flexible, scalable solutions backed by service level agreements (SLAs) and exception handling.</w:t>
      </w:r>
    </w:p>
    <w:p>
      <w:pPr>
        <w:spacing w:after="0" w:line="57" w:lineRule="exact"/>
        <w:rPr>
          <w:sz w:val="20"/>
          <w:szCs w:val="20"/>
          <w:color w:val="auto"/>
        </w:rPr>
      </w:pPr>
    </w:p>
    <w:p>
      <w:pPr>
        <w:ind w:left="680" w:right="280" w:firstLine="399"/>
        <w:spacing w:after="0" w:line="260" w:lineRule="auto"/>
        <w:rPr>
          <w:sz w:val="20"/>
          <w:szCs w:val="20"/>
          <w:color w:val="auto"/>
        </w:rPr>
      </w:pPr>
      <w:r>
        <w:rPr>
          <w:rFonts w:ascii="Arial" w:cs="Arial" w:eastAsia="Arial" w:hAnsi="Arial"/>
          <w:sz w:val="13"/>
          <w:szCs w:val="13"/>
          <w:color w:val="auto"/>
        </w:rPr>
        <w:t>Our solutions are also designed to recognize, isolate and address transactions when there is insufficient information or other erroneous process elements, through a suite of capabilities we refer to as “exception handling.” Our exception handling service is designed to consistently meet SLAs for transactions that are not fully automated or have erroneous process elements. Our exception handling service utilizes two tiers of our platforms, the Workflow Manager and the Visibility Manager, to identify, correct and process non-automated transactions and exceptions in real-time. Critical functions provided by our exception handling service center include streamlining operations by reducing the number of transactions processed with human intervention.</w:t>
      </w:r>
    </w:p>
    <w:p>
      <w:pPr>
        <w:spacing w:after="0" w:line="70"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Our flexible solutions can manage transactions relating to a wide range of existing communications and digital content services across the many segments of CSPs. For example, we enable wireless providers to conduct business-to-consumer, or B2C, and business-to-business, or B2B, transactions. We also furnish VoIP providers with customer-branded portals, as well as the gateway to service their retail customers and subscribers. The capabilities of our platforms allow CSPs to improve operational performance and efficiencies and rapidly deploy new services.</w:t>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solutions are designed to be:</w:t>
      </w:r>
    </w:p>
    <w:p>
      <w:pPr>
        <w:spacing w:after="0" w:line="98" w:lineRule="exact"/>
        <w:rPr>
          <w:sz w:val="20"/>
          <w:szCs w:val="20"/>
          <w:color w:val="auto"/>
        </w:rPr>
      </w:pPr>
    </w:p>
    <w:p>
      <w:pPr>
        <w:ind w:left="1080" w:right="240" w:firstLine="383"/>
        <w:spacing w:after="0" w:line="266" w:lineRule="auto"/>
        <w:rPr>
          <w:sz w:val="20"/>
          <w:szCs w:val="20"/>
          <w:color w:val="auto"/>
        </w:rPr>
      </w:pPr>
      <w:r>
        <w:rPr>
          <w:rFonts w:ascii="Arial" w:cs="Arial" w:eastAsia="Arial" w:hAnsi="Arial"/>
          <w:sz w:val="13"/>
          <w:szCs w:val="13"/>
          <w:i w:val="1"/>
          <w:iCs w:val="1"/>
          <w:color w:val="auto"/>
        </w:rPr>
        <w:t xml:space="preserve">Highly Automated: </w:t>
      </w:r>
      <w:r>
        <w:rPr>
          <w:rFonts w:ascii="Arial" w:cs="Arial" w:eastAsia="Arial" w:hAnsi="Arial"/>
          <w:sz w:val="13"/>
          <w:szCs w:val="13"/>
          <w:color w:val="auto"/>
        </w:rPr>
        <w:t>We designed our platforms to eliminate manual processes and to automate otherwise labor-intensive tasks, thus improving operating efficiencies and</w:t>
      </w:r>
      <w:r>
        <w:rPr>
          <w:rFonts w:ascii="Arial" w:cs="Arial" w:eastAsia="Arial" w:hAnsi="Arial"/>
          <w:sz w:val="13"/>
          <w:szCs w:val="13"/>
          <w:i w:val="1"/>
          <w:iCs w:val="1"/>
          <w:color w:val="auto"/>
        </w:rPr>
        <w:t xml:space="preserve"> </w:t>
      </w:r>
      <w:r>
        <w:rPr>
          <w:rFonts w:ascii="Arial" w:cs="Arial" w:eastAsia="Arial" w:hAnsi="Arial"/>
          <w:sz w:val="13"/>
          <w:szCs w:val="13"/>
          <w:color w:val="auto"/>
        </w:rPr>
        <w:t>reducing costs. By tracking every order and identifying those that are not provisioned properly, we substantially reduce the need for manual intervention. Our technology automatically guides a customer’s request for service through the entire series of required steps.</w:t>
      </w:r>
    </w:p>
    <w:p>
      <w:pPr>
        <w:spacing w:after="0" w:line="67" w:lineRule="exact"/>
        <w:rPr>
          <w:sz w:val="20"/>
          <w:szCs w:val="20"/>
          <w:color w:val="auto"/>
        </w:rPr>
      </w:pPr>
    </w:p>
    <w:p>
      <w:pPr>
        <w:ind w:left="1080" w:right="20" w:firstLine="383"/>
        <w:spacing w:after="0" w:line="257" w:lineRule="auto"/>
        <w:rPr>
          <w:sz w:val="20"/>
          <w:szCs w:val="20"/>
          <w:color w:val="auto"/>
        </w:rPr>
      </w:pPr>
      <w:r>
        <w:rPr>
          <w:rFonts w:ascii="Arial" w:cs="Arial" w:eastAsia="Arial" w:hAnsi="Arial"/>
          <w:sz w:val="13"/>
          <w:szCs w:val="13"/>
          <w:i w:val="1"/>
          <w:iCs w:val="1"/>
          <w:color w:val="auto"/>
        </w:rPr>
        <w:t xml:space="preserve">Predictable and Reliable Customer Experience: </w:t>
      </w:r>
      <w:r>
        <w:rPr>
          <w:rFonts w:ascii="Arial" w:cs="Arial" w:eastAsia="Arial" w:hAnsi="Arial"/>
          <w:sz w:val="13"/>
          <w:szCs w:val="13"/>
          <w:color w:val="auto"/>
        </w:rPr>
        <w:t>We are committed to providing high-quality, dependable services to our customers. To ensure reliability, system uptime and</w:t>
      </w:r>
      <w:r>
        <w:rPr>
          <w:rFonts w:ascii="Arial" w:cs="Arial" w:eastAsia="Arial" w:hAnsi="Arial"/>
          <w:sz w:val="13"/>
          <w:szCs w:val="13"/>
          <w:i w:val="1"/>
          <w:iCs w:val="1"/>
          <w:color w:val="auto"/>
        </w:rPr>
        <w:t xml:space="preserve"> </w:t>
      </w:r>
      <w:r>
        <w:rPr>
          <w:rFonts w:ascii="Arial" w:cs="Arial" w:eastAsia="Arial" w:hAnsi="Arial"/>
          <w:sz w:val="13"/>
          <w:szCs w:val="13"/>
          <w:color w:val="auto"/>
        </w:rPr>
        <w:t>other service offerings are guaranteed through our SLAs. Our products are complete customer management solutions, including exception handling, which we believe is one of the main factors that differentiates us from our competitors. In performing exception handling, our platforms recognize and isolate transaction orders that are not configured to specifications, processes them in a timely manner and communicates these orders back to our customers, thereby improving efficiency and reducing backlog. If manual intervention is required, our exception handling is outsourced to centers located in India, Canada and the United States. In addition, our database design preserves data integrity while ensuring fast, efficient, transaction-oriented data retrieval methods. As a demonstration of resilience, the database design has remained stable during the life and evolution of other components of our platforms. This stability provides reusability of the business functionality as new, updated graphical user interfaces, or other technical process components are developed.</w:t>
      </w:r>
    </w:p>
    <w:p>
      <w:pPr>
        <w:spacing w:after="0" w:line="74" w:lineRule="exact"/>
        <w:rPr>
          <w:sz w:val="20"/>
          <w:szCs w:val="20"/>
          <w:color w:val="auto"/>
        </w:rPr>
      </w:pPr>
    </w:p>
    <w:p>
      <w:pPr>
        <w:ind w:left="1080" w:right="120" w:firstLine="383"/>
        <w:spacing w:after="0" w:line="262" w:lineRule="auto"/>
        <w:rPr>
          <w:sz w:val="20"/>
          <w:szCs w:val="20"/>
          <w:color w:val="auto"/>
        </w:rPr>
      </w:pPr>
      <w:r>
        <w:rPr>
          <w:rFonts w:ascii="Arial" w:cs="Arial" w:eastAsia="Arial" w:hAnsi="Arial"/>
          <w:sz w:val="13"/>
          <w:szCs w:val="13"/>
          <w:i w:val="1"/>
          <w:iCs w:val="1"/>
          <w:color w:val="auto"/>
        </w:rPr>
        <w:t xml:space="preserve">Seamless: </w:t>
      </w:r>
      <w:r>
        <w:rPr>
          <w:rFonts w:ascii="Arial" w:cs="Arial" w:eastAsia="Arial" w:hAnsi="Arial"/>
          <w:sz w:val="13"/>
          <w:szCs w:val="13"/>
          <w:color w:val="auto"/>
        </w:rPr>
        <w:t>Our platforms integrate information across the service provider’s entire operation, including customer information, order information, product and service</w:t>
      </w:r>
      <w:r>
        <w:rPr>
          <w:rFonts w:ascii="Arial" w:cs="Arial" w:eastAsia="Arial" w:hAnsi="Arial"/>
          <w:sz w:val="13"/>
          <w:szCs w:val="13"/>
          <w:i w:val="1"/>
          <w:iCs w:val="1"/>
          <w:color w:val="auto"/>
        </w:rPr>
        <w:t xml:space="preserve"> </w:t>
      </w:r>
      <w:r>
        <w:rPr>
          <w:rFonts w:ascii="Arial" w:cs="Arial" w:eastAsia="Arial" w:hAnsi="Arial"/>
          <w:sz w:val="13"/>
          <w:szCs w:val="13"/>
          <w:color w:val="auto"/>
        </w:rPr>
        <w:t>information, network inventory and workflow information. We have built our platforms using an open design with fully-documented software interfaces, commonly referred to as application programming interfaces, or APIs. Our APIs make it easier for our customers, partners and other third parties to integrate the platforms with other software applications and to build Web-based applications incorporating third-party or CSP-designed capabilities. Through our open</w:t>
      </w: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1080" w:right="240"/>
        <w:spacing w:after="0" w:line="279" w:lineRule="auto"/>
        <w:rPr>
          <w:sz w:val="20"/>
          <w:szCs w:val="20"/>
          <w:color w:val="auto"/>
        </w:rPr>
      </w:pPr>
      <w:r>
        <w:rPr>
          <w:rFonts w:ascii="Arial" w:cs="Arial" w:eastAsia="Arial" w:hAnsi="Arial"/>
          <w:sz w:val="13"/>
          <w:szCs w:val="13"/>
          <w:color w:val="auto"/>
        </w:rPr>
        <w:t>design and alliance program, we provide our customers with superior solutions that combine best-of-breed applications with the efficiency and cost-effectiveness of commercial, packaged interfaces.</w:t>
      </w:r>
    </w:p>
    <w:p>
      <w:pPr>
        <w:spacing w:after="0" w:line="58" w:lineRule="exact"/>
        <w:rPr>
          <w:sz w:val="20"/>
          <w:szCs w:val="20"/>
          <w:color w:val="auto"/>
        </w:rPr>
      </w:pPr>
    </w:p>
    <w:p>
      <w:pPr>
        <w:ind w:left="1080" w:right="20" w:firstLine="383"/>
        <w:spacing w:after="0" w:line="262" w:lineRule="auto"/>
        <w:rPr>
          <w:sz w:val="20"/>
          <w:szCs w:val="20"/>
          <w:color w:val="auto"/>
        </w:rPr>
      </w:pPr>
      <w:r>
        <w:rPr>
          <w:rFonts w:ascii="Arial" w:cs="Arial" w:eastAsia="Arial" w:hAnsi="Arial"/>
          <w:sz w:val="13"/>
          <w:szCs w:val="13"/>
          <w:i w:val="1"/>
          <w:iCs w:val="1"/>
          <w:color w:val="auto"/>
        </w:rPr>
        <w:t xml:space="preserve">Scalable: </w:t>
      </w:r>
      <w:r>
        <w:rPr>
          <w:rFonts w:ascii="Arial" w:cs="Arial" w:eastAsia="Arial" w:hAnsi="Arial"/>
          <w:sz w:val="13"/>
          <w:szCs w:val="13"/>
          <w:color w:val="auto"/>
        </w:rPr>
        <w:t>Our platforms are designed to process expanding transaction volumes reliably and cost effectively. Transaction volume has increased rapidly since our inception.</w:t>
      </w:r>
      <w:r>
        <w:rPr>
          <w:rFonts w:ascii="Arial" w:cs="Arial" w:eastAsia="Arial" w:hAnsi="Arial"/>
          <w:sz w:val="13"/>
          <w:szCs w:val="13"/>
          <w:i w:val="1"/>
          <w:iCs w:val="1"/>
          <w:color w:val="auto"/>
        </w:rPr>
        <w:t xml:space="preserve"> </w:t>
      </w:r>
      <w:r>
        <w:rPr>
          <w:rFonts w:ascii="Arial" w:cs="Arial" w:eastAsia="Arial" w:hAnsi="Arial"/>
          <w:sz w:val="13"/>
          <w:szCs w:val="13"/>
          <w:color w:val="auto"/>
        </w:rPr>
        <w:t>We anticipate substantial future growth in transaction volumes and believe our platforms are capable of scaling its output commensurately, requiring principally routine computer hardware and software updates. In addition, we believe our platforms enable service and digital convergence providers to offer a variety of services more quickly and to package and price their services cost effectively by integrating them with available network capacity and resources.</w:t>
      </w:r>
    </w:p>
    <w:p>
      <w:pPr>
        <w:spacing w:after="0" w:line="69" w:lineRule="exact"/>
        <w:rPr>
          <w:sz w:val="20"/>
          <w:szCs w:val="20"/>
          <w:color w:val="auto"/>
        </w:rPr>
      </w:pPr>
    </w:p>
    <w:p>
      <w:pPr>
        <w:ind w:left="1080" w:right="40" w:firstLine="383"/>
        <w:spacing w:after="0" w:line="257" w:lineRule="auto"/>
        <w:rPr>
          <w:sz w:val="20"/>
          <w:szCs w:val="20"/>
          <w:color w:val="auto"/>
        </w:rPr>
      </w:pPr>
      <w:r>
        <w:rPr>
          <w:rFonts w:ascii="Arial" w:cs="Arial" w:eastAsia="Arial" w:hAnsi="Arial"/>
          <w:sz w:val="13"/>
          <w:szCs w:val="13"/>
          <w:i w:val="1"/>
          <w:iCs w:val="1"/>
          <w:color w:val="auto"/>
        </w:rPr>
        <w:t xml:space="preserve">Value-added Reporting: </w:t>
      </w:r>
      <w:r>
        <w:rPr>
          <w:rFonts w:ascii="Arial" w:cs="Arial" w:eastAsia="Arial" w:hAnsi="Arial"/>
          <w:sz w:val="13"/>
          <w:szCs w:val="13"/>
          <w:color w:val="auto"/>
        </w:rPr>
        <w:t>Our platforms attributes are tightly integrated into the critical workflows of our customers. The platforms have analytical reporting capabilities that</w:t>
      </w:r>
      <w:r>
        <w:rPr>
          <w:rFonts w:ascii="Arial" w:cs="Arial" w:eastAsia="Arial" w:hAnsi="Arial"/>
          <w:sz w:val="13"/>
          <w:szCs w:val="13"/>
          <w:i w:val="1"/>
          <w:iCs w:val="1"/>
          <w:color w:val="auto"/>
        </w:rPr>
        <w:t xml:space="preserve"> </w:t>
      </w:r>
      <w:r>
        <w:rPr>
          <w:rFonts w:ascii="Arial" w:cs="Arial" w:eastAsia="Arial" w:hAnsi="Arial"/>
          <w:sz w:val="13"/>
          <w:szCs w:val="13"/>
          <w:color w:val="auto"/>
        </w:rPr>
        <w:t>provide real-time information for every step of the relevant transaction processes. In addition to improving end-user customer satisfaction, these capabilities provide our customers with value-added insights into historical and current transaction trends. We also offer mobile reporting capabilities for key users to receive critical data about their transactions on their mobile devices. Our platforms’ capabilities provide what we believe to be a more cost-effective, efficient and productive approach to e-commerce. Our solutions allow our customers to reduce overhead costs associated with building and operating their own e-commerce and customer transaction management infrastructure. We also provide our customers with the information and tools to more efficiently manage marketing and operational aspects of their business. In addition, the automation and ease of integration of our on-demand software allows CSPs to accelerate the deployment of their services and new service offerings by shortening the time between a customer’s order and the provisioning of service.</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Demand Drivers for Our Multi-Channel Transaction Management Solutions</w:t>
      </w:r>
    </w:p>
    <w:p>
      <w:pPr>
        <w:spacing w:after="0" w:line="102"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Our services are capable of managing a wide variety of transactions across multiple CSP delivery models, allowing us to benefit from increased growth, complexity and technological change in the communications industry. As communications technology has evolved, new access networks, end-devices and applications with multiple features have emerged. This proliferation of services and advancement of technologies, combined with their bundling (i.e., double, triple and quadruple plays) are accelerating subscriber growth and increasing the number of transactions between CSPs, and their customers. Currently, growth in wireless services, the adoption of VoIP and the increasing importance of e-commerce are strongly driving demand for our transaction management solutions. In addition, we see an opportunity to provide our services to the high-growth market of bundled services (including voice, video, data and wireless) resulting from converging technology markets. We support and target transactions ranging from initial service activations to ongoing customer lifecycle transactions, such as additions, subtractions and changes to services. The need for CSPs to deliver these transactions efficiently increases demand for our on-demand software delivery model. The rapid emergence of all digital, IP-based networks is causing the creation of telecommunications services to be less dependent on particular elements of network infrastructure. In this environment, CSPs are increasingly relying on intelligent platform solutions such as ours in order to quickly develop new packages of service offerings. The critical driver of adoption of our services is shifting from cost reduction at CSPs to generating new revenues via on-demand service creation and bundling. In this environment, we believe that our on-demand capabilities will be a major value-added difference to our CSPs and their largest customers. Our transaction management solutions are available through multiple channels: e-commerce, CSP stores and other retail outlets. Our customers value our multi-channel transaction management solutions, which we believe will be a key differentiator.</w:t>
      </w:r>
    </w:p>
    <w:p>
      <w:pPr>
        <w:spacing w:after="0" w:line="62"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i w:val="1"/>
          <w:iCs w:val="1"/>
          <w:color w:val="auto"/>
        </w:rPr>
        <w:t xml:space="preserve">Growth in Handset Devices, Network Technology, and Applications and Content. </w:t>
      </w:r>
      <w:r>
        <w:rPr>
          <w:rFonts w:ascii="Arial" w:cs="Arial" w:eastAsia="Arial" w:hAnsi="Arial"/>
          <w:sz w:val="13"/>
          <w:szCs w:val="13"/>
          <w:color w:val="auto"/>
        </w:rPr>
        <w:t>The communications market is moving towards a next generation mobility marketplace, defined as</w:t>
      </w:r>
      <w:r>
        <w:rPr>
          <w:rFonts w:ascii="Arial" w:cs="Arial" w:eastAsia="Arial" w:hAnsi="Arial"/>
          <w:sz w:val="13"/>
          <w:szCs w:val="13"/>
          <w:i w:val="1"/>
          <w:iCs w:val="1"/>
          <w:color w:val="auto"/>
        </w:rPr>
        <w:t xml:space="preserve"> </w:t>
      </w:r>
      <w:r>
        <w:rPr>
          <w:rFonts w:ascii="Arial" w:cs="Arial" w:eastAsia="Arial" w:hAnsi="Arial"/>
          <w:sz w:val="13"/>
          <w:szCs w:val="13"/>
          <w:color w:val="auto"/>
        </w:rPr>
        <w:t>allowing both business and consumer customers to choose a wide range of smart mobile devices supported on multiple network technologies. By developing such seamless mobility environment, it will fuel a whole set of new transactions designed around providing many forms of enhanced content and applications to increase the monthly average revenue per user (ARPU) of each individual subscriber.</w:t>
      </w:r>
    </w:p>
    <w:p>
      <w:pPr>
        <w:spacing w:after="0" w:line="69"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3"/>
          <w:szCs w:val="13"/>
          <w:i w:val="1"/>
          <w:iCs w:val="1"/>
          <w:color w:val="auto"/>
        </w:rPr>
        <w:t xml:space="preserve">Adoption of VoIP. </w:t>
      </w:r>
      <w:r>
        <w:rPr>
          <w:rFonts w:ascii="Arial" w:cs="Arial" w:eastAsia="Arial" w:hAnsi="Arial"/>
          <w:sz w:val="13"/>
          <w:szCs w:val="13"/>
          <w:color w:val="auto"/>
        </w:rPr>
        <w:t>Internet Protocol-based network technologies are transforming the communications marketplace and VoIP applications are just starting to be deployed. Our strong</w:t>
      </w:r>
      <w:r>
        <w:rPr>
          <w:rFonts w:ascii="Arial" w:cs="Arial" w:eastAsia="Arial" w:hAnsi="Arial"/>
          <w:sz w:val="13"/>
          <w:szCs w:val="13"/>
          <w:i w:val="1"/>
          <w:iCs w:val="1"/>
          <w:color w:val="auto"/>
        </w:rPr>
        <w:t xml:space="preserve"> </w:t>
      </w:r>
      <w:r>
        <w:rPr>
          <w:rFonts w:ascii="Arial" w:cs="Arial" w:eastAsia="Arial" w:hAnsi="Arial"/>
          <w:sz w:val="13"/>
          <w:szCs w:val="13"/>
          <w:color w:val="auto"/>
        </w:rPr>
        <w:t>market capture across new entrants,</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cable companies and traditional communications providers positions us well to leverage our existing base and maximize capture of new transaction types.</w:t>
      </w:r>
    </w:p>
    <w:p>
      <w:pPr>
        <w:spacing w:after="0" w:line="98"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i w:val="1"/>
          <w:iCs w:val="1"/>
          <w:color w:val="auto"/>
        </w:rPr>
        <w:t xml:space="preserve">Continued growth of e-commerce. </w:t>
      </w:r>
      <w:r>
        <w:rPr>
          <w:rFonts w:ascii="Arial" w:cs="Arial" w:eastAsia="Arial" w:hAnsi="Arial"/>
          <w:sz w:val="13"/>
          <w:szCs w:val="13"/>
          <w:color w:val="auto"/>
        </w:rPr>
        <w:t>Internet-based commerce provides CSPs with the opportunity to cost-effectively gain new customers, provide service and interact more</w:t>
      </w:r>
      <w:r>
        <w:rPr>
          <w:rFonts w:ascii="Arial" w:cs="Arial" w:eastAsia="Arial" w:hAnsi="Arial"/>
          <w:sz w:val="13"/>
          <w:szCs w:val="13"/>
          <w:i w:val="1"/>
          <w:iCs w:val="1"/>
          <w:color w:val="auto"/>
        </w:rPr>
        <w:t xml:space="preserve"> </w:t>
      </w:r>
      <w:r>
        <w:rPr>
          <w:rFonts w:ascii="Arial" w:cs="Arial" w:eastAsia="Arial" w:hAnsi="Arial"/>
          <w:sz w:val="13"/>
          <w:szCs w:val="13"/>
          <w:color w:val="auto"/>
        </w:rPr>
        <w:t>effectively. Specifically Cost per Gross Add (CPGA) for a customer obtained via e-commerce can be up to 50% less than those obtained via traditional bricks and mortar. With the dramatic increase in Internet usage and desire to directly connect with end users over the course of the customer lifecycle, CSPs are increasingly focusing on e-commerce as a channel for customer acquisition and delivery of ongoing services.</w:t>
      </w:r>
    </w:p>
    <w:p>
      <w:pPr>
        <w:spacing w:after="0" w:line="69" w:lineRule="exact"/>
        <w:rPr>
          <w:sz w:val="20"/>
          <w:szCs w:val="20"/>
          <w:color w:val="auto"/>
        </w:rPr>
      </w:pPr>
    </w:p>
    <w:p>
      <w:pPr>
        <w:ind w:left="680" w:right="80" w:firstLine="399"/>
        <w:spacing w:after="0" w:line="266" w:lineRule="auto"/>
        <w:rPr>
          <w:sz w:val="20"/>
          <w:szCs w:val="20"/>
          <w:color w:val="auto"/>
        </w:rPr>
      </w:pPr>
      <w:r>
        <w:rPr>
          <w:rFonts w:ascii="Arial" w:cs="Arial" w:eastAsia="Arial" w:hAnsi="Arial"/>
          <w:sz w:val="13"/>
          <w:szCs w:val="13"/>
          <w:i w:val="1"/>
          <w:iCs w:val="1"/>
          <w:color w:val="auto"/>
        </w:rPr>
        <w:t xml:space="preserve">Growth in on-demand delivery model. </w:t>
      </w:r>
      <w:r>
        <w:rPr>
          <w:rFonts w:ascii="Arial" w:cs="Arial" w:eastAsia="Arial" w:hAnsi="Arial"/>
          <w:sz w:val="13"/>
          <w:szCs w:val="13"/>
          <w:color w:val="auto"/>
        </w:rPr>
        <w:t>Our on-demand business model enables delivery of proprietary solutions over the Internet as a service. Customers do not have to make large</w:t>
      </w:r>
      <w:r>
        <w:rPr>
          <w:rFonts w:ascii="Arial" w:cs="Arial" w:eastAsia="Arial" w:hAnsi="Arial"/>
          <w:sz w:val="13"/>
          <w:szCs w:val="13"/>
          <w:i w:val="1"/>
          <w:iCs w:val="1"/>
          <w:color w:val="auto"/>
        </w:rPr>
        <w:t xml:space="preserve"> </w:t>
      </w:r>
      <w:r>
        <w:rPr>
          <w:rFonts w:ascii="Arial" w:cs="Arial" w:eastAsia="Arial" w:hAnsi="Arial"/>
          <w:sz w:val="13"/>
          <w:szCs w:val="13"/>
          <w:color w:val="auto"/>
        </w:rPr>
        <w:t>and risky upfront investments in software, additional hardware, extensive implementation services and additional IT staff. Because we implement all upgrades to software on our servers, they automatically become part of our service and available to benefit all customers immediately.</w:t>
      </w:r>
    </w:p>
    <w:p>
      <w:pPr>
        <w:spacing w:after="0" w:line="67" w:lineRule="exact"/>
        <w:rPr>
          <w:sz w:val="20"/>
          <w:szCs w:val="20"/>
          <w:color w:val="auto"/>
        </w:rPr>
      </w:pPr>
    </w:p>
    <w:p>
      <w:pPr>
        <w:ind w:left="680" w:firstLine="399"/>
        <w:spacing w:after="0" w:line="284" w:lineRule="auto"/>
        <w:rPr>
          <w:sz w:val="20"/>
          <w:szCs w:val="20"/>
          <w:color w:val="auto"/>
        </w:rPr>
      </w:pPr>
      <w:r>
        <w:rPr>
          <w:rFonts w:ascii="Arial" w:cs="Arial" w:eastAsia="Arial" w:hAnsi="Arial"/>
          <w:sz w:val="12"/>
          <w:szCs w:val="12"/>
          <w:i w:val="1"/>
          <w:iCs w:val="1"/>
          <w:color w:val="auto"/>
        </w:rPr>
        <w:t xml:space="preserve">Pressure on CSPs to improve efficiency. </w:t>
      </w:r>
      <w:r>
        <w:rPr>
          <w:rFonts w:ascii="Arial" w:cs="Arial" w:eastAsia="Arial" w:hAnsi="Arial"/>
          <w:sz w:val="12"/>
          <w:szCs w:val="12"/>
          <w:color w:val="auto"/>
        </w:rPr>
        <w:t>Increased competition and excess network capacity have placed significant pressure on CSPs to reduce costs and increase revenues. At the</w:t>
      </w:r>
      <w:r>
        <w:rPr>
          <w:rFonts w:ascii="Arial" w:cs="Arial" w:eastAsia="Arial" w:hAnsi="Arial"/>
          <w:sz w:val="12"/>
          <w:szCs w:val="12"/>
          <w:i w:val="1"/>
          <w:iCs w:val="1"/>
          <w:color w:val="auto"/>
        </w:rPr>
        <w:t xml:space="preserve"> </w:t>
      </w:r>
      <w:r>
        <w:rPr>
          <w:rFonts w:ascii="Arial" w:cs="Arial" w:eastAsia="Arial" w:hAnsi="Arial"/>
          <w:sz w:val="12"/>
          <w:szCs w:val="12"/>
          <w:color w:val="auto"/>
        </w:rPr>
        <w:t>same time, due to deregulation, the emergence of new network technologies and the proliferation of services, the complexity of back office operations has increased significantly. CSPs with multiple back-end systems are looking for ways to help their systems interoperate for a better customer experience. In addition, CSP customers are moving to automated provisioning systems to enable them to more easily purchase, upgrade or add new features. As a result, CSPs are looking for ways to offer new communications services more rapidly and efficiently to existing and new customers. Increased competition and demand for superior end-user experience have placed significant pressure on CSPs to improve customer focused processes. CSPs are increasingly turning to transaction based, cost effective, scalable and automated third-party solutions that can offer guaranteed levels of service delivery.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Growth Strategy</w:t>
      </w:r>
    </w:p>
    <w:p>
      <w:pPr>
        <w:spacing w:after="0" w:line="96" w:lineRule="exact"/>
        <w:rPr>
          <w:sz w:val="20"/>
          <w:szCs w:val="20"/>
          <w:color w:val="auto"/>
        </w:rPr>
      </w:pPr>
    </w:p>
    <w:p>
      <w:pPr>
        <w:ind w:left="680" w:right="40" w:firstLine="399"/>
        <w:spacing w:after="0" w:line="263" w:lineRule="auto"/>
        <w:rPr>
          <w:sz w:val="20"/>
          <w:szCs w:val="20"/>
          <w:color w:val="auto"/>
        </w:rPr>
      </w:pPr>
      <w:r>
        <w:rPr>
          <w:rFonts w:ascii="Arial" w:cs="Arial" w:eastAsia="Arial" w:hAnsi="Arial"/>
          <w:sz w:val="13"/>
          <w:szCs w:val="13"/>
          <w:color w:val="auto"/>
        </w:rPr>
        <w:t>Our growth strategy is to establish our ActivationNow</w:t>
      </w:r>
      <w:r>
        <w:rPr>
          <w:rFonts w:ascii="Arial" w:cs="Arial" w:eastAsia="Arial" w:hAnsi="Arial"/>
          <w:sz w:val="11"/>
          <w:szCs w:val="11"/>
          <w:color w:val="auto"/>
        </w:rPr>
        <w:t>®</w:t>
      </w:r>
      <w:r>
        <w:rPr>
          <w:rFonts w:ascii="Arial" w:cs="Arial" w:eastAsia="Arial" w:hAnsi="Arial"/>
          <w:sz w:val="13"/>
          <w:szCs w:val="13"/>
          <w:color w:val="auto"/>
        </w:rPr>
        <w:t xml:space="preserve"> and ConvergenceNow</w:t>
      </w:r>
      <w:r>
        <w:rPr>
          <w:rFonts w:ascii="Arial" w:cs="Arial" w:eastAsia="Arial" w:hAnsi="Arial"/>
          <w:sz w:val="11"/>
          <w:szCs w:val="11"/>
          <w:color w:val="auto"/>
        </w:rPr>
        <w:t>®</w:t>
      </w:r>
      <w:r>
        <w:rPr>
          <w:rFonts w:ascii="Arial" w:cs="Arial" w:eastAsia="Arial" w:hAnsi="Arial"/>
          <w:sz w:val="13"/>
          <w:szCs w:val="13"/>
          <w:color w:val="auto"/>
        </w:rPr>
        <w:t xml:space="preserve"> platforms as the premium platforms for leading providers of communications services and digital convergence services, while investing in extensions of the services portfolio. We believe the final and key differentiators in next generation mobility will be to provide a more automated and robust customer experience. We will continue to focus our technology and efforts around improving functionality, helping CSPs drive higher ARPU, and allowing more capabilities for ordering bundled applications and content offerings across these same complex and advanced networks.</w:t>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Key elements of this strategy are:</w:t>
      </w:r>
    </w:p>
    <w:p>
      <w:pPr>
        <w:spacing w:after="0" w:line="96" w:lineRule="exact"/>
        <w:rPr>
          <w:sz w:val="20"/>
          <w:szCs w:val="20"/>
          <w:color w:val="auto"/>
        </w:rPr>
      </w:pPr>
    </w:p>
    <w:p>
      <w:pPr>
        <w:ind w:left="1080" w:firstLine="383"/>
        <w:spacing w:after="0" w:line="308" w:lineRule="auto"/>
        <w:rPr>
          <w:sz w:val="20"/>
          <w:szCs w:val="20"/>
          <w:color w:val="auto"/>
        </w:rPr>
      </w:pPr>
      <w:r>
        <w:rPr>
          <w:rFonts w:ascii="Arial" w:cs="Arial" w:eastAsia="Arial" w:hAnsi="Arial"/>
          <w:sz w:val="11"/>
          <w:szCs w:val="11"/>
          <w:i w:val="1"/>
          <w:iCs w:val="1"/>
          <w:color w:val="auto"/>
        </w:rPr>
        <w:t xml:space="preserve">Broaden Customer Base and Expand Offering to Existing Customers. </w:t>
      </w:r>
      <w:r>
        <w:rPr>
          <w:rFonts w:ascii="Arial" w:cs="Arial" w:eastAsia="Arial" w:hAnsi="Arial"/>
          <w:sz w:val="11"/>
          <w:szCs w:val="11"/>
          <w:color w:val="auto"/>
        </w:rPr>
        <w:t>Our ActivationNow</w:t>
      </w:r>
      <w:r>
        <w:rPr>
          <w:rFonts w:ascii="Arial" w:cs="Arial" w:eastAsia="Arial" w:hAnsi="Arial"/>
          <w:sz w:val="9"/>
          <w:szCs w:val="9"/>
          <w:color w:val="auto"/>
        </w:rPr>
        <w:t>®</w:t>
      </w:r>
      <w:r>
        <w:rPr>
          <w:rFonts w:ascii="Arial" w:cs="Arial" w:eastAsia="Arial" w:hAnsi="Arial"/>
          <w:sz w:val="11"/>
          <w:szCs w:val="11"/>
          <w:i w:val="1"/>
          <w:iCs w:val="1"/>
          <w:color w:val="auto"/>
        </w:rPr>
        <w:t xml:space="preserve"> </w:t>
      </w:r>
      <w:r>
        <w:rPr>
          <w:rFonts w:ascii="Arial" w:cs="Arial" w:eastAsia="Arial" w:hAnsi="Arial"/>
          <w:sz w:val="11"/>
          <w:szCs w:val="11"/>
          <w:color w:val="auto"/>
        </w:rPr>
        <w:t>and ConvergenceNow</w:t>
      </w:r>
      <w:r>
        <w:rPr>
          <w:rFonts w:ascii="Arial" w:cs="Arial" w:eastAsia="Arial" w:hAnsi="Arial"/>
          <w:sz w:val="9"/>
          <w:szCs w:val="9"/>
          <w:color w:val="auto"/>
        </w:rPr>
        <w:t>®</w:t>
      </w:r>
      <w:r>
        <w:rPr>
          <w:rFonts w:ascii="Arial" w:cs="Arial" w:eastAsia="Arial" w:hAnsi="Arial"/>
          <w:sz w:val="11"/>
          <w:szCs w:val="11"/>
          <w:i w:val="1"/>
          <w:iCs w:val="1"/>
          <w:color w:val="auto"/>
        </w:rPr>
        <w:t xml:space="preserve"> </w:t>
      </w:r>
      <w:r>
        <w:rPr>
          <w:rFonts w:ascii="Arial" w:cs="Arial" w:eastAsia="Arial" w:hAnsi="Arial"/>
          <w:sz w:val="11"/>
          <w:szCs w:val="11"/>
          <w:color w:val="auto"/>
        </w:rPr>
        <w:t>platforms are designed to address CSPs and business</w:t>
      </w:r>
      <w:r>
        <w:rPr>
          <w:rFonts w:ascii="Arial" w:cs="Arial" w:eastAsia="Arial" w:hAnsi="Arial"/>
          <w:sz w:val="11"/>
          <w:szCs w:val="11"/>
          <w:i w:val="1"/>
          <w:iCs w:val="1"/>
          <w:color w:val="auto"/>
        </w:rPr>
        <w:t xml:space="preserve"> </w:t>
      </w:r>
      <w:r>
        <w:rPr>
          <w:rFonts w:ascii="Arial" w:cs="Arial" w:eastAsia="Arial" w:hAnsi="Arial"/>
          <w:sz w:val="11"/>
          <w:szCs w:val="11"/>
          <w:color w:val="auto"/>
        </w:rPr>
        <w:t>models across the range of the communications services and digital content markets, a capability we have begun to exploit by targeting new tier-one customers and industry segments such as wireless broadband, smartphone handheld devices, online content providers and hardware OEMs. We also derive significant growth from our existing customers as they continue to expand into new distribution channels, such as the rapidly growing e-commerce channel, require new service offerings and increase transaction volumes. As CSPs expand consumer, business and indirect distribution, they require new transaction management solutions which drive increasing amounts of transactions over our platforms. Many customers purchase multiple services from us, and we believe we are well positioned to cross-sell additional services to customers who do not currently purchase our full services portfolio. In addition, the increasing importance and expansion of internet-based e-commerce has led to increased focus by CSPs on their e-channel distribution, thus providing another opportunity for us to further penetrate into existing customers. The expansion in 2007 of our AT&amp;T relationship through the combination of AT&amp;T and Cingular Wireless and AT&amp;T’s acquisition of BellSouth as well as through a multi-year agreement related to the Apple</w:t>
      </w:r>
      <w:r>
        <w:rPr>
          <w:rFonts w:ascii="Arial" w:cs="Arial" w:eastAsia="Arial" w:hAnsi="Arial"/>
          <w:sz w:val="9"/>
          <w:szCs w:val="9"/>
          <w:color w:val="auto"/>
        </w:rPr>
        <w:t>®</w:t>
      </w:r>
      <w:r>
        <w:rPr>
          <w:rFonts w:ascii="Arial" w:cs="Arial" w:eastAsia="Arial" w:hAnsi="Arial"/>
          <w:sz w:val="11"/>
          <w:szCs w:val="11"/>
          <w:color w:val="auto"/>
        </w:rPr>
        <w:t xml:space="preserve"> iPhone</w:t>
      </w:r>
      <w:r>
        <w:rPr>
          <w:rFonts w:ascii="Arial" w:cs="Arial" w:eastAsia="Arial" w:hAnsi="Arial"/>
          <w:sz w:val="6"/>
          <w:szCs w:val="6"/>
          <w:color w:val="auto"/>
        </w:rPr>
        <w:t>TM</w:t>
      </w:r>
      <w:r>
        <w:rPr>
          <w:rFonts w:ascii="Arial" w:cs="Arial" w:eastAsia="Arial" w:hAnsi="Arial"/>
          <w:sz w:val="11"/>
          <w:szCs w:val="11"/>
          <w:color w:val="auto"/>
        </w:rPr>
        <w:t>, highlights further penetration of an existing customer as well as the development of a major growth initiative in consumer digital convergence. We also process wireless transactions to both our Time Warner and Comcast cable customers.</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jc w:val="both"/>
        <w:ind w:left="1080" w:firstLine="383"/>
        <w:spacing w:after="0" w:line="299" w:lineRule="auto"/>
        <w:rPr>
          <w:sz w:val="20"/>
          <w:szCs w:val="20"/>
          <w:color w:val="auto"/>
        </w:rPr>
      </w:pPr>
      <w:r>
        <w:rPr>
          <w:rFonts w:ascii="Arial" w:cs="Arial" w:eastAsia="Arial" w:hAnsi="Arial"/>
          <w:sz w:val="12"/>
          <w:szCs w:val="12"/>
          <w:i w:val="1"/>
          <w:iCs w:val="1"/>
          <w:color w:val="auto"/>
        </w:rPr>
        <w:t xml:space="preserve">Continue to Exploit VoIP Industry Opportunities. </w:t>
      </w:r>
      <w:r>
        <w:rPr>
          <w:rFonts w:ascii="Arial" w:cs="Arial" w:eastAsia="Arial" w:hAnsi="Arial"/>
          <w:sz w:val="12"/>
          <w:szCs w:val="12"/>
          <w:color w:val="auto"/>
        </w:rPr>
        <w:t>We believe continued rapid VoIP industry growth will increase the demand for our services. We have seen strong growth in</w:t>
      </w:r>
      <w:r>
        <w:rPr>
          <w:rFonts w:ascii="Arial" w:cs="Arial" w:eastAsia="Arial" w:hAnsi="Arial"/>
          <w:sz w:val="12"/>
          <w:szCs w:val="12"/>
          <w:i w:val="1"/>
          <w:iCs w:val="1"/>
          <w:color w:val="auto"/>
        </w:rPr>
        <w:t xml:space="preserve"> </w:t>
      </w:r>
      <w:r>
        <w:rPr>
          <w:rFonts w:ascii="Arial" w:cs="Arial" w:eastAsia="Arial" w:hAnsi="Arial"/>
          <w:sz w:val="12"/>
          <w:szCs w:val="12"/>
          <w:color w:val="auto"/>
        </w:rPr>
        <w:t>residential VoIP customers and we believe we will see similar growth for commercial VoIP customers. Being the trusted partner to VoIP industry leaders, including Vonage Holdings, Comcast, Charter, Time Warner Cable and Cablevision, positions us well to benefit from the evolving needs, requirements and opportunities of the VoIP industry.</w:t>
      </w:r>
    </w:p>
    <w:p>
      <w:pPr>
        <w:spacing w:after="0" w:line="48" w:lineRule="exact"/>
        <w:rPr>
          <w:sz w:val="20"/>
          <w:szCs w:val="20"/>
          <w:color w:val="auto"/>
        </w:rPr>
      </w:pPr>
    </w:p>
    <w:p>
      <w:pPr>
        <w:ind w:left="1080" w:right="180" w:firstLine="383"/>
        <w:spacing w:after="0" w:line="291" w:lineRule="auto"/>
        <w:rPr>
          <w:sz w:val="20"/>
          <w:szCs w:val="20"/>
          <w:color w:val="auto"/>
        </w:rPr>
      </w:pPr>
      <w:r>
        <w:rPr>
          <w:rFonts w:ascii="Arial" w:cs="Arial" w:eastAsia="Arial" w:hAnsi="Arial"/>
          <w:sz w:val="12"/>
          <w:szCs w:val="12"/>
          <w:i w:val="1"/>
          <w:iCs w:val="1"/>
          <w:color w:val="auto"/>
        </w:rPr>
        <w:t xml:space="preserve">Enhance Current Wireless Industry Leadership. </w:t>
      </w:r>
      <w:r>
        <w:rPr>
          <w:rFonts w:ascii="Arial" w:cs="Arial" w:eastAsia="Arial" w:hAnsi="Arial"/>
          <w:sz w:val="12"/>
          <w:szCs w:val="12"/>
          <w:color w:val="auto"/>
        </w:rPr>
        <w:t>Spending in the global wireless industry has grown significantly in recent years. The up-tick in spending is happening</w:t>
      </w:r>
      <w:r>
        <w:rPr>
          <w:rFonts w:ascii="Arial" w:cs="Arial" w:eastAsia="Arial" w:hAnsi="Arial"/>
          <w:sz w:val="12"/>
          <w:szCs w:val="12"/>
          <w:i w:val="1"/>
          <w:iCs w:val="1"/>
          <w:color w:val="auto"/>
        </w:rPr>
        <w:t xml:space="preserve"> </w:t>
      </w:r>
      <w:r>
        <w:rPr>
          <w:rFonts w:ascii="Arial" w:cs="Arial" w:eastAsia="Arial" w:hAnsi="Arial"/>
          <w:sz w:val="12"/>
          <w:szCs w:val="12"/>
          <w:color w:val="auto"/>
        </w:rPr>
        <w:t>because myriad advanced applications are being offered, including wireless Internet access, multimedia messaging, games and Wi-Fi. These applications translate into new transaction types that we can meld into our workflow management system. We currently process hundreds of thousands of wireless transactions every month, which are driven by increasing numbers of wireless subscribers and by wireless subscriber churn resulting from local number portability or LNP, service provider competition and other factors.</w:t>
      </w:r>
    </w:p>
    <w:p>
      <w:pPr>
        <w:spacing w:after="0" w:line="53" w:lineRule="exact"/>
        <w:rPr>
          <w:sz w:val="20"/>
          <w:szCs w:val="20"/>
          <w:color w:val="auto"/>
        </w:rPr>
      </w:pPr>
    </w:p>
    <w:p>
      <w:pPr>
        <w:ind w:left="1080" w:right="80" w:firstLine="383"/>
        <w:spacing w:after="0" w:line="262" w:lineRule="auto"/>
        <w:rPr>
          <w:sz w:val="20"/>
          <w:szCs w:val="20"/>
          <w:color w:val="auto"/>
        </w:rPr>
      </w:pPr>
      <w:r>
        <w:rPr>
          <w:rFonts w:ascii="Arial" w:cs="Arial" w:eastAsia="Arial" w:hAnsi="Arial"/>
          <w:sz w:val="13"/>
          <w:szCs w:val="13"/>
          <w:i w:val="1"/>
          <w:iCs w:val="1"/>
          <w:color w:val="auto"/>
        </w:rPr>
        <w:t xml:space="preserve">Expand Into New Geographic Markets. </w:t>
      </w:r>
      <w:r>
        <w:rPr>
          <w:rFonts w:ascii="Arial" w:cs="Arial" w:eastAsia="Arial" w:hAnsi="Arial"/>
          <w:sz w:val="13"/>
          <w:szCs w:val="13"/>
          <w:color w:val="auto"/>
        </w:rPr>
        <w:t>Although the majority of our revenue has traditionally been generated in North America, in 2007 we began our entry into the</w:t>
      </w:r>
      <w:r>
        <w:rPr>
          <w:rFonts w:ascii="Arial" w:cs="Arial" w:eastAsia="Arial" w:hAnsi="Arial"/>
          <w:sz w:val="13"/>
          <w:szCs w:val="13"/>
          <w:i w:val="1"/>
          <w:iCs w:val="1"/>
          <w:color w:val="auto"/>
        </w:rPr>
        <w:t xml:space="preserve"> </w:t>
      </w:r>
      <w:r>
        <w:rPr>
          <w:rFonts w:ascii="Arial" w:cs="Arial" w:eastAsia="Arial" w:hAnsi="Arial"/>
          <w:sz w:val="13"/>
          <w:szCs w:val="13"/>
          <w:color w:val="auto"/>
        </w:rPr>
        <w:t>European Union by signing agreements with system integrators Siemens AG and Alma Technologies SA. We currently intend to continue our global expansion by focusing initially in Europe and believe there are opportunities to penetrate other new geographic markets within the coming years, particularly Asia/Pacific and Latin America, as these markets experience similar trends to those that have driven growth in North America.</w:t>
      </w:r>
    </w:p>
    <w:p>
      <w:pPr>
        <w:spacing w:after="0" w:line="69" w:lineRule="exact"/>
        <w:rPr>
          <w:sz w:val="20"/>
          <w:szCs w:val="20"/>
          <w:color w:val="auto"/>
        </w:rPr>
      </w:pPr>
    </w:p>
    <w:p>
      <w:pPr>
        <w:ind w:left="1080" w:right="120" w:firstLine="383"/>
        <w:spacing w:after="0" w:line="287" w:lineRule="auto"/>
        <w:rPr>
          <w:sz w:val="20"/>
          <w:szCs w:val="20"/>
          <w:color w:val="auto"/>
        </w:rPr>
      </w:pPr>
      <w:r>
        <w:rPr>
          <w:rFonts w:ascii="Arial" w:cs="Arial" w:eastAsia="Arial" w:hAnsi="Arial"/>
          <w:sz w:val="12"/>
          <w:szCs w:val="12"/>
          <w:i w:val="1"/>
          <w:iCs w:val="1"/>
          <w:color w:val="auto"/>
        </w:rPr>
        <w:t xml:space="preserve">Expand into the Smart Handset Markets. </w:t>
      </w:r>
      <w:r>
        <w:rPr>
          <w:rFonts w:ascii="Arial" w:cs="Arial" w:eastAsia="Arial" w:hAnsi="Arial"/>
          <w:sz w:val="12"/>
          <w:szCs w:val="12"/>
          <w:color w:val="auto"/>
        </w:rPr>
        <w:t>Our proprietary technology allows CSPs to bring together disparate systems and manage the ordering, activation and provisioning</w:t>
      </w:r>
      <w:r>
        <w:rPr>
          <w:rFonts w:ascii="Arial" w:cs="Arial" w:eastAsia="Arial" w:hAnsi="Arial"/>
          <w:sz w:val="12"/>
          <w:szCs w:val="12"/>
          <w:i w:val="1"/>
          <w:iCs w:val="1"/>
          <w:color w:val="auto"/>
        </w:rPr>
        <w:t xml:space="preserve"> </w:t>
      </w:r>
      <w:r>
        <w:rPr>
          <w:rFonts w:ascii="Arial" w:cs="Arial" w:eastAsia="Arial" w:hAnsi="Arial"/>
          <w:sz w:val="12"/>
          <w:szCs w:val="12"/>
          <w:color w:val="auto"/>
        </w:rPr>
        <w:t>of communications services, allowing them to lower the cost of new customer acquisition and product lifecycle management. We believe the smart handset makers will face the same hurdles and we plan to extend our technology from the network to the interface and software that sits on the actual smart handset. As new smartphones are deployed, we will strive to ensure our technology can support a “plug and play” approach to end users wishing to purchase new advanced services, by automating and re-using our current platforms’ embedded roots with many of the leading service providers today across all wireless, wireline, VoiP, and high speed data networks.</w:t>
      </w:r>
    </w:p>
    <w:p>
      <w:pPr>
        <w:spacing w:after="0" w:line="55" w:lineRule="exact"/>
        <w:rPr>
          <w:sz w:val="20"/>
          <w:szCs w:val="20"/>
          <w:color w:val="auto"/>
        </w:rPr>
      </w:pPr>
    </w:p>
    <w:p>
      <w:pPr>
        <w:ind w:left="1080" w:right="160" w:firstLine="383"/>
        <w:spacing w:after="0" w:line="318" w:lineRule="auto"/>
        <w:rPr>
          <w:sz w:val="20"/>
          <w:szCs w:val="20"/>
          <w:color w:val="auto"/>
        </w:rPr>
      </w:pPr>
      <w:r>
        <w:rPr>
          <w:rFonts w:ascii="Arial" w:cs="Arial" w:eastAsia="Arial" w:hAnsi="Arial"/>
          <w:sz w:val="11"/>
          <w:szCs w:val="11"/>
          <w:i w:val="1"/>
          <w:iCs w:val="1"/>
          <w:color w:val="auto"/>
        </w:rPr>
        <w:t xml:space="preserve">Maintain Technology Leadership. </w:t>
      </w:r>
      <w:r>
        <w:rPr>
          <w:rFonts w:ascii="Arial" w:cs="Arial" w:eastAsia="Arial" w:hAnsi="Arial"/>
          <w:sz w:val="11"/>
          <w:szCs w:val="11"/>
          <w:color w:val="auto"/>
        </w:rPr>
        <w:t>Our proprietary technology allows CSPs to bring together disparate systems and manage the ordering, activation and provisioning of</w:t>
      </w:r>
      <w:r>
        <w:rPr>
          <w:rFonts w:ascii="Arial" w:cs="Arial" w:eastAsia="Arial" w:hAnsi="Arial"/>
          <w:sz w:val="11"/>
          <w:szCs w:val="11"/>
          <w:i w:val="1"/>
          <w:iCs w:val="1"/>
          <w:color w:val="auto"/>
        </w:rPr>
        <w:t xml:space="preserve"> </w:t>
      </w:r>
      <w:r>
        <w:rPr>
          <w:rFonts w:ascii="Arial" w:cs="Arial" w:eastAsia="Arial" w:hAnsi="Arial"/>
          <w:sz w:val="11"/>
          <w:szCs w:val="11"/>
          <w:color w:val="auto"/>
        </w:rPr>
        <w:t>communications services, allowing them to lower the cost of new customer acquisition and product lifecycle management. We intend to build upon our technology leadership by continuing to invest in research and development to increase the automation of processes and workflows and develop complementary product modules that leverage our platforms and competitive strengths, thus driving increased interest in our solutions by making it more economical for CSPs to use us as a third-party solutions provider. In addition, we believe our close relationships with our tier-one CSPs will continue to provide us with valuable insights into the challenges that are creating demand for next-generation solutions.</w:t>
      </w:r>
    </w:p>
    <w:p>
      <w:pPr>
        <w:spacing w:after="0" w:line="42" w:lineRule="exact"/>
        <w:rPr>
          <w:sz w:val="20"/>
          <w:szCs w:val="20"/>
          <w:color w:val="auto"/>
        </w:rPr>
      </w:pPr>
    </w:p>
    <w:p>
      <w:pPr>
        <w:ind w:left="1080" w:right="420" w:firstLine="383"/>
        <w:spacing w:after="0" w:line="279" w:lineRule="auto"/>
        <w:rPr>
          <w:sz w:val="20"/>
          <w:szCs w:val="20"/>
          <w:color w:val="auto"/>
        </w:rPr>
      </w:pPr>
      <w:r>
        <w:rPr>
          <w:rFonts w:ascii="Arial" w:cs="Arial" w:eastAsia="Arial" w:hAnsi="Arial"/>
          <w:sz w:val="13"/>
          <w:szCs w:val="13"/>
          <w:i w:val="1"/>
          <w:iCs w:val="1"/>
          <w:color w:val="auto"/>
        </w:rPr>
        <w:t xml:space="preserve">Expand through Partnerships or Acquisitions. </w:t>
      </w:r>
      <w:r>
        <w:rPr>
          <w:rFonts w:ascii="Arial" w:cs="Arial" w:eastAsia="Arial" w:hAnsi="Arial"/>
          <w:sz w:val="13"/>
          <w:szCs w:val="13"/>
          <w:color w:val="auto"/>
        </w:rPr>
        <w:t>As we explore new opportunities, we continue to look for companies which are complementary to us for partnership or</w:t>
      </w:r>
      <w:r>
        <w:rPr>
          <w:rFonts w:ascii="Arial" w:cs="Arial" w:eastAsia="Arial" w:hAnsi="Arial"/>
          <w:sz w:val="13"/>
          <w:szCs w:val="13"/>
          <w:i w:val="1"/>
          <w:iCs w:val="1"/>
          <w:color w:val="auto"/>
        </w:rPr>
        <w:t xml:space="preserve"> </w:t>
      </w:r>
      <w:r>
        <w:rPr>
          <w:rFonts w:ascii="Arial" w:cs="Arial" w:eastAsia="Arial" w:hAnsi="Arial"/>
          <w:sz w:val="13"/>
          <w:szCs w:val="13"/>
          <w:color w:val="auto"/>
        </w:rPr>
        <w:t>acquisition candidates that will enable us to either enter new markets or enhance our offerings.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Products and Services</w:t>
      </w:r>
    </w:p>
    <w:p>
      <w:pPr>
        <w:spacing w:after="0" w:line="102"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We are a leading provider of multi-channel transaction management solutions to the communications services and digital content marketplaces based on our penetration and relationships with key CSPs. Our offerings are designed to allow our customers to respond to market demand quickly and efficiently, to optimize service offerings and to build stronger relationships with their customers. In addition, we offer process and workflow consulting services, development services and enterprise portal management services. From time to time, we will provide these services for a fee as part of the process of transitioning new customers onto our platforms and integrating our platforms with the customer’s back office systems. These services enable our customers to realize the benefits of our transaction management solutions.</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ActivationNow</w:t>
      </w:r>
      <w:r>
        <w:rPr>
          <w:rFonts w:ascii="Arial" w:cs="Arial" w:eastAsia="Arial" w:hAnsi="Arial"/>
          <w:sz w:val="11"/>
          <w:szCs w:val="11"/>
          <w:b w:val="1"/>
          <w:bCs w:val="1"/>
          <w:color w:val="auto"/>
        </w:rPr>
        <w:t>®</w:t>
      </w:r>
      <w:r>
        <w:rPr>
          <w:rFonts w:ascii="Arial" w:cs="Arial" w:eastAsia="Arial" w:hAnsi="Arial"/>
          <w:sz w:val="13"/>
          <w:szCs w:val="13"/>
          <w:b w:val="1"/>
          <w:bCs w:val="1"/>
          <w:color w:val="auto"/>
        </w:rPr>
        <w:t xml:space="preserve"> and ConvergenceNow</w:t>
      </w:r>
      <w:r>
        <w:rPr>
          <w:rFonts w:ascii="Arial" w:cs="Arial" w:eastAsia="Arial" w:hAnsi="Arial"/>
          <w:sz w:val="11"/>
          <w:szCs w:val="11"/>
          <w:b w:val="1"/>
          <w:bCs w:val="1"/>
          <w:color w:val="auto"/>
        </w:rPr>
        <w:t>®</w:t>
      </w:r>
      <w:r>
        <w:rPr>
          <w:rFonts w:ascii="Arial" w:cs="Arial" w:eastAsia="Arial" w:hAnsi="Arial"/>
          <w:sz w:val="13"/>
          <w:szCs w:val="13"/>
          <w:b w:val="1"/>
          <w:bCs w:val="1"/>
          <w:color w:val="auto"/>
        </w:rPr>
        <w:t xml:space="preserve"> Platforms</w:t>
      </w:r>
    </w:p>
    <w:p>
      <w:pPr>
        <w:spacing w:after="0" w:line="100" w:lineRule="exact"/>
        <w:rPr>
          <w:sz w:val="20"/>
          <w:szCs w:val="20"/>
          <w:color w:val="auto"/>
        </w:rPr>
      </w:pPr>
    </w:p>
    <w:p>
      <w:pPr>
        <w:ind w:left="680" w:right="140" w:firstLine="399"/>
        <w:spacing w:after="0" w:line="261" w:lineRule="auto"/>
        <w:rPr>
          <w:sz w:val="20"/>
          <w:szCs w:val="20"/>
          <w:color w:val="auto"/>
        </w:rPr>
      </w:pPr>
      <w:r>
        <w:rPr>
          <w:rFonts w:ascii="Arial" w:cs="Arial" w:eastAsia="Arial" w:hAnsi="Arial"/>
          <w:sz w:val="13"/>
          <w:szCs w:val="13"/>
          <w:color w:val="auto"/>
        </w:rPr>
        <w:t>Our ActivationNow</w:t>
      </w:r>
      <w:r>
        <w:rPr>
          <w:rFonts w:ascii="Arial" w:cs="Arial" w:eastAsia="Arial" w:hAnsi="Arial"/>
          <w:sz w:val="11"/>
          <w:szCs w:val="11"/>
          <w:color w:val="auto"/>
        </w:rPr>
        <w:t>®</w:t>
      </w:r>
      <w:r>
        <w:rPr>
          <w:rFonts w:ascii="Arial" w:cs="Arial" w:eastAsia="Arial" w:hAnsi="Arial"/>
          <w:sz w:val="13"/>
          <w:szCs w:val="13"/>
          <w:color w:val="auto"/>
        </w:rPr>
        <w:t xml:space="preserve"> and ConvergenceNow</w:t>
      </w:r>
      <w:r>
        <w:rPr>
          <w:rFonts w:ascii="Arial" w:cs="Arial" w:eastAsia="Arial" w:hAnsi="Arial"/>
          <w:sz w:val="11"/>
          <w:szCs w:val="11"/>
          <w:color w:val="auto"/>
        </w:rPr>
        <w:t>®</w:t>
      </w:r>
      <w:r>
        <w:rPr>
          <w:rFonts w:ascii="Arial" w:cs="Arial" w:eastAsia="Arial" w:hAnsi="Arial"/>
          <w:sz w:val="13"/>
          <w:szCs w:val="13"/>
          <w:color w:val="auto"/>
        </w:rPr>
        <w:t xml:space="preserve"> platforms address a service provider’s needs and requirements with a flexible design which can scale with their expanding business operations. Our ActivationNow</w:t>
      </w:r>
      <w:r>
        <w:rPr>
          <w:rFonts w:ascii="Arial" w:cs="Arial" w:eastAsia="Arial" w:hAnsi="Arial"/>
          <w:sz w:val="11"/>
          <w:szCs w:val="11"/>
          <w:color w:val="auto"/>
        </w:rPr>
        <w:t>®</w:t>
      </w:r>
      <w:r>
        <w:rPr>
          <w:rFonts w:ascii="Arial" w:cs="Arial" w:eastAsia="Arial" w:hAnsi="Arial"/>
          <w:sz w:val="13"/>
          <w:szCs w:val="13"/>
          <w:color w:val="auto"/>
        </w:rPr>
        <w:t xml:space="preserve"> and ConvergenceNow</w:t>
      </w:r>
      <w:r>
        <w:rPr>
          <w:rFonts w:ascii="Arial" w:cs="Arial" w:eastAsia="Arial" w:hAnsi="Arial"/>
          <w:sz w:val="11"/>
          <w:szCs w:val="11"/>
          <w:color w:val="auto"/>
        </w:rPr>
        <w:t>®</w:t>
      </w:r>
      <w:r>
        <w:rPr>
          <w:rFonts w:ascii="Arial" w:cs="Arial" w:eastAsia="Arial" w:hAnsi="Arial"/>
          <w:sz w:val="13"/>
          <w:szCs w:val="13"/>
          <w:color w:val="auto"/>
        </w:rPr>
        <w:t xml:space="preserve"> platforms are engineered to meet volume, speed to market and service guarantees which are important differentiators of our transaction management solutions. Each platform is a fully hosted service delivered over the Internet or a dedicated communication channel. Each new customer addition comes with a specific transaction fee and with guaranteed service levels. In addition, ActivationNow</w:t>
      </w:r>
      <w:r>
        <w:rPr>
          <w:rFonts w:ascii="Arial" w:cs="Arial" w:eastAsia="Arial" w:hAnsi="Arial"/>
          <w:sz w:val="11"/>
          <w:szCs w:val="11"/>
          <w:color w:val="auto"/>
        </w:rPr>
        <w:t>®</w:t>
      </w:r>
      <w:r>
        <w:rPr>
          <w:rFonts w:ascii="Arial" w:cs="Arial" w:eastAsia="Arial" w:hAnsi="Arial"/>
          <w:sz w:val="13"/>
          <w:szCs w:val="13"/>
          <w:color w:val="auto"/>
        </w:rPr>
        <w:t xml:space="preserve"> and ConvergenceNow</w:t>
      </w:r>
      <w:r>
        <w:rPr>
          <w:rFonts w:ascii="Arial" w:cs="Arial" w:eastAsia="Arial" w:hAnsi="Arial"/>
          <w:sz w:val="11"/>
          <w:szCs w:val="11"/>
          <w:color w:val="auto"/>
        </w:rPr>
        <w:t>®</w:t>
      </w:r>
      <w:r>
        <w:rPr>
          <w:rFonts w:ascii="Arial" w:cs="Arial" w:eastAsia="Arial" w:hAnsi="Arial"/>
          <w:sz w:val="13"/>
          <w:szCs w:val="13"/>
          <w:color w:val="auto"/>
        </w:rPr>
        <w:t xml:space="preserve"> platforms provide complete work flow management, including exception handling. Our ActivationNow</w:t>
      </w:r>
      <w:r>
        <w:rPr>
          <w:rFonts w:ascii="Arial" w:cs="Arial" w:eastAsia="Arial" w:hAnsi="Arial"/>
          <w:sz w:val="11"/>
          <w:szCs w:val="11"/>
          <w:color w:val="auto"/>
        </w:rPr>
        <w:t>®</w:t>
      </w:r>
      <w:r>
        <w:rPr>
          <w:rFonts w:ascii="Arial" w:cs="Arial" w:eastAsia="Arial" w:hAnsi="Arial"/>
          <w:sz w:val="13"/>
          <w:szCs w:val="13"/>
          <w:color w:val="auto"/>
        </w:rPr>
        <w:t xml:space="preserve"> and ConvergenceNow</w:t>
      </w:r>
      <w:r>
        <w:rPr>
          <w:rFonts w:ascii="Arial" w:cs="Arial" w:eastAsia="Arial" w:hAnsi="Arial"/>
          <w:sz w:val="11"/>
          <w:szCs w:val="11"/>
          <w:color w:val="auto"/>
        </w:rPr>
        <w:t>®</w:t>
      </w:r>
      <w:r>
        <w:rPr>
          <w:rFonts w:ascii="Arial" w:cs="Arial" w:eastAsia="Arial" w:hAnsi="Arial"/>
          <w:sz w:val="13"/>
          <w:szCs w:val="13"/>
          <w:color w:val="auto"/>
        </w:rPr>
        <w:t xml:space="preserve"> platforms:</w:t>
      </w:r>
    </w:p>
    <w:p>
      <w:pPr>
        <w:spacing w:after="0" w:line="69" w:lineRule="exact"/>
        <w:rPr>
          <w:sz w:val="20"/>
          <w:szCs w:val="20"/>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Provide what we believe to be one of the lowest costs per gross add in the wireless e-commerce market;</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Handle extraordinary transaction volumes with our scalable platform solutions;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Deliver speed to market on new and existing offerings;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Enable multi-channel transaction management solutions to be deployed; and</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Guarantee performance backed by solid business metrics and SLAs.</w:t>
      </w:r>
    </w:p>
    <w:p>
      <w:pPr>
        <w:spacing w:after="0" w:line="96" w:lineRule="exact"/>
        <w:rPr>
          <w:sz w:val="20"/>
          <w:szCs w:val="20"/>
          <w:color w:val="auto"/>
        </w:rPr>
      </w:pPr>
    </w:p>
    <w:p>
      <w:pPr>
        <w:ind w:left="680" w:right="180" w:firstLine="399"/>
        <w:spacing w:after="0" w:line="300" w:lineRule="auto"/>
        <w:rPr>
          <w:sz w:val="20"/>
          <w:szCs w:val="20"/>
          <w:color w:val="auto"/>
        </w:rPr>
      </w:pPr>
      <w:r>
        <w:rPr>
          <w:rFonts w:ascii="Arial" w:cs="Arial" w:eastAsia="Arial" w:hAnsi="Arial"/>
          <w:sz w:val="12"/>
          <w:szCs w:val="12"/>
          <w:color w:val="auto"/>
        </w:rPr>
        <w:t>Our ActivationNow</w:t>
      </w:r>
      <w:r>
        <w:rPr>
          <w:rFonts w:ascii="Arial" w:cs="Arial" w:eastAsia="Arial" w:hAnsi="Arial"/>
          <w:sz w:val="10"/>
          <w:szCs w:val="10"/>
          <w:color w:val="auto"/>
        </w:rPr>
        <w:t>®</w:t>
      </w:r>
      <w:r>
        <w:rPr>
          <w:rFonts w:ascii="Arial" w:cs="Arial" w:eastAsia="Arial" w:hAnsi="Arial"/>
          <w:sz w:val="12"/>
          <w:szCs w:val="12"/>
          <w:color w:val="auto"/>
        </w:rPr>
        <w:t xml:space="preserve"> and ConvergenceNow</w:t>
      </w:r>
      <w:r>
        <w:rPr>
          <w:rFonts w:ascii="Arial" w:cs="Arial" w:eastAsia="Arial" w:hAnsi="Arial"/>
          <w:sz w:val="10"/>
          <w:szCs w:val="10"/>
          <w:color w:val="auto"/>
        </w:rPr>
        <w:t>®</w:t>
      </w:r>
      <w:r>
        <w:rPr>
          <w:rFonts w:ascii="Arial" w:cs="Arial" w:eastAsia="Arial" w:hAnsi="Arial"/>
          <w:sz w:val="12"/>
          <w:szCs w:val="12"/>
          <w:color w:val="auto"/>
        </w:rPr>
        <w:t xml:space="preserve"> platforms are designed to integrate with back-office systems, allowing work to flow electronically across the service provider’s and digital convergence provider’s organization while providing ready access to performance and resource usage information. Our integrated approach provides comprehensive support for current and emerging services, network technologies, smart handset devices and evolving business processes across all forms of bundled services.</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ActivationNow</w:t>
      </w:r>
      <w:r>
        <w:rPr>
          <w:rFonts w:ascii="Arial" w:cs="Arial" w:eastAsia="Arial" w:hAnsi="Arial"/>
          <w:sz w:val="10"/>
          <w:szCs w:val="10"/>
          <w:color w:val="auto"/>
        </w:rPr>
        <w:t>®</w:t>
      </w:r>
      <w:r>
        <w:rPr>
          <w:rFonts w:ascii="Arial" w:cs="Arial" w:eastAsia="Arial" w:hAnsi="Arial"/>
          <w:sz w:val="12"/>
          <w:szCs w:val="12"/>
          <w:color w:val="auto"/>
        </w:rPr>
        <w:t xml:space="preserve"> and ConvergenceNow</w:t>
      </w:r>
      <w:r>
        <w:rPr>
          <w:rFonts w:ascii="Arial" w:cs="Arial" w:eastAsia="Arial" w:hAnsi="Arial"/>
          <w:sz w:val="10"/>
          <w:szCs w:val="10"/>
          <w:color w:val="auto"/>
        </w:rPr>
        <w:t>®</w:t>
      </w:r>
      <w:r>
        <w:rPr>
          <w:rFonts w:ascii="Arial" w:cs="Arial" w:eastAsia="Arial" w:hAnsi="Arial"/>
          <w:sz w:val="12"/>
          <w:szCs w:val="12"/>
          <w:color w:val="auto"/>
        </w:rPr>
        <w:t xml:space="preserve"> platforms are comprised of four distinct tiers, each providing solutions to the most common and critical needs of our customers.</w:t>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PerformancePartner</w:t>
      </w:r>
      <w:r>
        <w:rPr>
          <w:rFonts w:ascii="Arial" w:cs="Arial" w:eastAsia="Arial" w:hAnsi="Arial"/>
          <w:sz w:val="11"/>
          <w:szCs w:val="11"/>
          <w:b w:val="1"/>
          <w:bCs w:val="1"/>
          <w:color w:val="auto"/>
        </w:rPr>
        <w:t>®</w:t>
      </w:r>
      <w:r>
        <w:rPr>
          <w:rFonts w:ascii="Arial" w:cs="Arial" w:eastAsia="Arial" w:hAnsi="Arial"/>
          <w:sz w:val="13"/>
          <w:szCs w:val="13"/>
          <w:b w:val="1"/>
          <w:bCs w:val="1"/>
          <w:color w:val="auto"/>
        </w:rPr>
        <w:t xml:space="preserve"> Portal</w:t>
      </w:r>
    </w:p>
    <w:p>
      <w:pPr>
        <w:spacing w:after="0" w:line="100" w:lineRule="exact"/>
        <w:rPr>
          <w:sz w:val="20"/>
          <w:szCs w:val="20"/>
          <w:color w:val="auto"/>
        </w:rPr>
      </w:pPr>
    </w:p>
    <w:p>
      <w:pPr>
        <w:ind w:left="680" w:right="200" w:firstLine="399"/>
        <w:spacing w:after="0" w:line="326" w:lineRule="auto"/>
        <w:rPr>
          <w:sz w:val="20"/>
          <w:szCs w:val="20"/>
          <w:color w:val="auto"/>
        </w:rPr>
      </w:pPr>
      <w:r>
        <w:rPr>
          <w:rFonts w:ascii="Arial" w:cs="Arial" w:eastAsia="Arial" w:hAnsi="Arial"/>
          <w:sz w:val="12"/>
          <w:szCs w:val="12"/>
          <w:color w:val="auto"/>
        </w:rPr>
        <w:t>Our PerformancePartner</w:t>
      </w:r>
      <w:r>
        <w:rPr>
          <w:rFonts w:ascii="Arial" w:cs="Arial" w:eastAsia="Arial" w:hAnsi="Arial"/>
          <w:sz w:val="10"/>
          <w:szCs w:val="10"/>
          <w:color w:val="auto"/>
        </w:rPr>
        <w:t>®</w:t>
      </w:r>
      <w:r>
        <w:rPr>
          <w:rFonts w:ascii="Arial" w:cs="Arial" w:eastAsia="Arial" w:hAnsi="Arial"/>
          <w:sz w:val="12"/>
          <w:szCs w:val="12"/>
          <w:color w:val="auto"/>
        </w:rPr>
        <w:t xml:space="preserve"> portal, the first tier of our ActivationNow</w:t>
      </w:r>
      <w:r>
        <w:rPr>
          <w:rFonts w:ascii="Arial" w:cs="Arial" w:eastAsia="Arial" w:hAnsi="Arial"/>
          <w:sz w:val="10"/>
          <w:szCs w:val="10"/>
          <w:color w:val="auto"/>
        </w:rPr>
        <w:t>®</w:t>
      </w:r>
      <w:r>
        <w:rPr>
          <w:rFonts w:ascii="Arial" w:cs="Arial" w:eastAsia="Arial" w:hAnsi="Arial"/>
          <w:sz w:val="12"/>
          <w:szCs w:val="12"/>
          <w:color w:val="auto"/>
        </w:rPr>
        <w:t xml:space="preserve"> and ConvergenceNow</w:t>
      </w:r>
      <w:r>
        <w:rPr>
          <w:rFonts w:ascii="Arial" w:cs="Arial" w:eastAsia="Arial" w:hAnsi="Arial"/>
          <w:sz w:val="10"/>
          <w:szCs w:val="10"/>
          <w:color w:val="auto"/>
        </w:rPr>
        <w:t>®</w:t>
      </w:r>
      <w:r>
        <w:rPr>
          <w:rFonts w:ascii="Arial" w:cs="Arial" w:eastAsia="Arial" w:hAnsi="Arial"/>
          <w:sz w:val="12"/>
          <w:szCs w:val="12"/>
          <w:color w:val="auto"/>
        </w:rPr>
        <w:t xml:space="preserve"> platforms, is a graphical user interface that allows entry of transaction data into the gateway. Through the PerformancePartner</w:t>
      </w:r>
      <w:r>
        <w:rPr>
          <w:rFonts w:ascii="Arial" w:cs="Arial" w:eastAsia="Arial" w:hAnsi="Arial"/>
          <w:sz w:val="10"/>
          <w:szCs w:val="10"/>
          <w:color w:val="auto"/>
        </w:rPr>
        <w:t>®</w:t>
      </w:r>
      <w:r>
        <w:rPr>
          <w:rFonts w:ascii="Arial" w:cs="Arial" w:eastAsia="Arial" w:hAnsi="Arial"/>
          <w:sz w:val="12"/>
          <w:szCs w:val="12"/>
          <w:color w:val="auto"/>
        </w:rPr>
        <w:t xml:space="preserve"> portal, the CSPs can set up accounts, renew contracts and update and submit new transactions for transaction management processing.</w:t>
      </w:r>
    </w:p>
    <w:p>
      <w:pPr>
        <w:spacing w:after="0" w:line="10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Gateway Manager</w:t>
      </w:r>
    </w:p>
    <w:p>
      <w:pPr>
        <w:spacing w:after="0" w:line="100" w:lineRule="exact"/>
        <w:rPr>
          <w:sz w:val="20"/>
          <w:szCs w:val="20"/>
          <w:color w:val="auto"/>
        </w:rPr>
      </w:pPr>
    </w:p>
    <w:p>
      <w:pPr>
        <w:ind w:left="680" w:right="80" w:firstLine="399"/>
        <w:spacing w:after="0" w:line="263" w:lineRule="auto"/>
        <w:rPr>
          <w:sz w:val="20"/>
          <w:szCs w:val="20"/>
          <w:color w:val="auto"/>
        </w:rPr>
      </w:pPr>
      <w:r>
        <w:rPr>
          <w:rFonts w:ascii="Arial" w:cs="Arial" w:eastAsia="Arial" w:hAnsi="Arial"/>
          <w:sz w:val="13"/>
          <w:szCs w:val="13"/>
          <w:color w:val="auto"/>
        </w:rPr>
        <w:t>Our gateways, the service provisioning subsystems and second tier of our ActivationNow</w:t>
      </w:r>
      <w:r>
        <w:rPr>
          <w:rFonts w:ascii="Arial" w:cs="Arial" w:eastAsia="Arial" w:hAnsi="Arial"/>
          <w:sz w:val="11"/>
          <w:szCs w:val="11"/>
          <w:color w:val="auto"/>
        </w:rPr>
        <w:t>®</w:t>
      </w:r>
      <w:r>
        <w:rPr>
          <w:rFonts w:ascii="Arial" w:cs="Arial" w:eastAsia="Arial" w:hAnsi="Arial"/>
          <w:sz w:val="13"/>
          <w:szCs w:val="13"/>
          <w:color w:val="auto"/>
        </w:rPr>
        <w:t xml:space="preserve"> and ConvergenceNow</w:t>
      </w:r>
      <w:r>
        <w:rPr>
          <w:rFonts w:ascii="Arial" w:cs="Arial" w:eastAsia="Arial" w:hAnsi="Arial"/>
          <w:sz w:val="11"/>
          <w:szCs w:val="11"/>
          <w:color w:val="auto"/>
        </w:rPr>
        <w:t>®</w:t>
      </w:r>
      <w:r>
        <w:rPr>
          <w:rFonts w:ascii="Arial" w:cs="Arial" w:eastAsia="Arial" w:hAnsi="Arial"/>
          <w:sz w:val="13"/>
          <w:szCs w:val="13"/>
          <w:color w:val="auto"/>
        </w:rPr>
        <w:t xml:space="preserve"> platforms, provide the capability to fulfill multiple transactions. These gateways are the engines that support our clients’ front-end portals, handling hundreds of thousands of transactions on a monthly basis. Our gateways deliver flexible architecture, supporting seamless entry and rapid time to market for our CSP customers. In addition, these gateways contain business rules to interact with the CSPs’ back-office and third-party trading partners.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WorkFlow Manager</w:t>
      </w:r>
    </w:p>
    <w:p>
      <w:pPr>
        <w:spacing w:after="0" w:line="100" w:lineRule="exact"/>
        <w:rPr>
          <w:sz w:val="20"/>
          <w:szCs w:val="20"/>
          <w:color w:val="auto"/>
        </w:rPr>
      </w:pPr>
    </w:p>
    <w:p>
      <w:pPr>
        <w:jc w:val="both"/>
        <w:ind w:left="680" w:firstLine="399"/>
        <w:spacing w:after="0" w:line="268" w:lineRule="auto"/>
        <w:rPr>
          <w:sz w:val="20"/>
          <w:szCs w:val="20"/>
          <w:color w:val="auto"/>
        </w:rPr>
      </w:pPr>
      <w:r>
        <w:rPr>
          <w:rFonts w:ascii="Arial" w:cs="Arial" w:eastAsia="Arial" w:hAnsi="Arial"/>
          <w:sz w:val="13"/>
          <w:szCs w:val="13"/>
          <w:color w:val="auto"/>
        </w:rPr>
        <w:t>Our WorkFlow Manager, the third tier of our ActivationNow</w:t>
      </w:r>
      <w:r>
        <w:rPr>
          <w:rFonts w:ascii="Arial" w:cs="Arial" w:eastAsia="Arial" w:hAnsi="Arial"/>
          <w:sz w:val="11"/>
          <w:szCs w:val="11"/>
          <w:color w:val="auto"/>
        </w:rPr>
        <w:t>®</w:t>
      </w:r>
      <w:r>
        <w:rPr>
          <w:rFonts w:ascii="Arial" w:cs="Arial" w:eastAsia="Arial" w:hAnsi="Arial"/>
          <w:sz w:val="13"/>
          <w:szCs w:val="13"/>
          <w:color w:val="auto"/>
        </w:rPr>
        <w:t xml:space="preserve"> and ConvergenceNow</w:t>
      </w:r>
      <w:r>
        <w:rPr>
          <w:rFonts w:ascii="Arial" w:cs="Arial" w:eastAsia="Arial" w:hAnsi="Arial"/>
          <w:sz w:val="11"/>
          <w:szCs w:val="11"/>
          <w:color w:val="auto"/>
        </w:rPr>
        <w:t>®</w:t>
      </w:r>
      <w:r>
        <w:rPr>
          <w:rFonts w:ascii="Arial" w:cs="Arial" w:eastAsia="Arial" w:hAnsi="Arial"/>
          <w:sz w:val="13"/>
          <w:szCs w:val="13"/>
          <w:color w:val="auto"/>
        </w:rPr>
        <w:t xml:space="preserve"> platforms, provides a seamless interaction with all third-party relationships and enables CSPs to have a single transaction view, including all relevant data from third-party systems. The Workflow Manager is designed to ensure that each customer transaction is fulfilled accurately and offers:</w:t>
      </w:r>
    </w:p>
    <w:p>
      <w:pPr>
        <w:spacing w:after="0" w:line="65" w:lineRule="exact"/>
        <w:rPr>
          <w:sz w:val="20"/>
          <w:szCs w:val="20"/>
          <w:color w:val="auto"/>
        </w:rPr>
      </w:pPr>
    </w:p>
    <w:p>
      <w:pPr>
        <w:ind w:left="1300" w:hanging="207"/>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Flexible configuration to meet individual CSP requirements;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Centralized queue management for maximum productivity;</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Real-time visibility for transaction revenues management;</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Exception handling management;</w:t>
      </w:r>
    </w:p>
    <w:p>
      <w:pPr>
        <w:spacing w:after="0" w:line="30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0" w:lineRule="exact"/>
        <w:rPr>
          <w:sz w:val="20"/>
          <w:szCs w:val="20"/>
          <w:color w:val="auto"/>
        </w:rPr>
      </w:pPr>
    </w:p>
    <w:p>
      <w:pPr>
        <w:ind w:left="1300" w:hanging="207"/>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Order view available during each stage of the transactional process; and</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Uniform look and integrated experience.</w:t>
      </w:r>
    </w:p>
    <w:p>
      <w:pPr>
        <w:spacing w:after="0" w:line="98" w:lineRule="exact"/>
        <w:rPr>
          <w:sz w:val="20"/>
          <w:szCs w:val="20"/>
          <w:color w:val="auto"/>
        </w:rPr>
      </w:pPr>
    </w:p>
    <w:p>
      <w:pPr>
        <w:ind w:left="680" w:right="60" w:firstLine="399"/>
        <w:spacing w:after="0" w:line="279" w:lineRule="auto"/>
        <w:rPr>
          <w:sz w:val="20"/>
          <w:szCs w:val="20"/>
          <w:color w:val="auto"/>
        </w:rPr>
      </w:pPr>
      <w:r>
        <w:rPr>
          <w:rFonts w:ascii="Arial" w:cs="Arial" w:eastAsia="Arial" w:hAnsi="Arial"/>
          <w:sz w:val="13"/>
          <w:szCs w:val="13"/>
          <w:color w:val="auto"/>
        </w:rPr>
        <w:t>By streamlining all procurement processes from pre-order through service activation and billing, our WorkFlow Manager reduces many costs and time impediments that often delay the process of delivering products and services to end-users.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Visibility Manager</w:t>
      </w:r>
    </w:p>
    <w:p>
      <w:pPr>
        <w:spacing w:after="0" w:line="100" w:lineRule="exact"/>
        <w:rPr>
          <w:sz w:val="20"/>
          <w:szCs w:val="20"/>
          <w:color w:val="auto"/>
        </w:rPr>
      </w:pPr>
    </w:p>
    <w:p>
      <w:pPr>
        <w:ind w:left="680" w:right="100" w:firstLine="399"/>
        <w:spacing w:after="0" w:line="283" w:lineRule="auto"/>
        <w:rPr>
          <w:sz w:val="20"/>
          <w:szCs w:val="20"/>
          <w:color w:val="auto"/>
        </w:rPr>
      </w:pPr>
      <w:r>
        <w:rPr>
          <w:rFonts w:ascii="Arial" w:cs="Arial" w:eastAsia="Arial" w:hAnsi="Arial"/>
          <w:sz w:val="13"/>
          <w:szCs w:val="13"/>
          <w:color w:val="auto"/>
        </w:rPr>
        <w:t>The fourth tier of our ActivationNow</w:t>
      </w:r>
      <w:r>
        <w:rPr>
          <w:rFonts w:ascii="Arial" w:cs="Arial" w:eastAsia="Arial" w:hAnsi="Arial"/>
          <w:sz w:val="11"/>
          <w:szCs w:val="11"/>
          <w:color w:val="auto"/>
        </w:rPr>
        <w:t>®</w:t>
      </w:r>
      <w:r>
        <w:rPr>
          <w:rFonts w:ascii="Arial" w:cs="Arial" w:eastAsia="Arial" w:hAnsi="Arial"/>
          <w:sz w:val="13"/>
          <w:szCs w:val="13"/>
          <w:color w:val="auto"/>
        </w:rPr>
        <w:t xml:space="preserve"> and ConvergenceNow</w:t>
      </w:r>
      <w:r>
        <w:rPr>
          <w:rFonts w:ascii="Arial" w:cs="Arial" w:eastAsia="Arial" w:hAnsi="Arial"/>
          <w:sz w:val="11"/>
          <w:szCs w:val="11"/>
          <w:color w:val="auto"/>
        </w:rPr>
        <w:t>®</w:t>
      </w:r>
      <w:r>
        <w:rPr>
          <w:rFonts w:ascii="Arial" w:cs="Arial" w:eastAsia="Arial" w:hAnsi="Arial"/>
          <w:sz w:val="13"/>
          <w:szCs w:val="13"/>
          <w:color w:val="auto"/>
        </w:rPr>
        <w:t xml:space="preserve"> platforms, our Visibility Manager, provides historical trending and mobile reporting to our CSP customers, supports best business practices and processes and allows CSPs to assess whether daily metrics are met or exceeded. The Visibility Manager offers:</w:t>
      </w:r>
    </w:p>
    <w:p>
      <w:pPr>
        <w:spacing w:after="0" w:line="55" w:lineRule="exact"/>
        <w:rPr>
          <w:sz w:val="20"/>
          <w:szCs w:val="20"/>
          <w:color w:val="auto"/>
        </w:rPr>
      </w:pPr>
    </w:p>
    <w:p>
      <w:pPr>
        <w:ind w:left="1300" w:hanging="207"/>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A centralized reporting platform that provides intelligent analytics around the entire workflow;</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Transaction management information;</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Historical trending; and</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Mobile reporting for key users to receive critical transaction data on mobile devices.</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The Gateway Manager, WorkFlow Manager and Visibility Manager tiers are typically deployed by all of our customers. The PerformancePartner</w:t>
      </w:r>
      <w:r>
        <w:rPr>
          <w:rFonts w:ascii="Arial" w:cs="Arial" w:eastAsia="Arial" w:hAnsi="Arial"/>
          <w:sz w:val="11"/>
          <w:szCs w:val="11"/>
          <w:color w:val="auto"/>
        </w:rPr>
        <w:t>®</w:t>
      </w:r>
      <w:r>
        <w:rPr>
          <w:rFonts w:ascii="Arial" w:cs="Arial" w:eastAsia="Arial" w:hAnsi="Arial"/>
          <w:sz w:val="13"/>
          <w:szCs w:val="13"/>
          <w:color w:val="auto"/>
        </w:rPr>
        <w:t xml:space="preserve"> portal is deployed only if our customer does not have a front-end portal to interact with end-user customers. All of our four tiers are designed to be open and flexible to enable rapid deployments. One critical function provided by our ActivationNow</w:t>
      </w:r>
      <w:r>
        <w:rPr>
          <w:rFonts w:ascii="Arial" w:cs="Arial" w:eastAsia="Arial" w:hAnsi="Arial"/>
          <w:sz w:val="11"/>
          <w:szCs w:val="11"/>
          <w:color w:val="auto"/>
        </w:rPr>
        <w:t>®</w:t>
      </w:r>
      <w:r>
        <w:rPr>
          <w:rFonts w:ascii="Arial" w:cs="Arial" w:eastAsia="Arial" w:hAnsi="Arial"/>
          <w:sz w:val="13"/>
          <w:szCs w:val="13"/>
          <w:color w:val="auto"/>
        </w:rPr>
        <w:t xml:space="preserve"> and ConvergenceNow</w:t>
      </w:r>
      <w:r>
        <w:rPr>
          <w:rFonts w:ascii="Arial" w:cs="Arial" w:eastAsia="Arial" w:hAnsi="Arial"/>
          <w:sz w:val="11"/>
          <w:szCs w:val="11"/>
          <w:color w:val="auto"/>
        </w:rPr>
        <w:t>®</w:t>
      </w:r>
      <w:r>
        <w:rPr>
          <w:rFonts w:ascii="Arial" w:cs="Arial" w:eastAsia="Arial" w:hAnsi="Arial"/>
          <w:sz w:val="13"/>
          <w:szCs w:val="13"/>
          <w:color w:val="auto"/>
        </w:rPr>
        <w:t xml:space="preserve"> platforms design is information management. By making information more accessible and useful, our ActivationNow</w:t>
      </w:r>
      <w:r>
        <w:rPr>
          <w:rFonts w:ascii="Arial" w:cs="Arial" w:eastAsia="Arial" w:hAnsi="Arial"/>
          <w:sz w:val="11"/>
          <w:szCs w:val="11"/>
          <w:color w:val="auto"/>
        </w:rPr>
        <w:t>®</w:t>
      </w:r>
      <w:r>
        <w:rPr>
          <w:rFonts w:ascii="Arial" w:cs="Arial" w:eastAsia="Arial" w:hAnsi="Arial"/>
          <w:sz w:val="13"/>
          <w:szCs w:val="13"/>
          <w:color w:val="auto"/>
        </w:rPr>
        <w:t xml:space="preserve"> and ConvergenceNow</w:t>
      </w:r>
      <w:r>
        <w:rPr>
          <w:rFonts w:ascii="Arial" w:cs="Arial" w:eastAsia="Arial" w:hAnsi="Arial"/>
          <w:sz w:val="11"/>
          <w:szCs w:val="11"/>
          <w:color w:val="auto"/>
        </w:rPr>
        <w:t>®</w:t>
      </w:r>
      <w:r>
        <w:rPr>
          <w:rFonts w:ascii="Arial" w:cs="Arial" w:eastAsia="Arial" w:hAnsi="Arial"/>
          <w:sz w:val="13"/>
          <w:szCs w:val="13"/>
          <w:color w:val="auto"/>
        </w:rPr>
        <w:t xml:space="preserve"> platforms enable a service provider to manage its business more efficiently, to provide more services with the highest possible quality and to deliver superior customer care. Our ActivationNow</w:t>
      </w:r>
      <w:r>
        <w:rPr>
          <w:rFonts w:ascii="Arial" w:cs="Arial" w:eastAsia="Arial" w:hAnsi="Arial"/>
          <w:sz w:val="11"/>
          <w:szCs w:val="11"/>
          <w:color w:val="auto"/>
        </w:rPr>
        <w:t>®</w:t>
      </w:r>
      <w:r>
        <w:rPr>
          <w:rFonts w:ascii="Arial" w:cs="Arial" w:eastAsia="Arial" w:hAnsi="Arial"/>
          <w:sz w:val="13"/>
          <w:szCs w:val="13"/>
          <w:color w:val="auto"/>
        </w:rPr>
        <w:t xml:space="preserve"> and ConvergenceNow</w:t>
      </w:r>
      <w:r>
        <w:rPr>
          <w:rFonts w:ascii="Arial" w:cs="Arial" w:eastAsia="Arial" w:hAnsi="Arial"/>
          <w:sz w:val="11"/>
          <w:szCs w:val="11"/>
          <w:color w:val="auto"/>
        </w:rPr>
        <w:t>®</w:t>
      </w:r>
      <w:r>
        <w:rPr>
          <w:rFonts w:ascii="Arial" w:cs="Arial" w:eastAsia="Arial" w:hAnsi="Arial"/>
          <w:sz w:val="13"/>
          <w:szCs w:val="13"/>
          <w:color w:val="auto"/>
        </w:rPr>
        <w:t xml:space="preserve"> platforms are designed to recognize, isolate and address transactions when there is insufficient information or other erroneous process elements through a suite of capabilities we refer to as “exception handling.” Our solutions offer a centralized reporting platform that provides intelligent, real-time analytics around the entire workflow related to a transaction. The Workflow Manager and the Visibility Manager identify, correct and process non-automated transactions and exceptions in real-time, which we believe are key differentiators for our solutions.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Customers</w:t>
      </w:r>
    </w:p>
    <w:p>
      <w:pPr>
        <w:spacing w:after="0" w:line="102"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Our typical customers are providers of communications services, from traditional local and long-distance services to Internet-based services. We serve wireless service providers, such as AT&amp;T and Sprint Nextel, providers of VoIP services, such as Vonage Holdings, Comcast and Cablevision Systems, VoIP enablers, such as Level 3 Communications, and long distance carriers, such as Verizon Business. We also serve emerging CSPs, such as Clearwire. We maintain strong and collaborative relationships with our customers, which we believe to be one of our core competencies and critical to our success. We are generally the only provider of the services we offer to our customers. Our contracts typically extend up to 48 months in length from execution and include minimum transaction or revenues commitments from our customers. All of our significant customers may terminate their contracts for convenience upon written notice and payment of contractual penalties. We have a long-standing relationship with Cingular Wireless, which is now known as AT&amp;T Mobility, dating back to January 2001 when we began providing service to AT&amp;T Wireless, which was subsequently acquired by Cingular Wireless, and in December 2006 became a division of AT&amp;T Inc. We are the primary provider of e-commerce transaction management solutions to AT&amp;T Mobility, our largest customer, under an agreement which runs through January of 2009 that automatically will be renewed for an additional twelve months unless either party terminates prior to November 1, 2008. Under the terms of this agreement, AT&amp;T Mobility may terminate its relationship with us for convenience, although we believe AT&amp;T Mobility would encounter substantial costs in replacing our transaction management solution. For 2007, we received 76% of our revenues from AT&amp;T Inc., compared to 66% of our revenues in 2006. No other customer accounted for more than 10% of our revenues in 2007.</w:t>
      </w:r>
    </w:p>
    <w:p>
      <w:pPr>
        <w:spacing w:after="0" w:line="27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Marketing</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Sales</w:t>
      </w:r>
    </w:p>
    <w:p>
      <w:pPr>
        <w:spacing w:after="0" w:line="9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market and sell our services primarily through a direct sales force. To date, we have concentrated our sales efforts on a range of CSPs that offer wireless, broadband, VoIP and wireline services that offer digital convergence services. Following each sale, we assign account managers to provide ongoing support and to identify additional sales opportunities. We generate leads from contacts made through trade shows, seminars, conferences, market research, our Web site, customers, partners and our ongoing public relations program. Due to ongoing privatization and the increasing competition among CSPs in international markets we expanded our sales and marketing efforts in 2007 outside of North America into the European Union.</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Marketing</w:t>
      </w:r>
    </w:p>
    <w:p>
      <w:pPr>
        <w:spacing w:after="0" w:line="98" w:lineRule="exact"/>
        <w:rPr>
          <w:sz w:val="20"/>
          <w:szCs w:val="20"/>
          <w:color w:val="auto"/>
        </w:rPr>
      </w:pPr>
    </w:p>
    <w:p>
      <w:pPr>
        <w:jc w:val="both"/>
        <w:ind w:left="680" w:right="180" w:firstLine="399"/>
        <w:spacing w:after="0" w:line="266" w:lineRule="auto"/>
        <w:rPr>
          <w:sz w:val="20"/>
          <w:szCs w:val="20"/>
          <w:color w:val="auto"/>
        </w:rPr>
      </w:pPr>
      <w:r>
        <w:rPr>
          <w:rFonts w:ascii="Arial" w:cs="Arial" w:eastAsia="Arial" w:hAnsi="Arial"/>
          <w:sz w:val="13"/>
          <w:szCs w:val="13"/>
          <w:color w:val="auto"/>
        </w:rPr>
        <w:t>We focus our marketing efforts on product initiatives, creating awareness of our services and generating new sales opportunities. We base our product management strategy on an analysis of market requirements, competitive offerings and projected cost savings. Our product managers are active in numerous technology and industry forums such as CTIA, GSMA, NCTA ATIS and VON at which we demonstrate our transaction management solutions.</w:t>
      </w:r>
    </w:p>
    <w:p>
      <w:pPr>
        <w:spacing w:after="0" w:line="67"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In addition, through our product marketing and marketing communications functions, we manage and maintain our Web site, publish product related communications and educational white papers and conduct seminars and user group meetings. We also have an active public relations program and maintain relationships with recognized industry analysts such as IDC, Gartner, Stratecast and Yankee Group. We also actively sponsor technology-related conferences and demonstrate our solutions at trade shows targeted at providers of communications services.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Operations and Technology</w:t>
      </w:r>
    </w:p>
    <w:p>
      <w:pPr>
        <w:spacing w:after="0" w:line="102" w:lineRule="exact"/>
        <w:rPr>
          <w:sz w:val="20"/>
          <w:szCs w:val="20"/>
          <w:color w:val="auto"/>
        </w:rPr>
      </w:pPr>
    </w:p>
    <w:p>
      <w:pPr>
        <w:jc w:val="both"/>
        <w:ind w:left="680" w:right="140" w:firstLine="399"/>
        <w:spacing w:after="0" w:line="337" w:lineRule="auto"/>
        <w:rPr>
          <w:sz w:val="20"/>
          <w:szCs w:val="20"/>
          <w:color w:val="auto"/>
        </w:rPr>
      </w:pPr>
      <w:r>
        <w:rPr>
          <w:rFonts w:ascii="Arial" w:cs="Arial" w:eastAsia="Arial" w:hAnsi="Arial"/>
          <w:sz w:val="11"/>
          <w:szCs w:val="11"/>
          <w:color w:val="auto"/>
        </w:rPr>
        <w:t>We leverage common, proprietary e-commerce information technology platforms to deliver carrier grade services to our customers across communication and digital convergence market segments. Constructed using a combination of internally developed and licensed technologies, our e-commerce platforms integrate our order management, gateway, workflow and reporting into a unified system. The platforms are secure foundations on which to build and offer additional services and maximize performance, scalability and reliability.</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Exception Handling Services</w:t>
      </w:r>
    </w:p>
    <w:p>
      <w:pPr>
        <w:spacing w:after="0" w:line="98" w:lineRule="exact"/>
        <w:rPr>
          <w:sz w:val="20"/>
          <w:szCs w:val="20"/>
          <w:color w:val="auto"/>
        </w:rPr>
      </w:pPr>
    </w:p>
    <w:p>
      <w:pPr>
        <w:ind w:left="680" w:right="100" w:firstLine="399"/>
        <w:spacing w:after="0" w:line="283" w:lineRule="auto"/>
        <w:rPr>
          <w:sz w:val="20"/>
          <w:szCs w:val="20"/>
          <w:color w:val="auto"/>
        </w:rPr>
      </w:pPr>
      <w:r>
        <w:rPr>
          <w:rFonts w:ascii="Arial" w:cs="Arial" w:eastAsia="Arial" w:hAnsi="Arial"/>
          <w:sz w:val="12"/>
          <w:szCs w:val="12"/>
          <w:color w:val="auto"/>
        </w:rPr>
        <w:t>We differentiate our services from both the internal and competitive offerings by handling exceptions through both our technology and human touch solutions, a substantial portion of which is provided by third-party vendors. Our business process engineers optimize each workflow; however, there are exceptions and we handle these to ensure the highest quality customer experience at the lowest cost. Our exception handling services handle the customer communication touchpoints including provisioning orders, inbound calls, automated IVR responses (e.g., order status, address changes), web forums, inbound and outbound email, proactive outbound calls (e.g., out of stock, backorders, exceptions) and self-correct order tools. These services are continuously reviewed for improved workflow and automation. We use third-party vendors in providing exception handling services, each of whom provide services under automatically renewable contracts. We believe our unique exception handling services help reduce the cost of each transaction by driving more automation, over time, into a better and more cost effective way to manage our customer’s subscriber experiences.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Data Center Facilities</w:t>
      </w:r>
    </w:p>
    <w:p>
      <w:pPr>
        <w:spacing w:after="0" w:line="98" w:lineRule="exact"/>
        <w:rPr>
          <w:sz w:val="20"/>
          <w:szCs w:val="20"/>
          <w:color w:val="auto"/>
        </w:rPr>
      </w:pPr>
    </w:p>
    <w:p>
      <w:pPr>
        <w:ind w:left="680" w:right="20" w:firstLine="399"/>
        <w:spacing w:after="0" w:line="291" w:lineRule="auto"/>
        <w:rPr>
          <w:sz w:val="20"/>
          <w:szCs w:val="20"/>
          <w:color w:val="auto"/>
        </w:rPr>
      </w:pPr>
      <w:r>
        <w:rPr>
          <w:rFonts w:ascii="Arial" w:cs="Arial" w:eastAsia="Arial" w:hAnsi="Arial"/>
          <w:sz w:val="12"/>
          <w:szCs w:val="12"/>
          <w:color w:val="auto"/>
        </w:rPr>
        <w:t>For over five years, we have operated and maintained a data center in Bethlehem, PA, and have consistently focused on the security, technology, maintenance, staffing and reliability of the data center facility. This secure facility houses all customer-facing, production, test and development systems that are the backbone of the services delivered to our customers. The facility and all systems are monitored 7 days a week, 24 hours a day, and are protected via multiple layers of physical and electronic security measures. In addition, a redundant power supply ensures constant, regulated power into the Managed Data Facility and a back-up generator system provides power</w:t>
      </w: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80"/>
        <w:spacing w:after="0" w:line="279" w:lineRule="auto"/>
        <w:rPr>
          <w:sz w:val="20"/>
          <w:szCs w:val="20"/>
          <w:color w:val="auto"/>
        </w:rPr>
      </w:pPr>
      <w:r>
        <w:rPr>
          <w:rFonts w:ascii="Arial" w:cs="Arial" w:eastAsia="Arial" w:hAnsi="Arial"/>
          <w:sz w:val="13"/>
          <w:szCs w:val="13"/>
          <w:color w:val="auto"/>
        </w:rPr>
        <w:t>indefinitely to the facility in the event of a utility power failure. All systems in the Managed Data Facility are monitored for availability and performance using industry standard tools such as HP OpenView</w:t>
      </w:r>
      <w:r>
        <w:rPr>
          <w:rFonts w:ascii="Arial" w:cs="Arial" w:eastAsia="Arial" w:hAnsi="Arial"/>
          <w:sz w:val="11"/>
          <w:szCs w:val="11"/>
          <w:color w:val="auto"/>
        </w:rPr>
        <w:t>®</w:t>
      </w:r>
      <w:r>
        <w:rPr>
          <w:rFonts w:ascii="Arial" w:cs="Arial" w:eastAsia="Arial" w:hAnsi="Arial"/>
          <w:sz w:val="13"/>
          <w:szCs w:val="13"/>
          <w:color w:val="auto"/>
        </w:rPr>
        <w:t>, Big Brother</w:t>
      </w:r>
      <w:r>
        <w:rPr>
          <w:rFonts w:ascii="Arial" w:cs="Arial" w:eastAsia="Arial" w:hAnsi="Arial"/>
          <w:sz w:val="11"/>
          <w:szCs w:val="11"/>
          <w:color w:val="auto"/>
        </w:rPr>
        <w:t>®</w:t>
      </w:r>
      <w:r>
        <w:rPr>
          <w:rFonts w:ascii="Arial" w:cs="Arial" w:eastAsia="Arial" w:hAnsi="Arial"/>
          <w:sz w:val="13"/>
          <w:szCs w:val="13"/>
          <w:color w:val="auto"/>
        </w:rPr>
        <w:t>, Oracle Enterprise Manager</w:t>
      </w:r>
      <w:r>
        <w:rPr>
          <w:rFonts w:ascii="Arial" w:cs="Arial" w:eastAsia="Arial" w:hAnsi="Arial"/>
          <w:sz w:val="11"/>
          <w:szCs w:val="11"/>
          <w:color w:val="auto"/>
        </w:rPr>
        <w:t>®</w:t>
      </w:r>
      <w:r>
        <w:rPr>
          <w:rFonts w:ascii="Arial" w:cs="Arial" w:eastAsia="Arial" w:hAnsi="Arial"/>
          <w:sz w:val="13"/>
          <w:szCs w:val="13"/>
          <w:color w:val="auto"/>
        </w:rPr>
        <w:t>, CiscoWorks</w:t>
      </w:r>
      <w:r>
        <w:rPr>
          <w:rFonts w:ascii="Arial" w:cs="Arial" w:eastAsia="Arial" w:hAnsi="Arial"/>
          <w:sz w:val="11"/>
          <w:szCs w:val="11"/>
          <w:color w:val="auto"/>
        </w:rPr>
        <w:t>®</w:t>
      </w:r>
      <w:r>
        <w:rPr>
          <w:rFonts w:ascii="Arial" w:cs="Arial" w:eastAsia="Arial" w:hAnsi="Arial"/>
          <w:sz w:val="13"/>
          <w:szCs w:val="13"/>
          <w:color w:val="auto"/>
        </w:rPr>
        <w:t xml:space="preserve"> and Empirix OneSight</w:t>
      </w:r>
      <w:r>
        <w:rPr>
          <w:rFonts w:ascii="Arial" w:cs="Arial" w:eastAsia="Arial" w:hAnsi="Arial"/>
          <w:sz w:val="11"/>
          <w:szCs w:val="11"/>
          <w:color w:val="auto"/>
        </w:rPr>
        <w:t>®</w:t>
      </w:r>
      <w:r>
        <w:rPr>
          <w:rFonts w:ascii="Arial" w:cs="Arial" w:eastAsia="Arial" w:hAnsi="Arial"/>
          <w:sz w:val="13"/>
          <w:szCs w:val="13"/>
          <w:color w:val="auto"/>
        </w:rPr>
        <w:t>.</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Network</w:t>
      </w:r>
    </w:p>
    <w:p>
      <w:pPr>
        <w:spacing w:after="0" w:line="98" w:lineRule="exact"/>
        <w:rPr>
          <w:sz w:val="20"/>
          <w:szCs w:val="20"/>
          <w:color w:val="auto"/>
        </w:rPr>
      </w:pPr>
    </w:p>
    <w:p>
      <w:pPr>
        <w:ind w:left="680" w:right="120" w:firstLine="399"/>
        <w:spacing w:after="0" w:line="262" w:lineRule="auto"/>
        <w:rPr>
          <w:sz w:val="20"/>
          <w:szCs w:val="20"/>
          <w:color w:val="auto"/>
        </w:rPr>
      </w:pPr>
      <w:r>
        <w:rPr>
          <w:rFonts w:ascii="Arial" w:cs="Arial" w:eastAsia="Arial" w:hAnsi="Arial"/>
          <w:sz w:val="13"/>
          <w:szCs w:val="13"/>
          <w:color w:val="auto"/>
        </w:rPr>
        <w:t>We use AT&amp;T, a tier-one service provider, to provide a managed, fully-redundant network solution to deliver enterprise scale services to its customers. Specifically, we have two OC-3 fiber optic rings, delivering 115MB/sec of highly redundant bandwidth to the Bethlehem and Bridgewater facilities. WAN connectivity between our locations is achieved via a DS-3 MPLS circuit and Internet access to each location via a dedicated DS-3. A dedicated fiber-optic connection, provided by Level 3 Communications, is utilized to provide a data center backbone connection between our Bethlehem and Bridgewater facilities that is used for disaster recovery.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Disaster Recovery Facility</w:t>
      </w:r>
    </w:p>
    <w:p>
      <w:pPr>
        <w:spacing w:after="0" w:line="98"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We operate a second data center facility at our corporate headquarters in Bridgewater, New Jersey that is used to provide a hot site for disaster recovery purposes. In the event of a major service disruption at our primary facility, production application services will be activated at the secondary facility and services will be restored in a period of time required to meet all customer-facing service level agreements (SLAs) for availability and service delivery.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Customer Support</w:t>
      </w:r>
    </w:p>
    <w:p>
      <w:pPr>
        <w:spacing w:after="0" w:line="98"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Our Customer Service Center (CSC) acts as an initial point of contact for all customer related issues and requests. The CSC staff is available 7 days a week via phone, email or pager to facilitate the diagnosis and resolution of application and service related issues with which they are presented. Issues that require further investigation are immediately escalated to our product and infrastructure support teams on behalf of the customer to provide the greatest speed of problem resolution and highest levels of customer service.</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2" w:lineRule="exact"/>
        <w:rPr>
          <w:sz w:val="20"/>
          <w:szCs w:val="20"/>
          <w:color w:val="auto"/>
        </w:rPr>
      </w:pPr>
    </w:p>
    <w:p>
      <w:pPr>
        <w:ind w:left="680" w:right="600" w:firstLine="399"/>
        <w:spacing w:after="0" w:line="299" w:lineRule="auto"/>
        <w:rPr>
          <w:sz w:val="20"/>
          <w:szCs w:val="20"/>
          <w:color w:val="auto"/>
        </w:rPr>
      </w:pPr>
      <w:r>
        <w:rPr>
          <w:rFonts w:ascii="Arial" w:cs="Arial" w:eastAsia="Arial" w:hAnsi="Arial"/>
          <w:sz w:val="12"/>
          <w:szCs w:val="12"/>
          <w:color w:val="auto"/>
        </w:rPr>
        <w:t>Competition in our markets is intense and includes rapidly-changing technologies and customer requirements, as well as evolving industry standards and frequent product introductions. We compete primarily on the basis of the breadth of our domain expertise and our proprietary exception handling, as well as on the basis of price, time-to-market, functionality, quality and breadth of product and service offerings. We believe the most important factors making us a strong competitor include:</w:t>
      </w:r>
    </w:p>
    <w:p>
      <w:pPr>
        <w:spacing w:after="0" w:line="48" w:lineRule="exact"/>
        <w:rPr>
          <w:sz w:val="20"/>
          <w:szCs w:val="20"/>
          <w:color w:val="auto"/>
        </w:rPr>
      </w:pPr>
    </w:p>
    <w:p>
      <w:pPr>
        <w:ind w:left="1300" w:hanging="207"/>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breadth and depth of our transaction management solutions, including our exception handling technology;</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quality and performance of our products;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high-quality customer service;</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implement and integrate solutions;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overall value of our platforms; and</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references of our customers.</w:t>
      </w:r>
    </w:p>
    <w:p>
      <w:pPr>
        <w:spacing w:after="0" w:line="98"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color w:val="auto"/>
        </w:rPr>
        <w:t>We are aware of other software developers and smaller entrepreneurial companies that are focusing significant resources on developing and marketing products and services that will compete with our ActivationNow</w:t>
      </w:r>
      <w:r>
        <w:rPr>
          <w:rFonts w:ascii="Arial" w:cs="Arial" w:eastAsia="Arial" w:hAnsi="Arial"/>
          <w:sz w:val="10"/>
          <w:szCs w:val="10"/>
          <w:color w:val="auto"/>
        </w:rPr>
        <w:t>®</w:t>
      </w:r>
      <w:r>
        <w:rPr>
          <w:rFonts w:ascii="Arial" w:cs="Arial" w:eastAsia="Arial" w:hAnsi="Arial"/>
          <w:sz w:val="12"/>
          <w:szCs w:val="12"/>
          <w:color w:val="auto"/>
        </w:rPr>
        <w:t xml:space="preserve"> and ConvergenceNow</w:t>
      </w:r>
      <w:r>
        <w:rPr>
          <w:rFonts w:ascii="Arial" w:cs="Arial" w:eastAsia="Arial" w:hAnsi="Arial"/>
          <w:sz w:val="10"/>
          <w:szCs w:val="10"/>
          <w:color w:val="auto"/>
        </w:rPr>
        <w:t>®</w:t>
      </w:r>
      <w:r>
        <w:rPr>
          <w:rFonts w:ascii="Arial" w:cs="Arial" w:eastAsia="Arial" w:hAnsi="Arial"/>
          <w:sz w:val="12"/>
          <w:szCs w:val="12"/>
          <w:color w:val="auto"/>
        </w:rPr>
        <w:t xml:space="preserve"> platforms. We anticipate continued growth in the communications industry and the entrance of new competitors in the order processing and transaction management solutions market and expect that the market for our products and services will remain intensely competitive.</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Regulation</w:t>
      </w:r>
    </w:p>
    <w:p>
      <w:pPr>
        <w:spacing w:after="0" w:line="102" w:lineRule="exact"/>
        <w:rPr>
          <w:sz w:val="20"/>
          <w:szCs w:val="20"/>
          <w:color w:val="auto"/>
        </w:rPr>
      </w:pPr>
    </w:p>
    <w:p>
      <w:pPr>
        <w:ind w:left="680" w:right="220" w:firstLine="399"/>
        <w:spacing w:after="0" w:line="279" w:lineRule="auto"/>
        <w:rPr>
          <w:sz w:val="20"/>
          <w:szCs w:val="20"/>
          <w:color w:val="auto"/>
        </w:rPr>
      </w:pPr>
      <w:r>
        <w:rPr>
          <w:rFonts w:ascii="Arial" w:cs="Arial" w:eastAsia="Arial" w:hAnsi="Arial"/>
          <w:sz w:val="13"/>
          <w:szCs w:val="13"/>
          <w:color w:val="auto"/>
        </w:rPr>
        <w:t>We are not currently subject to direct federal, state or local government regulation, other than regulations that apply to businesses generally. Many of our customers are subject to regulation by the Federal Communications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80"/>
        <w:spacing w:after="0" w:line="279" w:lineRule="auto"/>
        <w:rPr>
          <w:sz w:val="20"/>
          <w:szCs w:val="20"/>
          <w:color w:val="auto"/>
        </w:rPr>
      </w:pPr>
      <w:r>
        <w:rPr>
          <w:rFonts w:ascii="Arial" w:cs="Arial" w:eastAsia="Arial" w:hAnsi="Arial"/>
          <w:sz w:val="13"/>
          <w:szCs w:val="13"/>
          <w:color w:val="auto"/>
        </w:rPr>
        <w:t>Commission, or FCC. Changes in FCC regulations that affect our existing or potential customers could lead them to spend less on transaction management solutions, which would reduce our revenues and could have a material adverse effect on our business, financial condition or results of operations.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w:t>
      </w:r>
    </w:p>
    <w:p>
      <w:pPr>
        <w:spacing w:after="0" w:line="102"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To establish and protect our intellectual property, we rely on a combination of copyright, trade secret and trademark laws, as well as confidentiality procedures and contractual restrictions. Synchronoss</w:t>
      </w:r>
      <w:r>
        <w:rPr>
          <w:rFonts w:ascii="Arial" w:cs="Arial" w:eastAsia="Arial" w:hAnsi="Arial"/>
          <w:sz w:val="11"/>
          <w:szCs w:val="11"/>
          <w:color w:val="auto"/>
        </w:rPr>
        <w:t>®</w:t>
      </w:r>
      <w:r>
        <w:rPr>
          <w:rFonts w:ascii="Arial" w:cs="Arial" w:eastAsia="Arial" w:hAnsi="Arial"/>
          <w:sz w:val="13"/>
          <w:szCs w:val="13"/>
          <w:color w:val="auto"/>
        </w:rPr>
        <w:t>, the Synchronoss logo, PerformancePartner</w:t>
      </w:r>
      <w:r>
        <w:rPr>
          <w:rFonts w:ascii="Arial" w:cs="Arial" w:eastAsia="Arial" w:hAnsi="Arial"/>
          <w:sz w:val="11"/>
          <w:szCs w:val="11"/>
          <w:color w:val="auto"/>
        </w:rPr>
        <w:t>®</w:t>
      </w:r>
      <w:r>
        <w:rPr>
          <w:rFonts w:ascii="Arial" w:cs="Arial" w:eastAsia="Arial" w:hAnsi="Arial"/>
          <w:sz w:val="13"/>
          <w:szCs w:val="13"/>
          <w:color w:val="auto"/>
        </w:rPr>
        <w:t>, ConvergenceNow</w:t>
      </w:r>
      <w:r>
        <w:rPr>
          <w:rFonts w:ascii="Arial" w:cs="Arial" w:eastAsia="Arial" w:hAnsi="Arial"/>
          <w:sz w:val="11"/>
          <w:szCs w:val="11"/>
          <w:color w:val="auto"/>
        </w:rPr>
        <w:t>®</w:t>
      </w:r>
      <w:r>
        <w:rPr>
          <w:rFonts w:ascii="Arial" w:cs="Arial" w:eastAsia="Arial" w:hAnsi="Arial"/>
          <w:sz w:val="13"/>
          <w:szCs w:val="13"/>
          <w:color w:val="auto"/>
        </w:rPr>
        <w:t xml:space="preserve"> and ActivationNow</w:t>
      </w:r>
      <w:r>
        <w:rPr>
          <w:rFonts w:ascii="Arial" w:cs="Arial" w:eastAsia="Arial" w:hAnsi="Arial"/>
          <w:sz w:val="11"/>
          <w:szCs w:val="11"/>
          <w:color w:val="auto"/>
        </w:rPr>
        <w:t>®</w:t>
      </w:r>
      <w:r>
        <w:rPr>
          <w:rFonts w:ascii="Arial" w:cs="Arial" w:eastAsia="Arial" w:hAnsi="Arial"/>
          <w:sz w:val="13"/>
          <w:szCs w:val="13"/>
          <w:color w:val="auto"/>
        </w:rPr>
        <w:t xml:space="preserve"> are registered trademarks of Synchronoss Technologies, Inc. In addition to legal protections, we rely on the technical and creative skills of our employees, frequent product enhancements and improved product quality to maintain a technology-leadership position. We cannot be certain that others will not develop technologies that are similar or superior to our technology.</w:t>
      </w:r>
    </w:p>
    <w:p>
      <w:pPr>
        <w:spacing w:after="0" w:line="69" w:lineRule="exact"/>
        <w:rPr>
          <w:sz w:val="20"/>
          <w:szCs w:val="20"/>
          <w:color w:val="auto"/>
        </w:rPr>
      </w:pPr>
    </w:p>
    <w:p>
      <w:pPr>
        <w:ind w:left="680" w:right="220" w:firstLine="399"/>
        <w:spacing w:after="0" w:line="279" w:lineRule="auto"/>
        <w:rPr>
          <w:sz w:val="20"/>
          <w:szCs w:val="20"/>
          <w:color w:val="auto"/>
        </w:rPr>
      </w:pPr>
      <w:r>
        <w:rPr>
          <w:rFonts w:ascii="Arial" w:cs="Arial" w:eastAsia="Arial" w:hAnsi="Arial"/>
          <w:sz w:val="13"/>
          <w:szCs w:val="13"/>
          <w:color w:val="auto"/>
        </w:rPr>
        <w:t>We enter into confidentiality and invention assignment agreements with our employees and confidentiality agreements with our alliance partners and customers, and we control access to and distribution of our software, documentation and other proprietary information.</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2" w:lineRule="exact"/>
        <w:rPr>
          <w:sz w:val="20"/>
          <w:szCs w:val="20"/>
          <w:color w:val="auto"/>
        </w:rPr>
      </w:pPr>
    </w:p>
    <w:p>
      <w:pPr>
        <w:ind w:left="680" w:right="280" w:firstLine="399"/>
        <w:spacing w:after="0" w:line="262" w:lineRule="auto"/>
        <w:rPr>
          <w:sz w:val="20"/>
          <w:szCs w:val="20"/>
          <w:color w:val="auto"/>
        </w:rPr>
      </w:pPr>
      <w:r>
        <w:rPr>
          <w:rFonts w:ascii="Arial" w:cs="Arial" w:eastAsia="Arial" w:hAnsi="Arial"/>
          <w:sz w:val="13"/>
          <w:szCs w:val="13"/>
          <w:color w:val="auto"/>
        </w:rPr>
        <w:t>We believe that our growth and success is attributable in large part to our employees and an experienced management team, many members of which have years of industry experience in building, implementing, marketing and selling transaction management solutions critical to business operations. We intend to continue training our employees as well as developing and promoting our culture and believe such efforts provide us with a sustainable competitive advantage. We offer a work environment that enables employees to make meaningful contributions, as well as incentive programs to continue to motivate and reward our employees.</w:t>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2007, we had 232 full-time employees. None of our employees are covered by any collective bargaining agreements.</w:t>
      </w: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580"/>
          </w:cols>
          <w:pgMar w:left="220" w:top="345" w:right="109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Executive Officers of the Registrant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sets forth certain information regarding our Executive Officers as of February 28, 2008:</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2860" w:type="dxa"/>
            <w:vAlign w:val="bottom"/>
            <w:gridSpan w:val="2"/>
          </w:tcPr>
          <w:p>
            <w:pPr>
              <w:spacing w:after="0"/>
              <w:rPr>
                <w:sz w:val="20"/>
                <w:szCs w:val="20"/>
                <w:color w:val="auto"/>
              </w:rPr>
            </w:pPr>
            <w:r>
              <w:rPr>
                <w:rFonts w:ascii="Arial" w:cs="Arial" w:eastAsia="Arial" w:hAnsi="Arial"/>
                <w:sz w:val="11"/>
                <w:szCs w:val="11"/>
                <w:b w:val="1"/>
                <w:bCs w:val="1"/>
                <w:u w:val="single" w:color="auto"/>
                <w:color w:val="auto"/>
              </w:rPr>
              <w:t>N</w:t>
            </w:r>
            <w:r>
              <w:rPr>
                <w:rFonts w:ascii="Arial" w:cs="Arial" w:eastAsia="Arial" w:hAnsi="Arial"/>
                <w:sz w:val="11"/>
                <w:szCs w:val="11"/>
                <w:b w:val="1"/>
                <w:bCs w:val="1"/>
                <w:color w:val="auto"/>
              </w:rPr>
              <w:t>ame</w:t>
            </w:r>
          </w:p>
        </w:tc>
        <w:tc>
          <w:tcPr>
            <w:tcW w:w="1960" w:type="dxa"/>
            <w:vAlign w:val="bottom"/>
          </w:tcPr>
          <w:p>
            <w:pPr>
              <w:jc w:val="right"/>
              <w:ind w:right="35"/>
              <w:spacing w:after="0"/>
              <w:rPr>
                <w:sz w:val="20"/>
                <w:szCs w:val="20"/>
                <w:color w:val="auto"/>
              </w:rPr>
            </w:pPr>
            <w:r>
              <w:rPr>
                <w:rFonts w:ascii="Arial" w:cs="Arial" w:eastAsia="Arial" w:hAnsi="Arial"/>
                <w:sz w:val="11"/>
                <w:szCs w:val="11"/>
                <w:b w:val="1"/>
                <w:bCs w:val="1"/>
                <w:color w:val="auto"/>
              </w:rPr>
              <w:t>Age</w:t>
            </w:r>
          </w:p>
        </w:tc>
        <w:tc>
          <w:tcPr>
            <w:tcW w:w="5160" w:type="dxa"/>
            <w:vAlign w:val="bottom"/>
          </w:tcPr>
          <w:p>
            <w:pPr>
              <w:ind w:left="2600"/>
              <w:spacing w:after="0"/>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osition</w:t>
            </w:r>
          </w:p>
        </w:tc>
        <w:tc>
          <w:tcPr>
            <w:tcW w:w="0" w:type="dxa"/>
            <w:vAlign w:val="bottom"/>
          </w:tcPr>
          <w:p>
            <w:pPr>
              <w:spacing w:after="0"/>
              <w:rPr>
                <w:sz w:val="1"/>
                <w:szCs w:val="1"/>
                <w:color w:val="auto"/>
              </w:rPr>
            </w:pPr>
          </w:p>
        </w:tc>
      </w:tr>
      <w:tr>
        <w:trPr>
          <w:trHeight w:val="49"/>
        </w:trPr>
        <w:tc>
          <w:tcPr>
            <w:tcW w:w="20" w:type="dxa"/>
            <w:vAlign w:val="bottom"/>
            <w:vMerge w:val="restart"/>
          </w:tcPr>
          <w:p>
            <w:pPr>
              <w:spacing w:after="0"/>
              <w:rPr>
                <w:sz w:val="4"/>
                <w:szCs w:val="4"/>
                <w:color w:val="auto"/>
              </w:rPr>
            </w:pPr>
          </w:p>
        </w:tc>
        <w:tc>
          <w:tcPr>
            <w:tcW w:w="28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5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Stephen G. Waldis</w:t>
            </w:r>
          </w:p>
        </w:tc>
        <w:tc>
          <w:tcPr>
            <w:tcW w:w="196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40</w:t>
            </w:r>
          </w:p>
        </w:tc>
        <w:tc>
          <w:tcPr>
            <w:tcW w:w="5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Chairman of the Board of Directors, President and Chief Executive Officer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Lawrence R. Irving</w:t>
            </w:r>
          </w:p>
        </w:tc>
        <w:tc>
          <w:tcPr>
            <w:tcW w:w="1960" w:type="dxa"/>
            <w:vAlign w:val="bottom"/>
          </w:tcPr>
          <w:p>
            <w:pPr>
              <w:jc w:val="right"/>
              <w:ind w:right="135"/>
              <w:spacing w:after="0"/>
              <w:rPr>
                <w:sz w:val="20"/>
                <w:szCs w:val="20"/>
                <w:color w:val="auto"/>
              </w:rPr>
            </w:pPr>
            <w:r>
              <w:rPr>
                <w:rFonts w:ascii="Arial" w:cs="Arial" w:eastAsia="Arial" w:hAnsi="Arial"/>
                <w:sz w:val="13"/>
                <w:szCs w:val="13"/>
                <w:color w:val="auto"/>
              </w:rPr>
              <w:t>51</w:t>
            </w:r>
          </w:p>
        </w:tc>
        <w:tc>
          <w:tcPr>
            <w:tcW w:w="5160" w:type="dxa"/>
            <w:vAlign w:val="bottom"/>
          </w:tcPr>
          <w:p>
            <w:pPr>
              <w:ind w:left="100"/>
              <w:spacing w:after="0"/>
              <w:rPr>
                <w:sz w:val="20"/>
                <w:szCs w:val="20"/>
                <w:color w:val="auto"/>
              </w:rPr>
            </w:pPr>
            <w:r>
              <w:rPr>
                <w:rFonts w:ascii="Arial" w:cs="Arial" w:eastAsia="Arial" w:hAnsi="Arial"/>
                <w:sz w:val="13"/>
                <w:szCs w:val="13"/>
                <w:color w:val="auto"/>
              </w:rPr>
              <w:t>Chief Financial Officer and Treasurer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Robert Garcia</w:t>
            </w:r>
          </w:p>
        </w:tc>
        <w:tc>
          <w:tcPr>
            <w:tcW w:w="196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39</w:t>
            </w:r>
          </w:p>
        </w:tc>
        <w:tc>
          <w:tcPr>
            <w:tcW w:w="5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Chief Operating Officer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Omar Tellez</w:t>
            </w:r>
          </w:p>
        </w:tc>
        <w:tc>
          <w:tcPr>
            <w:tcW w:w="1960" w:type="dxa"/>
            <w:vAlign w:val="bottom"/>
          </w:tcPr>
          <w:p>
            <w:pPr>
              <w:jc w:val="right"/>
              <w:ind w:right="135"/>
              <w:spacing w:after="0"/>
              <w:rPr>
                <w:sz w:val="20"/>
                <w:szCs w:val="20"/>
                <w:color w:val="auto"/>
              </w:rPr>
            </w:pPr>
            <w:r>
              <w:rPr>
                <w:rFonts w:ascii="Arial" w:cs="Arial" w:eastAsia="Arial" w:hAnsi="Arial"/>
                <w:sz w:val="13"/>
                <w:szCs w:val="13"/>
                <w:color w:val="auto"/>
              </w:rPr>
              <w:t>39</w:t>
            </w:r>
          </w:p>
        </w:tc>
        <w:tc>
          <w:tcPr>
            <w:tcW w:w="5160" w:type="dxa"/>
            <w:vAlign w:val="bottom"/>
          </w:tcPr>
          <w:p>
            <w:pPr>
              <w:ind w:left="100"/>
              <w:spacing w:after="0"/>
              <w:rPr>
                <w:sz w:val="20"/>
                <w:szCs w:val="20"/>
                <w:color w:val="auto"/>
              </w:rPr>
            </w:pPr>
            <w:r>
              <w:rPr>
                <w:rFonts w:ascii="Arial" w:cs="Arial" w:eastAsia="Arial" w:hAnsi="Arial"/>
                <w:sz w:val="13"/>
                <w:szCs w:val="13"/>
                <w:color w:val="auto"/>
              </w:rPr>
              <w:t>Chief Marketing Officer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Christopher S. Putnam</w:t>
            </w:r>
          </w:p>
        </w:tc>
        <w:tc>
          <w:tcPr>
            <w:tcW w:w="196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39</w:t>
            </w:r>
          </w:p>
        </w:tc>
        <w:tc>
          <w:tcPr>
            <w:tcW w:w="5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Executive Vice President of Sales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Ronald J. Prague</w:t>
            </w:r>
          </w:p>
        </w:tc>
        <w:tc>
          <w:tcPr>
            <w:tcW w:w="1960" w:type="dxa"/>
            <w:vAlign w:val="bottom"/>
          </w:tcPr>
          <w:p>
            <w:pPr>
              <w:jc w:val="right"/>
              <w:ind w:right="135"/>
              <w:spacing w:after="0"/>
              <w:rPr>
                <w:sz w:val="20"/>
                <w:szCs w:val="20"/>
                <w:color w:val="auto"/>
              </w:rPr>
            </w:pPr>
            <w:r>
              <w:rPr>
                <w:rFonts w:ascii="Arial" w:cs="Arial" w:eastAsia="Arial" w:hAnsi="Arial"/>
                <w:sz w:val="13"/>
                <w:szCs w:val="13"/>
                <w:color w:val="auto"/>
              </w:rPr>
              <w:t>44</w:t>
            </w:r>
          </w:p>
        </w:tc>
        <w:tc>
          <w:tcPr>
            <w:tcW w:w="5160" w:type="dxa"/>
            <w:vAlign w:val="bottom"/>
          </w:tcPr>
          <w:p>
            <w:pPr>
              <w:ind w:left="100"/>
              <w:spacing w:after="0"/>
              <w:rPr>
                <w:sz w:val="20"/>
                <w:szCs w:val="20"/>
                <w:color w:val="auto"/>
              </w:rPr>
            </w:pPr>
            <w:r>
              <w:rPr>
                <w:rFonts w:ascii="Arial" w:cs="Arial" w:eastAsia="Arial" w:hAnsi="Arial"/>
                <w:sz w:val="13"/>
                <w:szCs w:val="13"/>
                <w:color w:val="auto"/>
              </w:rPr>
              <w:t>Vice President, General Counsel and Secretary</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S. Andrew Cox</w:t>
            </w:r>
          </w:p>
        </w:tc>
        <w:tc>
          <w:tcPr>
            <w:tcW w:w="196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42</w:t>
            </w:r>
          </w:p>
        </w:tc>
        <w:tc>
          <w:tcPr>
            <w:tcW w:w="5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Chief Information Officer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Robert Sean Parkinson</w:t>
            </w:r>
          </w:p>
        </w:tc>
        <w:tc>
          <w:tcPr>
            <w:tcW w:w="1960" w:type="dxa"/>
            <w:vAlign w:val="bottom"/>
          </w:tcPr>
          <w:p>
            <w:pPr>
              <w:jc w:val="right"/>
              <w:ind w:right="135"/>
              <w:spacing w:after="0"/>
              <w:rPr>
                <w:sz w:val="20"/>
                <w:szCs w:val="20"/>
                <w:color w:val="auto"/>
              </w:rPr>
            </w:pPr>
            <w:r>
              <w:rPr>
                <w:rFonts w:ascii="Arial" w:cs="Arial" w:eastAsia="Arial" w:hAnsi="Arial"/>
                <w:sz w:val="13"/>
                <w:szCs w:val="13"/>
                <w:color w:val="auto"/>
              </w:rPr>
              <w:t>49</w:t>
            </w:r>
          </w:p>
        </w:tc>
        <w:tc>
          <w:tcPr>
            <w:tcW w:w="5160" w:type="dxa"/>
            <w:vAlign w:val="bottom"/>
          </w:tcPr>
          <w:p>
            <w:pPr>
              <w:ind w:left="100"/>
              <w:spacing w:after="0"/>
              <w:rPr>
                <w:sz w:val="20"/>
                <w:szCs w:val="20"/>
                <w:color w:val="auto"/>
              </w:rPr>
            </w:pPr>
            <w:r>
              <w:rPr>
                <w:rFonts w:ascii="Arial" w:cs="Arial" w:eastAsia="Arial" w:hAnsi="Arial"/>
                <w:sz w:val="13"/>
                <w:szCs w:val="13"/>
                <w:color w:val="auto"/>
              </w:rPr>
              <w:t>President, International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Patrick J. Doran</w:t>
            </w:r>
          </w:p>
        </w:tc>
        <w:tc>
          <w:tcPr>
            <w:tcW w:w="196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34</w:t>
            </w:r>
          </w:p>
        </w:tc>
        <w:tc>
          <w:tcPr>
            <w:tcW w:w="5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Vice President, Research and Development and Chief Technology Officer</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Stephen G. Waldis </w:t>
      </w:r>
      <w:r>
        <w:rPr>
          <w:rFonts w:ascii="Arial" w:cs="Arial" w:eastAsia="Arial" w:hAnsi="Arial"/>
          <w:sz w:val="13"/>
          <w:szCs w:val="13"/>
          <w:color w:val="auto"/>
        </w:rPr>
        <w:t>has served as President and Chief Executive Officer of Synchronoss since founding the company in 2000 and has served as Chairman of the Board of Directors</w:t>
      </w:r>
      <w:r>
        <w:rPr>
          <w:rFonts w:ascii="Arial" w:cs="Arial" w:eastAsia="Arial" w:hAnsi="Arial"/>
          <w:sz w:val="13"/>
          <w:szCs w:val="13"/>
          <w:i w:val="1"/>
          <w:iCs w:val="1"/>
          <w:color w:val="auto"/>
        </w:rPr>
        <w:t xml:space="preserve"> </w:t>
      </w:r>
      <w:r>
        <w:rPr>
          <w:rFonts w:ascii="Arial" w:cs="Arial" w:eastAsia="Arial" w:hAnsi="Arial"/>
          <w:sz w:val="13"/>
          <w:szCs w:val="13"/>
          <w:color w:val="auto"/>
        </w:rPr>
        <w:t>since February of 2001. Before founding Synchronoss, from 1994 to 2000, Mr. Waldis served as Chief Operating Officer at Vertek Corporation, a privately held professional services company serving the telecommunications industry. From 1992 to 1994, Mr. Waldis served as Vice President of Sales and Marketing of Logical Design Solutions, a provider of telecom and interactive solutions. From 1989 to 1992, Mr. Waldis worked in various technical and product management roles at AT&amp;T. Mr. Waldis received a degree in corporate communications from Seton Hall University.</w:t>
      </w:r>
    </w:p>
    <w:p>
      <w:pPr>
        <w:spacing w:after="0" w:line="70" w:lineRule="exact"/>
        <w:rPr>
          <w:sz w:val="20"/>
          <w:szCs w:val="20"/>
          <w:color w:val="auto"/>
        </w:rPr>
      </w:pPr>
    </w:p>
    <w:p>
      <w:pPr>
        <w:ind w:left="680" w:right="60" w:firstLine="399"/>
        <w:spacing w:after="0" w:line="262" w:lineRule="auto"/>
        <w:rPr>
          <w:sz w:val="20"/>
          <w:szCs w:val="20"/>
          <w:color w:val="auto"/>
        </w:rPr>
      </w:pPr>
      <w:r>
        <w:rPr>
          <w:rFonts w:ascii="Arial" w:cs="Arial" w:eastAsia="Arial" w:hAnsi="Arial"/>
          <w:sz w:val="13"/>
          <w:szCs w:val="13"/>
          <w:i w:val="1"/>
          <w:iCs w:val="1"/>
          <w:color w:val="auto"/>
        </w:rPr>
        <w:t xml:space="preserve">Lawrence R. Irving </w:t>
      </w:r>
      <w:r>
        <w:rPr>
          <w:rFonts w:ascii="Arial" w:cs="Arial" w:eastAsia="Arial" w:hAnsi="Arial"/>
          <w:sz w:val="13"/>
          <w:szCs w:val="13"/>
          <w:color w:val="auto"/>
        </w:rPr>
        <w:t>has served as Chief Financial Officer and Treasurer of Synchronoss since July 2001. Before joining Synchronoss, from 1998 to 2001, Mr. Irving served as Chief</w:t>
      </w:r>
      <w:r>
        <w:rPr>
          <w:rFonts w:ascii="Arial" w:cs="Arial" w:eastAsia="Arial" w:hAnsi="Arial"/>
          <w:sz w:val="13"/>
          <w:szCs w:val="13"/>
          <w:i w:val="1"/>
          <w:iCs w:val="1"/>
          <w:color w:val="auto"/>
        </w:rPr>
        <w:t xml:space="preserve"> </w:t>
      </w:r>
      <w:r>
        <w:rPr>
          <w:rFonts w:ascii="Arial" w:cs="Arial" w:eastAsia="Arial" w:hAnsi="Arial"/>
          <w:sz w:val="13"/>
          <w:szCs w:val="13"/>
          <w:color w:val="auto"/>
        </w:rPr>
        <w:t>Financial Officer and Treasurer at CommTech Corporation, a telecommunications software provider that was acquired by ADC Telecommunications. From 1995 to 1998, Mr. Irving served as Chief Financial Officer of Holmes Protection Group, a publicly traded company which was acquired by Tyco International. Mr. Irving is a certified public accountant and a member of the New York State Society of Certified Public Accountants. Mr. Irving received a degree in accounting from Pace University.</w:t>
      </w:r>
    </w:p>
    <w:p>
      <w:pPr>
        <w:spacing w:after="0" w:line="69" w:lineRule="exact"/>
        <w:rPr>
          <w:sz w:val="20"/>
          <w:szCs w:val="20"/>
          <w:color w:val="auto"/>
        </w:rPr>
      </w:pPr>
    </w:p>
    <w:p>
      <w:pPr>
        <w:ind w:left="680" w:right="60" w:firstLine="399"/>
        <w:spacing w:after="0" w:line="291" w:lineRule="auto"/>
        <w:rPr>
          <w:sz w:val="20"/>
          <w:szCs w:val="20"/>
          <w:color w:val="auto"/>
        </w:rPr>
      </w:pPr>
      <w:r>
        <w:rPr>
          <w:rFonts w:ascii="Arial" w:cs="Arial" w:eastAsia="Arial" w:hAnsi="Arial"/>
          <w:sz w:val="12"/>
          <w:szCs w:val="12"/>
          <w:i w:val="1"/>
          <w:iCs w:val="1"/>
          <w:color w:val="auto"/>
        </w:rPr>
        <w:t xml:space="preserve">Robert Garcia </w:t>
      </w:r>
      <w:r>
        <w:rPr>
          <w:rFonts w:ascii="Arial" w:cs="Arial" w:eastAsia="Arial" w:hAnsi="Arial"/>
          <w:sz w:val="12"/>
          <w:szCs w:val="12"/>
          <w:color w:val="auto"/>
        </w:rPr>
        <w:t>has served as Chief Operating Officer of Synchronoss since April 2007. Prior to that position, Mr. Garcia served in various positions at Synchronoss, including</w:t>
      </w:r>
      <w:r>
        <w:rPr>
          <w:rFonts w:ascii="Arial" w:cs="Arial" w:eastAsia="Arial" w:hAnsi="Arial"/>
          <w:sz w:val="12"/>
          <w:szCs w:val="12"/>
          <w:i w:val="1"/>
          <w:iCs w:val="1"/>
          <w:color w:val="auto"/>
        </w:rPr>
        <w:t xml:space="preserve"> </w:t>
      </w:r>
      <w:r>
        <w:rPr>
          <w:rFonts w:ascii="Arial" w:cs="Arial" w:eastAsia="Arial" w:hAnsi="Arial"/>
          <w:sz w:val="12"/>
          <w:szCs w:val="12"/>
          <w:color w:val="auto"/>
        </w:rPr>
        <w:t>Executive Vice President of Operations and Service Delivery and General Manager of Synchronoss’ western office since joining Synchronoss in August 2000. Before joining Synchronoss, Mr. Garcia was a Senior Business Consultant with Vertek Corporation from January 1999 to August 2000. Mr. Garcia has also held senior management positions with Philips Lighting Company and Johnson &amp; Johnson Company. Mr. Garcia received a degree in logistics and economics from St. John’s University in New York.</w:t>
      </w:r>
    </w:p>
    <w:p>
      <w:pPr>
        <w:spacing w:after="0" w:line="53"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i w:val="1"/>
          <w:iCs w:val="1"/>
          <w:color w:val="auto"/>
        </w:rPr>
        <w:t xml:space="preserve">Christopher S. Putnam </w:t>
      </w:r>
      <w:r>
        <w:rPr>
          <w:rFonts w:ascii="Arial" w:cs="Arial" w:eastAsia="Arial" w:hAnsi="Arial"/>
          <w:sz w:val="13"/>
          <w:szCs w:val="13"/>
          <w:color w:val="auto"/>
        </w:rPr>
        <w:t>has been with Synchronoss since January 2004 and has served as Executive Vice President of Sales of Synchronoss since April 2005. Mr. Putnam leads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Company’s new business initiatives and sales teams, and he is responsible for strategic account acquisitions such as Time Warner Cable, Comcast and Vonage. Prior to joining Synchronoss, from 1999 to 2004, Mr. Putnam served as Director of Sales for Perot Systems’ Telecommunications business unit. Mr. Putnam received a degree in communications from Texas Christian University.</w:t>
      </w:r>
    </w:p>
    <w:p>
      <w:pPr>
        <w:spacing w:after="0" w:line="69"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i w:val="1"/>
          <w:iCs w:val="1"/>
          <w:color w:val="auto"/>
        </w:rPr>
        <w:t xml:space="preserve">Omar Tellez </w:t>
      </w:r>
      <w:r>
        <w:rPr>
          <w:rFonts w:ascii="Arial" w:cs="Arial" w:eastAsia="Arial" w:hAnsi="Arial"/>
          <w:sz w:val="13"/>
          <w:szCs w:val="13"/>
          <w:color w:val="auto"/>
        </w:rPr>
        <w:t>joined in June 2006 as Executive Vice President of Marketing. Before joining Synchronoss, Mr. Téllez was the Vice President of the Product Solutions Group at</w:t>
      </w:r>
      <w:r>
        <w:rPr>
          <w:rFonts w:ascii="Arial" w:cs="Arial" w:eastAsia="Arial" w:hAnsi="Arial"/>
          <w:sz w:val="13"/>
          <w:szCs w:val="13"/>
          <w:i w:val="1"/>
          <w:iCs w:val="1"/>
          <w:color w:val="auto"/>
        </w:rPr>
        <w:t xml:space="preserve"> </w:t>
      </w:r>
      <w:r>
        <w:rPr>
          <w:rFonts w:ascii="Arial" w:cs="Arial" w:eastAsia="Arial" w:hAnsi="Arial"/>
          <w:sz w:val="13"/>
          <w:szCs w:val="13"/>
          <w:color w:val="auto"/>
        </w:rPr>
        <w:t>Openwave Systems from 2001 to 2006 and was with Booz Allen &amp; Hamilton’s Communication Media and Technology Practice from 1996 to 2001. Mr. Tellez received a master of business administration degree from the Haas School of Business at the University of California, Berkeley, and a degree in industrial engineering from the Universidad de los Andes in Bogota, Colombia.</w:t>
      </w:r>
    </w:p>
    <w:p>
      <w:pPr>
        <w:spacing w:after="0" w:line="69" w:lineRule="exact"/>
        <w:rPr>
          <w:sz w:val="20"/>
          <w:szCs w:val="20"/>
          <w:color w:val="auto"/>
        </w:rPr>
      </w:pPr>
    </w:p>
    <w:p>
      <w:pPr>
        <w:ind w:left="680" w:right="600" w:firstLine="399"/>
        <w:spacing w:after="0" w:line="322" w:lineRule="auto"/>
        <w:rPr>
          <w:sz w:val="20"/>
          <w:szCs w:val="20"/>
          <w:color w:val="auto"/>
        </w:rPr>
      </w:pPr>
      <w:r>
        <w:rPr>
          <w:rFonts w:ascii="Arial" w:cs="Arial" w:eastAsia="Arial" w:hAnsi="Arial"/>
          <w:sz w:val="12"/>
          <w:szCs w:val="12"/>
          <w:i w:val="1"/>
          <w:iCs w:val="1"/>
          <w:color w:val="auto"/>
        </w:rPr>
        <w:t xml:space="preserve">Ronald J. Prague </w:t>
      </w:r>
      <w:r>
        <w:rPr>
          <w:rFonts w:ascii="Arial" w:cs="Arial" w:eastAsia="Arial" w:hAnsi="Arial"/>
          <w:sz w:val="12"/>
          <w:szCs w:val="12"/>
          <w:color w:val="auto"/>
        </w:rPr>
        <w:t>joined Synchronoss in July 2006 as Vice President and General Counsel of Synchronoss and has served as Secretary since October 2006. Before joining</w:t>
      </w:r>
      <w:r>
        <w:rPr>
          <w:rFonts w:ascii="Arial" w:cs="Arial" w:eastAsia="Arial" w:hAnsi="Arial"/>
          <w:sz w:val="12"/>
          <w:szCs w:val="12"/>
          <w:i w:val="1"/>
          <w:iCs w:val="1"/>
          <w:color w:val="auto"/>
        </w:rPr>
        <w:t xml:space="preserve"> </w:t>
      </w:r>
      <w:r>
        <w:rPr>
          <w:rFonts w:ascii="Arial" w:cs="Arial" w:eastAsia="Arial" w:hAnsi="Arial"/>
          <w:sz w:val="12"/>
          <w:szCs w:val="12"/>
          <w:color w:val="auto"/>
        </w:rPr>
        <w:t>Synchronoss, Mr. Prague held various positions with Intel Corporation from February 1998 to June 2006, most recently as Group Counsel for Intel’s Communications</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jc w:val="both"/>
        <w:ind w:left="680"/>
        <w:spacing w:after="0" w:line="322" w:lineRule="auto"/>
        <w:rPr>
          <w:sz w:val="20"/>
          <w:szCs w:val="20"/>
          <w:color w:val="auto"/>
        </w:rPr>
      </w:pPr>
      <w:r>
        <w:rPr>
          <w:rFonts w:ascii="Arial" w:cs="Arial" w:eastAsia="Arial" w:hAnsi="Arial"/>
          <w:sz w:val="12"/>
          <w:szCs w:val="12"/>
          <w:color w:val="auto"/>
        </w:rPr>
        <w:t>Infrastructure Group. Prior to joining Intel, Mr. Prague practiced law with the law firm of Haythe &amp; Curley (now Torys LLP) from 1992 to 1998 and with Richards &amp; O’Neil (now Bingham McCutchen) from 1988 to 1992. Mr. Prague is a graduate of Northwestern University School of Law and earned a degree in business administration and marketing from Cornell University.</w:t>
      </w:r>
    </w:p>
    <w:p>
      <w:pPr>
        <w:spacing w:after="0" w:line="35" w:lineRule="exact"/>
        <w:rPr>
          <w:sz w:val="20"/>
          <w:szCs w:val="20"/>
          <w:color w:val="auto"/>
        </w:rPr>
      </w:pPr>
    </w:p>
    <w:p>
      <w:pPr>
        <w:jc w:val="both"/>
        <w:ind w:left="680" w:right="80" w:firstLine="399"/>
        <w:spacing w:after="0" w:line="266" w:lineRule="auto"/>
        <w:rPr>
          <w:sz w:val="20"/>
          <w:szCs w:val="20"/>
          <w:color w:val="auto"/>
        </w:rPr>
      </w:pPr>
      <w:r>
        <w:rPr>
          <w:rFonts w:ascii="Arial" w:cs="Arial" w:eastAsia="Arial" w:hAnsi="Arial"/>
          <w:sz w:val="13"/>
          <w:szCs w:val="13"/>
          <w:i w:val="1"/>
          <w:iCs w:val="1"/>
          <w:color w:val="auto"/>
        </w:rPr>
        <w:t xml:space="preserve">S. Andrew Cox </w:t>
      </w:r>
      <w:r>
        <w:rPr>
          <w:rFonts w:ascii="Arial" w:cs="Arial" w:eastAsia="Arial" w:hAnsi="Arial"/>
          <w:sz w:val="13"/>
          <w:szCs w:val="13"/>
          <w:color w:val="auto"/>
        </w:rPr>
        <w:t>joined Synchronoss in December 2003 as Chief Information Officer. Prior to joining Synchronoss, from March 1997 to December 2003, Mr. Cox was the Managing</w:t>
      </w:r>
      <w:r>
        <w:rPr>
          <w:rFonts w:ascii="Arial" w:cs="Arial" w:eastAsia="Arial" w:hAnsi="Arial"/>
          <w:sz w:val="13"/>
          <w:szCs w:val="13"/>
          <w:i w:val="1"/>
          <w:iCs w:val="1"/>
          <w:color w:val="auto"/>
        </w:rPr>
        <w:t xml:space="preserve"> </w:t>
      </w:r>
      <w:r>
        <w:rPr>
          <w:rFonts w:ascii="Arial" w:cs="Arial" w:eastAsia="Arial" w:hAnsi="Arial"/>
          <w:sz w:val="13"/>
          <w:szCs w:val="13"/>
          <w:color w:val="auto"/>
        </w:rPr>
        <w:t>Director for Infrastructure Solutions with CoreTech Consulting Group, and was an analyst with Rohm and Haas Company from December 1992 to March 1997. Mr. Cox received a degree in electrical engineering from Bucknell University and a Masters of Business Administration from Loyola College.</w:t>
      </w:r>
    </w:p>
    <w:p>
      <w:pPr>
        <w:spacing w:after="0" w:line="67" w:lineRule="exact"/>
        <w:rPr>
          <w:sz w:val="20"/>
          <w:szCs w:val="20"/>
          <w:color w:val="auto"/>
        </w:rPr>
      </w:pPr>
    </w:p>
    <w:p>
      <w:pPr>
        <w:ind w:left="680" w:right="40" w:firstLine="399"/>
        <w:spacing w:after="0" w:line="266" w:lineRule="auto"/>
        <w:rPr>
          <w:sz w:val="20"/>
          <w:szCs w:val="20"/>
          <w:color w:val="auto"/>
        </w:rPr>
      </w:pPr>
      <w:r>
        <w:rPr>
          <w:rFonts w:ascii="Arial" w:cs="Arial" w:eastAsia="Arial" w:hAnsi="Arial"/>
          <w:sz w:val="13"/>
          <w:szCs w:val="13"/>
          <w:i w:val="1"/>
          <w:iCs w:val="1"/>
          <w:color w:val="auto"/>
        </w:rPr>
        <w:t xml:space="preserve">Robert Sean Parkinson </w:t>
      </w:r>
      <w:r>
        <w:rPr>
          <w:rFonts w:ascii="Arial" w:cs="Arial" w:eastAsia="Arial" w:hAnsi="Arial"/>
          <w:sz w:val="13"/>
          <w:szCs w:val="13"/>
          <w:color w:val="auto"/>
        </w:rPr>
        <w:t>joined Synchronoss in December 2007 as President, International Operations. Prior to joining Synchronoss, from 2004 to 2007, Mr. Parkinson was the Chief</w:t>
      </w:r>
      <w:r>
        <w:rPr>
          <w:rFonts w:ascii="Arial" w:cs="Arial" w:eastAsia="Arial" w:hAnsi="Arial"/>
          <w:sz w:val="13"/>
          <w:szCs w:val="13"/>
          <w:i w:val="1"/>
          <w:iCs w:val="1"/>
          <w:color w:val="auto"/>
        </w:rPr>
        <w:t xml:space="preserve"> </w:t>
      </w:r>
      <w:r>
        <w:rPr>
          <w:rFonts w:ascii="Arial" w:cs="Arial" w:eastAsia="Arial" w:hAnsi="Arial"/>
          <w:sz w:val="13"/>
          <w:szCs w:val="13"/>
          <w:color w:val="auto"/>
        </w:rPr>
        <w:t>Executive Officer for Non-Western Operations of T-Systems Gmbh. From 2002 to 2004, Mr. Parkinson was Senior Vice President of Global Business Development of AIG Technologies, Inc. Mr. Parkinson received a business diploma degree in 1979 from Manchester University, Manchester, England.</w:t>
      </w:r>
    </w:p>
    <w:p>
      <w:pPr>
        <w:spacing w:after="0" w:line="67" w:lineRule="exact"/>
        <w:rPr>
          <w:sz w:val="20"/>
          <w:szCs w:val="20"/>
          <w:color w:val="auto"/>
        </w:rPr>
      </w:pPr>
    </w:p>
    <w:p>
      <w:pPr>
        <w:ind w:left="680" w:right="160" w:firstLine="399"/>
        <w:spacing w:after="0" w:line="262" w:lineRule="auto"/>
        <w:rPr>
          <w:sz w:val="20"/>
          <w:szCs w:val="20"/>
          <w:color w:val="auto"/>
        </w:rPr>
      </w:pPr>
      <w:r>
        <w:rPr>
          <w:rFonts w:ascii="Arial" w:cs="Arial" w:eastAsia="Arial" w:hAnsi="Arial"/>
          <w:sz w:val="13"/>
          <w:szCs w:val="13"/>
          <w:i w:val="1"/>
          <w:iCs w:val="1"/>
          <w:color w:val="auto"/>
        </w:rPr>
        <w:t xml:space="preserve">Patrick J. Doran </w:t>
      </w:r>
      <w:r>
        <w:rPr>
          <w:rFonts w:ascii="Arial" w:cs="Arial" w:eastAsia="Arial" w:hAnsi="Arial"/>
          <w:sz w:val="13"/>
          <w:szCs w:val="13"/>
          <w:color w:val="auto"/>
        </w:rPr>
        <w:t>has served as Vice President, Research and Development and Chief Technology Officer since April 2007. Prior to that position, Mr. Doran served in various</w:t>
      </w:r>
      <w:r>
        <w:rPr>
          <w:rFonts w:ascii="Arial" w:cs="Arial" w:eastAsia="Arial" w:hAnsi="Arial"/>
          <w:sz w:val="13"/>
          <w:szCs w:val="13"/>
          <w:i w:val="1"/>
          <w:iCs w:val="1"/>
          <w:color w:val="auto"/>
        </w:rPr>
        <w:t xml:space="preserve"> </w:t>
      </w:r>
      <w:r>
        <w:rPr>
          <w:rFonts w:ascii="Arial" w:cs="Arial" w:eastAsia="Arial" w:hAnsi="Arial"/>
          <w:sz w:val="13"/>
          <w:szCs w:val="13"/>
          <w:color w:val="auto"/>
        </w:rPr>
        <w:t>positions at Synchronoss, including Chief Architect and Senior Software Engineer since joining Synchronoss in 2002. Before joining Synchronoss, Mr. Doran was a Senior Development Engineer at Agility Communications from 2000 to 2002 and a Member of Technical staff at AT&amp;T/Lucent from 1996 to 2000. Mr. Doran received a degree in Computer and Systems engineering from Rensselaer Polytechnic Institute and a masters degree in Industrial engineering from Purdue University.</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102" w:lineRule="exact"/>
        <w:rPr>
          <w:sz w:val="20"/>
          <w:szCs w:val="20"/>
          <w:color w:val="auto"/>
        </w:rPr>
      </w:pPr>
    </w:p>
    <w:p>
      <w:pPr>
        <w:ind w:left="680" w:firstLine="399"/>
        <w:spacing w:after="0" w:line="291" w:lineRule="auto"/>
        <w:rPr>
          <w:sz w:val="20"/>
          <w:szCs w:val="20"/>
          <w:color w:val="auto"/>
        </w:rPr>
      </w:pPr>
      <w:r>
        <w:rPr>
          <w:rFonts w:ascii="Arial" w:cs="Arial" w:eastAsia="Arial" w:hAnsi="Arial"/>
          <w:sz w:val="12"/>
          <w:szCs w:val="12"/>
          <w:i w:val="1"/>
          <w:iCs w:val="1"/>
          <w:color w:val="auto"/>
        </w:rPr>
        <w:t>The following are certain risk factors that could affect our business, financial results and results of operations. You should carefully consider the following risk factors in connection with evaluating the forward-looking statements contained in this Annual Report on Form 10-K because these factors could cause the actual results and conditions to differ materially from those projected in forward-looking statements. The risks that we have highlighted here are not the only ones that we face. If any of the risks actually occur, our business, financial conditions or results of operations could be negatively affected. In that case, the trading price of our stock could decline, and our stockholders may lose part or all of their investment.</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 and Industry</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have Substantial Customer Concentration, with One Customer Accounting for a Substantial Portion of our 2007 Revenues.</w:t>
      </w:r>
    </w:p>
    <w:p>
      <w:pPr>
        <w:spacing w:after="0" w:line="98"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currently derive a significant portion of our revenues from one customer, AT&amp;T. Our relationship with AT&amp;T dates back to January 2001 when we began providing service to AT&amp;T Wireless, which was subsequently acquired by Cingular Wireless (now known as AT&amp;T Mobility) and is now a division of AT&amp;T Corp. For the year ended December 31, 2007, AT&amp;T accounted for approximately 76% of our revenues, compared to 66% for the fiscal year ended December 31, 2006. Our five largest customers, AT&amp;T, Vonage, Level 3 Communications, Time Warner Cable and Cablevision, accounted for approximately 95% of our revenues for the year ended December 31, 2007, compared to 95% of our revenues for the year ended December 31, 2006.</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Adapt to Rapid Technological Change in the Communications Industry, We Could Lose Customers or Market Share.</w:t>
      </w:r>
    </w:p>
    <w:p>
      <w:pPr>
        <w:spacing w:after="0" w:line="98" w:lineRule="exact"/>
        <w:rPr>
          <w:sz w:val="20"/>
          <w:szCs w:val="20"/>
          <w:color w:val="auto"/>
        </w:rPr>
      </w:pPr>
    </w:p>
    <w:p>
      <w:pPr>
        <w:ind w:left="680" w:right="60" w:firstLine="399"/>
        <w:spacing w:after="0" w:line="291" w:lineRule="auto"/>
        <w:rPr>
          <w:sz w:val="20"/>
          <w:szCs w:val="20"/>
          <w:color w:val="auto"/>
        </w:rPr>
      </w:pPr>
      <w:r>
        <w:rPr>
          <w:rFonts w:ascii="Arial" w:cs="Arial" w:eastAsia="Arial" w:hAnsi="Arial"/>
          <w:sz w:val="12"/>
          <w:szCs w:val="12"/>
          <w:color w:val="auto"/>
        </w:rPr>
        <w:t>Our industry is characterized by rapid technological change and frequent new service offerings. Significant technological changes could make our technology and services obsolete, less marketable or less competitive. We must adapt to our rapidly changing market by continually improving the features, functionality, reliability and responsiveness of our transaction management services, and by developing new features, services and applications to meet changing customer needs. We may not be able to adapt to these challenges or respond successfully or in a cost-effective way. Our failure to do so would adversely affect our ability to compete and retain customers and/or market share.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The Success of Our Business Depends on the Continued Growth of Consumer and Business Transactions Related to Communications Services on the Internet.</w:t>
      </w:r>
    </w:p>
    <w:p>
      <w:pPr>
        <w:spacing w:after="0" w:line="109" w:lineRule="exact"/>
        <w:rPr>
          <w:sz w:val="20"/>
          <w:szCs w:val="20"/>
          <w:color w:val="auto"/>
        </w:rPr>
      </w:pPr>
    </w:p>
    <w:p>
      <w:pPr>
        <w:jc w:val="both"/>
        <w:ind w:left="680" w:right="140" w:firstLine="399"/>
        <w:spacing w:after="0" w:line="299" w:lineRule="auto"/>
        <w:rPr>
          <w:sz w:val="20"/>
          <w:szCs w:val="20"/>
          <w:color w:val="auto"/>
        </w:rPr>
      </w:pPr>
      <w:r>
        <w:rPr>
          <w:rFonts w:ascii="Arial" w:cs="Arial" w:eastAsia="Arial" w:hAnsi="Arial"/>
          <w:sz w:val="12"/>
          <w:szCs w:val="12"/>
          <w:color w:val="auto"/>
        </w:rPr>
        <w:t>The future success of our business depends upon the continued growth of consumer and business transactions on the Internet, including attracting consumers who have historically purchased wireless services and devices through traditional retail stores. Specific factors that could deter consumers from purchasing wireless services and devices on the Internet include concerns about buying wireless devices without face-to-face interaction with sales personnel and the ability to physically handle and examine the devices.</w:t>
      </w:r>
    </w:p>
    <w:p>
      <w:pPr>
        <w:spacing w:after="0" w:line="48" w:lineRule="exact"/>
        <w:rPr>
          <w:sz w:val="20"/>
          <w:szCs w:val="20"/>
          <w:color w:val="auto"/>
        </w:rPr>
      </w:pPr>
    </w:p>
    <w:p>
      <w:pPr>
        <w:ind w:left="680" w:right="40" w:firstLine="399"/>
        <w:spacing w:after="0" w:line="318" w:lineRule="auto"/>
        <w:rPr>
          <w:sz w:val="20"/>
          <w:szCs w:val="20"/>
          <w:color w:val="auto"/>
        </w:rPr>
      </w:pPr>
      <w:r>
        <w:rPr>
          <w:rFonts w:ascii="Arial" w:cs="Arial" w:eastAsia="Arial" w:hAnsi="Arial"/>
          <w:sz w:val="11"/>
          <w:szCs w:val="11"/>
          <w:color w:val="auto"/>
        </w:rPr>
        <w:t>Our business growth would be impeded if the performance or perception of the Internet was harmed by security problems such as “viruses,” “worms” and other malicious programs, reliability issues arising from outages and damage to Internet infrastructure, delays in development or adoption of new standards and protocols to handle increased demands of Internet activity, increased costs, decreased accessibility and quality of service, or increased government regulation and taxation of Internet activity. The Internet has experienced, and is expected to continue to experience, significant user and traffic growth, which has, at times, caused user frustration with slow access and download times. If Internet activity grows faster than Internet infrastructure or if the Internet infrastructure is otherwise unable to support the demands placed on it, or if hosting capacity becomes scarce, our business growth may be adversely affected.</w:t>
      </w:r>
    </w:p>
    <w:p>
      <w:pPr>
        <w:spacing w:after="0" w:line="25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Compromises to Our Privacy Safeguards Could Impact Our Reputation.</w:t>
      </w:r>
    </w:p>
    <w:p>
      <w:pPr>
        <w:spacing w:after="0" w:line="9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Names, addresses, telephone numbers, credit card data and other personal identification information, or PII, is collected, processed and stored in our systems. The steps we have taken to protect PII may not be sufficient to prevent the misappropriation or improper disclosure of such PII. If such misappropriation or disclosure were to occur, our business could be harmed through reputational injury, litigation and possible damages claimed by the affected end customers. Our insurance may not cover potential claims of this type or may not be adequate to cover all costs incurred in defense of potential claims or to indemnify us for all liability that may be imposed. Concerns about the security of online transactions and the privacy of personal information could deter consumers from transacting business with us on the Internet.</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Fraudulent Internet Transactions Could Negatively Impact Our Business.</w:t>
      </w:r>
    </w:p>
    <w:p>
      <w:pPr>
        <w:spacing w:after="0" w:line="98" w:lineRule="exact"/>
        <w:rPr>
          <w:sz w:val="20"/>
          <w:szCs w:val="20"/>
          <w:color w:val="auto"/>
        </w:rPr>
      </w:pPr>
    </w:p>
    <w:p>
      <w:pPr>
        <w:ind w:left="680" w:right="40" w:firstLine="399"/>
        <w:spacing w:after="0" w:line="259" w:lineRule="auto"/>
        <w:rPr>
          <w:sz w:val="20"/>
          <w:szCs w:val="20"/>
          <w:color w:val="auto"/>
        </w:rPr>
      </w:pPr>
      <w:r>
        <w:rPr>
          <w:rFonts w:ascii="Arial" w:cs="Arial" w:eastAsia="Arial" w:hAnsi="Arial"/>
          <w:sz w:val="13"/>
          <w:szCs w:val="13"/>
          <w:color w:val="auto"/>
        </w:rPr>
        <w:t>Our business may be exposed to risks associated with Internet credit card fraud and identity theft that could cause us to incur unexpected expenditures and loss of revenues. Under current credit card practices, a merchant is liable for fraudulent credit card transactions when, as is the case with the transactions we process, that merchant does not obtain a cardholder’s signature. Although our CSP customers currently bear the risk for a fraudulent credit card transaction, in the future we may be forced to share some of that risk and the associated costs with our CSP customers. To the extent that technology upgrades or other expenditures are required to prevent credit card fraud and identity theft, we may be required to bear the costs associated with such expenditures. In addition, to the extent that credit card fraud and/or identity theft cause a decline in business transactions over the Internet generally, both the business of the CSP and our business could be adversely affected.</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the Wireless Services Industry Experiences a Decline in Subscribers, Our Business May Suffer.</w:t>
      </w:r>
    </w:p>
    <w:p>
      <w:pPr>
        <w:spacing w:after="0" w:line="98" w:lineRule="exact"/>
        <w:rPr>
          <w:sz w:val="20"/>
          <w:szCs w:val="20"/>
          <w:color w:val="auto"/>
        </w:rPr>
      </w:pPr>
    </w:p>
    <w:p>
      <w:pPr>
        <w:jc w:val="both"/>
        <w:ind w:left="680" w:right="160" w:firstLine="399"/>
        <w:spacing w:after="0" w:line="266" w:lineRule="auto"/>
        <w:rPr>
          <w:sz w:val="20"/>
          <w:szCs w:val="20"/>
          <w:color w:val="auto"/>
        </w:rPr>
      </w:pPr>
      <w:r>
        <w:rPr>
          <w:rFonts w:ascii="Arial" w:cs="Arial" w:eastAsia="Arial" w:hAnsi="Arial"/>
          <w:sz w:val="13"/>
          <w:szCs w:val="13"/>
          <w:color w:val="auto"/>
        </w:rPr>
        <w:t>The wireless services industry has faced an increasing number of challenges, including a slowdown in new subscriber growth. Revenues from services performed for customers in the wireless services industry accounted for 76% of our revenues in 2007 and 65% in 2006. A continued slowdown in subscriber growth in the wireless services industry could adversely affect our business growth.</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Consolidation in the Communications Industry Can Reduce the Number of Customers and Adversely Affect Our Business.</w:t>
      </w:r>
    </w:p>
    <w:p>
      <w:pPr>
        <w:spacing w:after="0" w:line="98" w:lineRule="exact"/>
        <w:rPr>
          <w:sz w:val="20"/>
          <w:szCs w:val="20"/>
          <w:color w:val="auto"/>
        </w:rPr>
      </w:pPr>
    </w:p>
    <w:p>
      <w:pPr>
        <w:ind w:left="680" w:right="40" w:firstLine="399"/>
        <w:spacing w:after="0" w:line="287" w:lineRule="auto"/>
        <w:rPr>
          <w:sz w:val="20"/>
          <w:szCs w:val="20"/>
          <w:color w:val="auto"/>
        </w:rPr>
      </w:pPr>
      <w:r>
        <w:rPr>
          <w:rFonts w:ascii="Arial" w:cs="Arial" w:eastAsia="Arial" w:hAnsi="Arial"/>
          <w:sz w:val="12"/>
          <w:szCs w:val="12"/>
          <w:color w:val="auto"/>
        </w:rPr>
        <w:t>The communications industry continues to experience consolidation and an increased formation of alliances among communications service providers and between communications service providers and other entities. Should one of our significant customers consolidate or enter into an alliance with an entity and decide to either use a different service provider or to manage its transactions internally, this could have a negative material impact on our business. These consolidations and alliances may cause us to lose customers or require us to reduce prices as a result of enhanced customer leverage, which would have a material adverse effect on our business. We may not be able to offset the effects of any price reductions. We may not be able to expand our customer base to make up any revenue declines if we lose customers or if our transaction volumes decline.</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Compete Successfully With Existing or New Competitors, Our Business Could Be Harmed.</w:t>
      </w:r>
    </w:p>
    <w:p>
      <w:pPr>
        <w:spacing w:after="0" w:line="98"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If we fail to compete successfully with established or new competitors, it could have a material adverse effect on our results of operations and financial condition. The communications industry is highly competitive and fragmented, and we expect competition to increase. We compete with independent providers of information systems and services and with the in-house departments of communications services companies. Rapid technological changes, such as advancements in software integration across multiple and incompatible systems, and economies of scale may make it more economical for CSPs to develop their own in-house processes and systems, which may render some of our products and services less valuable or eventually obsolete. Our competitors include firms that provide comprehensive information systems and managed services solutions, systems integrators, clearinghouses and service bureaus. Many of our competitors have long operating histories, large customer bases, substantial financial, technical, sales, marketing and other resources, and strong name recognition.</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These relationships and alliances may also result in transaction pricing pressure which could result in large reductions in the selling price of our services. Our competitors or our customers’ in-house solutions may also provide services at a lower cost, significantly increasing pricing pressure on us. We may not be able to offset the effects of this potential pricing pressure. Our failure to adapt to changing market conditions and to compete successfully with established or new competitors may have a material adverse effect on our results of operations and financial condition. In particular, a failure to offset competitive pressures brought about by competitors or in-house solutions developed by AT&amp;T could result in a substantial reduction in or the outright termination of our contract with AT&amp;T, which would have a significant negative material impact on our business.</w:t>
      </w:r>
    </w:p>
    <w:p>
      <w:pPr>
        <w:spacing w:after="0" w:line="138" w:lineRule="exact"/>
        <w:rPr>
          <w:sz w:val="20"/>
          <w:szCs w:val="20"/>
          <w:color w:val="auto"/>
        </w:rPr>
      </w:pPr>
    </w:p>
    <w:p>
      <w:pPr>
        <w:ind w:left="880" w:right="80"/>
        <w:spacing w:after="0" w:line="279" w:lineRule="auto"/>
        <w:rPr>
          <w:sz w:val="20"/>
          <w:szCs w:val="20"/>
          <w:color w:val="auto"/>
        </w:rPr>
      </w:pPr>
      <w:r>
        <w:rPr>
          <w:rFonts w:ascii="Arial" w:cs="Arial" w:eastAsia="Arial" w:hAnsi="Arial"/>
          <w:sz w:val="13"/>
          <w:szCs w:val="13"/>
          <w:b w:val="1"/>
          <w:bCs w:val="1"/>
          <w:i w:val="1"/>
          <w:iCs w:val="1"/>
          <w:color w:val="auto"/>
        </w:rPr>
        <w:t>Failures or Interruptions of Our Systems and Services Could Materially Harm Our Revenues, Impair Our Ability to Conduct Our Operations and Damage Relationships with Our Customers.</w:t>
      </w:r>
    </w:p>
    <w:p>
      <w:pPr>
        <w:spacing w:after="0" w:line="58" w:lineRule="exact"/>
        <w:rPr>
          <w:sz w:val="20"/>
          <w:szCs w:val="20"/>
          <w:color w:val="auto"/>
        </w:rPr>
      </w:pPr>
    </w:p>
    <w:p>
      <w:pPr>
        <w:ind w:left="680" w:right="260" w:firstLine="399"/>
        <w:spacing w:after="0" w:line="262" w:lineRule="auto"/>
        <w:rPr>
          <w:sz w:val="20"/>
          <w:szCs w:val="20"/>
          <w:color w:val="auto"/>
        </w:rPr>
      </w:pPr>
      <w:r>
        <w:rPr>
          <w:rFonts w:ascii="Arial" w:cs="Arial" w:eastAsia="Arial" w:hAnsi="Arial"/>
          <w:sz w:val="13"/>
          <w:szCs w:val="13"/>
          <w:color w:val="auto"/>
        </w:rPr>
        <w:t>Our success depends on our ability to provide reliable services to our customers and process a high volume of transactions in a timely and effective manner. Although we have a disaster recovery facility in our Bridgewater, New Jersey corporate headquarters, our network operations are currently located in a single facility in Bethlehem, Pennsylvania that is susceptible to damage or interruption from human error, fire, flood, power loss, telecommunications failure, terrorist attacks and similar events. We could also experience failures or interruptions of our systems and services, or other problems in connection with our operations, as a result of:</w:t>
      </w:r>
    </w:p>
    <w:p>
      <w:pPr>
        <w:spacing w:after="0" w:line="69" w:lineRule="exact"/>
        <w:rPr>
          <w:sz w:val="20"/>
          <w:szCs w:val="20"/>
          <w:color w:val="auto"/>
        </w:rPr>
      </w:pPr>
    </w:p>
    <w:p>
      <w:pPr>
        <w:ind w:left="1300" w:hanging="207"/>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damage to or failure of our computer software or hardware or our connections and outsourced service arrangements with third parties;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errors in the processing of data by our system;</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computer viruses or software defects;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physical or electronic break-ins, sabotage, intentional acts of vandalism and similar events;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fire, cyberattack, terrorist attack or other catastrophic event;</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increased capacity demands or changes in systems requirements of our customers; or</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errors by our employees or third-party service providers.</w:t>
      </w:r>
    </w:p>
    <w:p>
      <w:pPr>
        <w:spacing w:after="0" w:line="98" w:lineRule="exact"/>
        <w:rPr>
          <w:sz w:val="20"/>
          <w:szCs w:val="20"/>
          <w:color w:val="auto"/>
        </w:rPr>
      </w:pPr>
    </w:p>
    <w:p>
      <w:pPr>
        <w:ind w:left="680" w:right="380" w:firstLine="399"/>
        <w:spacing w:after="0" w:line="279" w:lineRule="auto"/>
        <w:rPr>
          <w:sz w:val="20"/>
          <w:szCs w:val="20"/>
          <w:color w:val="auto"/>
        </w:rPr>
      </w:pPr>
      <w:r>
        <w:rPr>
          <w:rFonts w:ascii="Arial" w:cs="Arial" w:eastAsia="Arial" w:hAnsi="Arial"/>
          <w:sz w:val="13"/>
          <w:szCs w:val="13"/>
          <w:color w:val="auto"/>
        </w:rPr>
        <w:t>In addition, our business interruption insurance may be insufficient to compensate us for losses that may occur. Any interruptions in our systems or services could damage our reputation and substantially harm our business and results of operations.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Meet Our Service Level Obligations Under Our Service Level Agreements, We Would Be Subject to Penalties and Could Lose Customers.</w:t>
      </w:r>
    </w:p>
    <w:p>
      <w:pPr>
        <w:spacing w:after="0" w:line="98"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We have service level agreements with many of our customers under which we guarantee specified levels of service availability. These arrangements involve the risk that we may not have adequately estimated the level of service we will in fact be able to provide. If we fail to meet our service level obligations under these agreements, we would be subject to penalties, which could result in higher than expected costs, decreased revenues and decreased operating margins. We could also lose customers.</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Financial and Operating Difficulties in the Telecommunications Sector May Negatively Affect Our Customers and Our Company.</w:t>
      </w:r>
    </w:p>
    <w:p>
      <w:pPr>
        <w:spacing w:after="0" w:line="9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Recently, the telecommunications sector has been facing significant challenges resulting from excess capacity, poor operating results and financing difficulties. The sector’s financial status has at times been uncertain and access to debt and equity capital has been seriously limited. The impact of these events on us could include slower collection on accounts receivable, higher bad debt expense, uncertainties due to possible customer bankruptcies, lower pricing on new customer contracts, lower revenues due to lower usage by the end customer and possible consolidation among our customers, which will put our customers and operating performance at risk. In addition, because we operate in the communications sector, we may also be negatively impacted by limited access to debt and equity capital.</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i w:val="1"/>
          <w:iCs w:val="1"/>
          <w:color w:val="auto"/>
        </w:rPr>
        <w:t>Our Reliance on Third-Party Providers for Communications Software, Services, Hardware and Infrastructure Exposes Us to a Variety of Risks We Cannot Control.</w:t>
      </w:r>
    </w:p>
    <w:p>
      <w:pPr>
        <w:spacing w:after="0" w:line="98" w:lineRule="exact"/>
        <w:rPr>
          <w:sz w:val="20"/>
          <w:szCs w:val="20"/>
          <w:color w:val="auto"/>
        </w:rPr>
      </w:pPr>
    </w:p>
    <w:p>
      <w:pPr>
        <w:ind w:left="680" w:right="120" w:firstLine="399"/>
        <w:spacing w:after="0" w:line="262" w:lineRule="auto"/>
        <w:rPr>
          <w:sz w:val="20"/>
          <w:szCs w:val="20"/>
          <w:color w:val="auto"/>
        </w:rPr>
      </w:pPr>
      <w:r>
        <w:rPr>
          <w:rFonts w:ascii="Arial" w:cs="Arial" w:eastAsia="Arial" w:hAnsi="Arial"/>
          <w:sz w:val="13"/>
          <w:szCs w:val="13"/>
          <w:color w:val="auto"/>
        </w:rPr>
        <w:t>Our success depends on software, equipment, network connectivity and infrastructure hosting services supplied by our vendors and customers. In addition, we rely on third-party vendors to perform a substantial portion of our exception handling services. We may not be able to continue to purchase the necessary software, equipment and services from vendors on acceptable terms or at all. If we are unable to maintain current purchasing terms or ensure service availability with these vendors and customers, we may lose customers and experience an increase in costs in seeking alternative supplier services.</w:t>
      </w:r>
    </w:p>
    <w:p>
      <w:pPr>
        <w:spacing w:after="0" w:line="69" w:lineRule="exact"/>
        <w:rPr>
          <w:sz w:val="20"/>
          <w:szCs w:val="20"/>
          <w:color w:val="auto"/>
        </w:rPr>
      </w:pPr>
    </w:p>
    <w:p>
      <w:pPr>
        <w:ind w:left="680" w:right="60" w:firstLine="399"/>
        <w:spacing w:after="0" w:line="284" w:lineRule="auto"/>
        <w:rPr>
          <w:sz w:val="20"/>
          <w:szCs w:val="20"/>
          <w:color w:val="auto"/>
        </w:rPr>
      </w:pPr>
      <w:r>
        <w:rPr>
          <w:rFonts w:ascii="Arial" w:cs="Arial" w:eastAsia="Arial" w:hAnsi="Arial"/>
          <w:sz w:val="12"/>
          <w:szCs w:val="12"/>
          <w:color w:val="auto"/>
        </w:rPr>
        <w:t>Our business also depends upon the capacity, reliability and security of the infrastructure owned and managed by third parties, including our vendors and customers, that is used by our technology interoperability services, network services, number portability services, call processed services and enterprise solutions. We have no control over the operation, quality or maintenance of a significant portion of that infrastructure and whether those third parties will upgrade or improve their software, equipment and services to meet our and our customers’ evolving requirements. We depend on these companies to maintain the operational integrity of our services. If one or more of these companies is unable or unwilling to supply or expand its levels of services to us in the future, our operations could be severely interrupted. In addition, rapid changes in the communications industry have led to industry consolidation. This consolidation may cause the availability, pricing and quality of the services we use to vary and could lengthen the amount of time it takes to deliver the services that we use.</w:t>
      </w:r>
    </w:p>
    <w:p>
      <w:pPr>
        <w:spacing w:after="0" w:line="138" w:lineRule="exact"/>
        <w:rPr>
          <w:sz w:val="20"/>
          <w:szCs w:val="20"/>
          <w:color w:val="auto"/>
        </w:rPr>
      </w:pPr>
    </w:p>
    <w:p>
      <w:pPr>
        <w:ind w:left="880" w:right="40"/>
        <w:spacing w:after="0" w:line="279" w:lineRule="auto"/>
        <w:rPr>
          <w:sz w:val="20"/>
          <w:szCs w:val="20"/>
          <w:color w:val="auto"/>
        </w:rPr>
      </w:pPr>
      <w:r>
        <w:rPr>
          <w:rFonts w:ascii="Arial" w:cs="Arial" w:eastAsia="Arial" w:hAnsi="Arial"/>
          <w:sz w:val="13"/>
          <w:szCs w:val="13"/>
          <w:b w:val="1"/>
          <w:bCs w:val="1"/>
          <w:i w:val="1"/>
          <w:iCs w:val="1"/>
          <w:color w:val="auto"/>
        </w:rPr>
        <w:t>Our Failure to Protect Confidential Information and Our Network Against Security Breaches Could Damage Our Reputation and Substantially Harm Our Business and Results of Operations.</w:t>
      </w:r>
    </w:p>
    <w:p>
      <w:pPr>
        <w:spacing w:after="0" w:line="58" w:lineRule="exact"/>
        <w:rPr>
          <w:sz w:val="20"/>
          <w:szCs w:val="20"/>
          <w:color w:val="auto"/>
        </w:rPr>
      </w:pPr>
    </w:p>
    <w:p>
      <w:pPr>
        <w:ind w:left="680" w:firstLine="399"/>
        <w:spacing w:after="0" w:line="284" w:lineRule="auto"/>
        <w:rPr>
          <w:sz w:val="20"/>
          <w:szCs w:val="20"/>
          <w:color w:val="auto"/>
        </w:rPr>
      </w:pPr>
      <w:r>
        <w:rPr>
          <w:rFonts w:ascii="Arial" w:cs="Arial" w:eastAsia="Arial" w:hAnsi="Arial"/>
          <w:sz w:val="12"/>
          <w:szCs w:val="12"/>
          <w:color w:val="auto"/>
        </w:rPr>
        <w:t>A significant barrier to online commerce is concern about the secure transmission of confidential information over public networks. The encryption and authentication technology licensed from third parties on which we rely to securely transmit confidential information, including credit card numbers, may not adequately protect customer transaction data. Any compromise of our security could damage our reputation and expose us to risk of loss or litigation and possible liability which could substantially harm our business and results of operation. Although we carry general liability insurance, our insurance may not cover potential claims of this type or may not be adequate to cover all costs incurred in defense of potential claims or to indemnify us for all liability that may be imposed. In addition, anyone who is able to circumvent our security measures could misappropriate proprietary information or cause interruptions in our operations. We may need to expend significant resources to protect against security breaches or to address problems caused by breaches.</w:t>
      </w:r>
    </w:p>
    <w:p>
      <w:pPr>
        <w:spacing w:after="0" w:line="138" w:lineRule="exact"/>
        <w:rPr>
          <w:sz w:val="20"/>
          <w:szCs w:val="20"/>
          <w:color w:val="auto"/>
        </w:rPr>
      </w:pPr>
    </w:p>
    <w:p>
      <w:pPr>
        <w:ind w:left="880" w:right="60"/>
        <w:spacing w:after="0" w:line="279" w:lineRule="auto"/>
        <w:rPr>
          <w:sz w:val="20"/>
          <w:szCs w:val="20"/>
          <w:color w:val="auto"/>
        </w:rPr>
      </w:pPr>
      <w:r>
        <w:rPr>
          <w:rFonts w:ascii="Arial" w:cs="Arial" w:eastAsia="Arial" w:hAnsi="Arial"/>
          <w:sz w:val="13"/>
          <w:szCs w:val="13"/>
          <w:b w:val="1"/>
          <w:bCs w:val="1"/>
          <w:i w:val="1"/>
          <w:iCs w:val="1"/>
          <w:color w:val="auto"/>
        </w:rPr>
        <w:t>If We Are Unable to Protect Our Intellectual Property Rights, Our Competitive Position Could Be Harmed or We Could Be Required to Incur Significant Expenses to Enforce Our Rights.</w:t>
      </w:r>
    </w:p>
    <w:p>
      <w:pPr>
        <w:spacing w:after="0" w:line="56" w:lineRule="exact"/>
        <w:rPr>
          <w:sz w:val="20"/>
          <w:szCs w:val="20"/>
          <w:color w:val="auto"/>
        </w:rPr>
      </w:pPr>
    </w:p>
    <w:p>
      <w:pPr>
        <w:ind w:left="680" w:right="60" w:firstLine="399"/>
        <w:spacing w:after="0" w:line="300" w:lineRule="auto"/>
        <w:rPr>
          <w:sz w:val="20"/>
          <w:szCs w:val="20"/>
          <w:color w:val="auto"/>
        </w:rPr>
      </w:pPr>
      <w:r>
        <w:rPr>
          <w:rFonts w:ascii="Arial" w:cs="Arial" w:eastAsia="Arial" w:hAnsi="Arial"/>
          <w:sz w:val="12"/>
          <w:szCs w:val="12"/>
          <w:color w:val="auto"/>
        </w:rPr>
        <w:t>Our success depends to a significant degree upon the protection of our software and other proprietary technology rights, particularly our ActivationNow</w:t>
      </w:r>
      <w:r>
        <w:rPr>
          <w:rFonts w:ascii="Arial" w:cs="Arial" w:eastAsia="Arial" w:hAnsi="Arial"/>
          <w:sz w:val="10"/>
          <w:szCs w:val="10"/>
          <w:color w:val="auto"/>
        </w:rPr>
        <w:t>®</w:t>
      </w:r>
      <w:r>
        <w:rPr>
          <w:rFonts w:ascii="Arial" w:cs="Arial" w:eastAsia="Arial" w:hAnsi="Arial"/>
          <w:sz w:val="12"/>
          <w:szCs w:val="12"/>
          <w:color w:val="auto"/>
        </w:rPr>
        <w:t xml:space="preserve"> and ConvergenceNow</w:t>
      </w:r>
      <w:r>
        <w:rPr>
          <w:rFonts w:ascii="Arial" w:cs="Arial" w:eastAsia="Arial" w:hAnsi="Arial"/>
          <w:sz w:val="10"/>
          <w:szCs w:val="10"/>
          <w:color w:val="auto"/>
        </w:rPr>
        <w:t>®</w:t>
      </w:r>
      <w:r>
        <w:rPr>
          <w:rFonts w:ascii="Arial" w:cs="Arial" w:eastAsia="Arial" w:hAnsi="Arial"/>
          <w:sz w:val="12"/>
          <w:szCs w:val="12"/>
          <w:color w:val="auto"/>
        </w:rPr>
        <w:t xml:space="preserve"> platforms. We rely on trade secret, copyright and trademark laws and confidentiality agreements with employees and third parties, all of which offer only limited protection. The steps we have taken to protect our intellectual property may not prevent misappropriation of our proprietary rights or the reverse engineering of our solutions. Legal standards relating to the validity,</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line="259" w:lineRule="auto"/>
        <w:rPr>
          <w:sz w:val="20"/>
          <w:szCs w:val="20"/>
          <w:color w:val="auto"/>
        </w:rPr>
      </w:pPr>
      <w:r>
        <w:rPr>
          <w:rFonts w:ascii="Arial" w:cs="Arial" w:eastAsia="Arial" w:hAnsi="Arial"/>
          <w:sz w:val="13"/>
          <w:szCs w:val="13"/>
          <w:color w:val="auto"/>
        </w:rPr>
        <w:t>enforceability and scope of protection of intellectual property rights in other countries are uncertain and may afford little or no effective protection of our proprietary technology. Consequently, we may be unable to prevent our proprietary technology from being exploited abroad, which could require costly efforts to protect our technology. Policing the unauthorized use of our products, trademarks and other proprietary rights is expensive, difficult and, in some cases, impossible. Litigation may be necessary in the future to enforce or defend our intellectual property rights, to protect our trade secrets or to determine the validity and scope of the proprietary rights of others. Such litigation could result in substantial costs and diversion of management resources, either of which could materially harm our business. Accordingly, despite our efforts, we may not be able to prevent third parties from infringing upon or misappropriating our intellectual property.</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Claims By Others That We Infringe Their Proprietary Technology Could Harm Our Business.</w:t>
      </w:r>
    </w:p>
    <w:p>
      <w:pPr>
        <w:spacing w:after="0" w:line="98"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even those without merit,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offering our services. Any of these events could seriously harm our business. Third parties may also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We also generally indemnify our customers if our services infringe the proprietary rights of third parties.</w:t>
      </w:r>
    </w:p>
    <w:p>
      <w:pPr>
        <w:spacing w:after="0" w:line="57"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offering our services and could therefore seriously harm our business.</w:t>
      </w:r>
    </w:p>
    <w:p>
      <w:pPr>
        <w:spacing w:after="0" w:line="127" w:lineRule="exact"/>
        <w:rPr>
          <w:sz w:val="20"/>
          <w:szCs w:val="20"/>
          <w:color w:val="auto"/>
        </w:rPr>
      </w:pPr>
    </w:p>
    <w:p>
      <w:pPr>
        <w:ind w:left="880" w:right="40"/>
        <w:spacing w:after="0" w:line="279" w:lineRule="auto"/>
        <w:rPr>
          <w:sz w:val="20"/>
          <w:szCs w:val="20"/>
          <w:color w:val="auto"/>
        </w:rPr>
      </w:pPr>
      <w:r>
        <w:rPr>
          <w:rFonts w:ascii="Arial" w:cs="Arial" w:eastAsia="Arial" w:hAnsi="Arial"/>
          <w:sz w:val="13"/>
          <w:szCs w:val="13"/>
          <w:b w:val="1"/>
          <w:bCs w:val="1"/>
          <w:i w:val="1"/>
          <w:iCs w:val="1"/>
          <w:color w:val="auto"/>
        </w:rPr>
        <w:t>We May Seek to Acquire Companies or Technologies, Which Could Disrupt Our Ongoing Business, Disrupt Our Management and Employees and Adversely Affect Our Results of Operations.</w:t>
      </w:r>
    </w:p>
    <w:p>
      <w:pPr>
        <w:spacing w:after="0" w:line="5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may acquire companies where we believe we can acquire new products or services or otherwise enhance our market position or strategic strengths. We have not made any acquisitions to date, and therefore our ability as an organization to make acquisitions is unproven. We may not be able to find suitable acquisition candidates and we may not be able to complete acquisitions on favorable terms, if at all. If we do complete acquisitions, we cannot be sure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 Future acquisitions could result in potentially dilutive issuances of equity securities, the incurrence of debt, which may reduce our cash available for operations and other uses, an increase in contingent liabilities or an increase in amortization expense related to identifiable assets acquired, each of which could materially harm our business, financial condition and results of operations.</w:t>
      </w:r>
    </w:p>
    <w:p>
      <w:pPr>
        <w:spacing w:after="0" w:line="153" w:lineRule="exact"/>
        <w:rPr>
          <w:sz w:val="20"/>
          <w:szCs w:val="20"/>
          <w:color w:val="auto"/>
        </w:rPr>
      </w:pPr>
    </w:p>
    <w:p>
      <w:pPr>
        <w:ind w:left="880" w:right="240"/>
        <w:spacing w:after="0" w:line="279" w:lineRule="auto"/>
        <w:rPr>
          <w:sz w:val="20"/>
          <w:szCs w:val="20"/>
          <w:color w:val="auto"/>
        </w:rPr>
      </w:pPr>
      <w:r>
        <w:rPr>
          <w:rFonts w:ascii="Arial" w:cs="Arial" w:eastAsia="Arial" w:hAnsi="Arial"/>
          <w:sz w:val="13"/>
          <w:szCs w:val="13"/>
          <w:b w:val="1"/>
          <w:bCs w:val="1"/>
          <w:i w:val="1"/>
          <w:iCs w:val="1"/>
          <w:color w:val="auto"/>
        </w:rPr>
        <w:t>Our Expansion into International Markets May Be Subject to Uncertainties That Could Increase Our Costs to Comply with Regulatory Requirements in Foreign Jurisdictions, Disrupt Our Operations and Require Increased Focus from Our Management.</w:t>
      </w:r>
    </w:p>
    <w:p>
      <w:pPr>
        <w:spacing w:after="0" w:line="58"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color w:val="auto"/>
        </w:rPr>
        <w:t>Our growth strategy includes the growth of our operations in foreign jurisdictions. International operations and business expansion plans are subject to numerous additional risks, including economic and political risks in foreign jurisdictions in which we operate or seek to operate, the difficulty of enforcing contracts and collecting receivables through some foreign legal systems, unexpected changes in regulatory requirements, fluctuations in currency exchange rates, potential difficulties in enforcing intellectual property rights in foreign countries and the difficulties</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100"/>
        <w:spacing w:after="0" w:line="266" w:lineRule="auto"/>
        <w:rPr>
          <w:sz w:val="20"/>
          <w:szCs w:val="20"/>
          <w:color w:val="auto"/>
        </w:rPr>
      </w:pPr>
      <w:r>
        <w:rPr>
          <w:rFonts w:ascii="Arial" w:cs="Arial" w:eastAsia="Arial" w:hAnsi="Arial"/>
          <w:sz w:val="13"/>
          <w:szCs w:val="13"/>
          <w:color w:val="auto"/>
        </w:rPr>
        <w:t>associated with managing a large organization spread throughout various countries. As we continue to expand our business globally, our success will depend, in large part, on our ability to anticipate and effectively manage these and other risks associated with our international operations. However, any of these factors could adversely affect our international operations and, consequently, our operating results.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Our Senior Management is Important to Our Customer Relationships, and the Loss of One or More of Our Senior Managers Could Have a Negative Impact on Our Business.</w:t>
      </w:r>
    </w:p>
    <w:p>
      <w:pPr>
        <w:spacing w:after="0" w:line="109"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We believe that our success depends in part on the continued contributions of our senior management. We rely on our executive officers and senior management to generate business and execute programs successfully. In addition, the relationships and reputation that members of our management team have established and maintain with our customers and our regulators contribute to our ability to maintain good customer relations. The loss of any members of our senior management could materially impair our ability to identify and secure new contracts and otherwise manage our business.</w:t>
      </w:r>
    </w:p>
    <w:p>
      <w:pPr>
        <w:spacing w:after="0" w:line="148" w:lineRule="exact"/>
        <w:rPr>
          <w:sz w:val="20"/>
          <w:szCs w:val="20"/>
          <w:color w:val="auto"/>
        </w:rPr>
      </w:pPr>
    </w:p>
    <w:p>
      <w:pPr>
        <w:ind w:left="880" w:right="580"/>
        <w:spacing w:after="0" w:line="279" w:lineRule="auto"/>
        <w:rPr>
          <w:sz w:val="20"/>
          <w:szCs w:val="20"/>
          <w:color w:val="auto"/>
        </w:rPr>
      </w:pPr>
      <w:r>
        <w:rPr>
          <w:rFonts w:ascii="Arial" w:cs="Arial" w:eastAsia="Arial" w:hAnsi="Arial"/>
          <w:sz w:val="13"/>
          <w:szCs w:val="13"/>
          <w:b w:val="1"/>
          <w:bCs w:val="1"/>
          <w:i w:val="1"/>
          <w:iCs w:val="1"/>
          <w:color w:val="auto"/>
        </w:rPr>
        <w:t>We Continue to Incur Significant Costs as a Result of Operating as a Public Company, and Our Management Is Required to Devote Substantial Time to New Compliance Initiatives.</w:t>
      </w:r>
    </w:p>
    <w:p>
      <w:pPr>
        <w:spacing w:after="0" w:line="58"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We have only operated as a public company since June 2006 and we will continue to incur significant legal, accounting and other expenses as we comply with the Sarbanes-Oxley Act of 2002, as well as new rules subsequently implemented by the Securities and Exchange Commission and the Nasdaq Stock Market’s National Market. These rules impose various new requirements on public companies, including requiring changes in corporate governance practices. Our management and other personnel will continue to devote a substantial amount of time to these new compliance initiatives. Moreover, these rules and regulations will increase our legal and financial compliance costs and will make some activities more time-consuming and costly. For example, we expect these new rules and regulations to make it more difficult and more expensive for us to obtain director and officer liability insurance, and we may be required to accept reduced policy limits and coverage or incur substantial costs to maintain the same or similar coverage. These rules and regulations could also make it more difficult for us to attract and retain qualified persons to serve on our board of directors, our board committees or as executive officers.</w:t>
      </w:r>
    </w:p>
    <w:p>
      <w:pPr>
        <w:spacing w:after="0" w:line="57"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Section 404 of the Sarbanes-Oxley Act of 2002 requires that we include in our annual report our assessment of the effectiveness of our internal control over financial reporting and our audited financial statements as of the end of each fiscal year. Furthermore, our independent registered public accounting firm, Ernst &amp; Young LLP, (“E&amp;Y”), is required to report on whether it believes we maintained, in all material respects, effective internal control over financial reporting as of the end of the year. We successfully completed our assessment and obtained E&amp;Y’s attestation as to the effectiveness of our internal control over financial reporting as of December 31, 2007. Our continued compliance with Section 404 will require that we incur substantial expense and expend significant management time on compliance related issues. We currently do not have an internal audit group and we will evaluate the need to hire additional accounting and financial staff with appropriate public company experience and technical accounting knowledge. In future years, if we fail to timely complete this assessment, or if E&amp;Y cannot timely attest, there may be a loss of public confidence in our internal control, the market price of our stock could decline and we could be subject to regulatory sanctions or investigations by the Nasdaq Stock Market’s National Market, the Securities and Exchange Commission or other regulatory authorities, which would require additional financial and management resources. In addition, any failure to implement required new or improved controls, or difficulties encountered in their implementation, could harm our operating results or cause us to fail to timely meet our regulatory reporting obligations.</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or Interpretations of, Accounting Principles Could Result in Unfavorable Accounting Charges.</w:t>
      </w:r>
    </w:p>
    <w:p>
      <w:pPr>
        <w:spacing w:after="0" w:line="98" w:lineRule="exact"/>
        <w:rPr>
          <w:sz w:val="20"/>
          <w:szCs w:val="20"/>
          <w:color w:val="auto"/>
        </w:rPr>
      </w:pPr>
    </w:p>
    <w:p>
      <w:pPr>
        <w:ind w:left="680" w:right="140" w:firstLine="399"/>
        <w:spacing w:after="0" w:line="266" w:lineRule="auto"/>
        <w:rPr>
          <w:sz w:val="20"/>
          <w:szCs w:val="20"/>
          <w:color w:val="auto"/>
        </w:rPr>
      </w:pPr>
      <w:r>
        <w:rPr>
          <w:rFonts w:ascii="Arial" w:cs="Arial" w:eastAsia="Arial" w:hAnsi="Arial"/>
          <w:sz w:val="13"/>
          <w:szCs w:val="13"/>
          <w:color w:val="auto"/>
        </w:rPr>
        <w:t>We prepare our financial statements in conformity with U.S. generally accepted accounting principles. These principles are subject to interpretation by the SEC and various bodies formed to interpret and create appropriate accounting principles. A change in these principles could have a significant effect on our reported results and may even retroactively affect previously reported transactions. Our accounting principles that recently have been or may</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60"/>
        <w:spacing w:after="0" w:line="279" w:lineRule="auto"/>
        <w:rPr>
          <w:sz w:val="20"/>
          <w:szCs w:val="20"/>
          <w:color w:val="auto"/>
        </w:rPr>
      </w:pPr>
      <w:r>
        <w:rPr>
          <w:rFonts w:ascii="Arial" w:cs="Arial" w:eastAsia="Arial" w:hAnsi="Arial"/>
          <w:sz w:val="13"/>
          <w:szCs w:val="13"/>
          <w:color w:val="auto"/>
        </w:rPr>
        <w:t>be affected by changes in accounting principles are: (i) accounting for stock-based compensation; (ii) accounting for income taxes; (iii) accounting for business combinations and goodwill; and (iv) accounting for foreign currency translation.</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or Interpretations of, Tax Rules and Regulations, Could Adversely Affect our Effective Tax Rates.</w:t>
      </w:r>
    </w:p>
    <w:p>
      <w:pPr>
        <w:spacing w:after="0" w:line="98"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Unanticipated changes in our tax rates could affect our future results of operations. Our future effective tax rates could be unfavorably affected by changes in tax laws or the interpretation of tax laws or by changes in the valuation of our deferred tax assets and liabilities. In addition, we are subject to the continued examination of our income tax returns by the IRS and other domestic tax authorities. We regularly assess the likelihood of outcomes resulting from these examinations, if any, to determine the adequacy of our provision for income taxes. We believe such estimates to be reasonable, but there can be no assurance that the final determination of any of these examinations will not have an adverse effect on our operating results and financial position.</w:t>
      </w:r>
    </w:p>
    <w:p>
      <w:pPr>
        <w:spacing w:after="0" w:line="149" w:lineRule="exact"/>
        <w:rPr>
          <w:sz w:val="20"/>
          <w:szCs w:val="20"/>
          <w:color w:val="auto"/>
        </w:rPr>
      </w:pPr>
    </w:p>
    <w:p>
      <w:pPr>
        <w:ind w:left="880" w:right="300"/>
        <w:spacing w:after="0" w:line="279" w:lineRule="auto"/>
        <w:rPr>
          <w:sz w:val="20"/>
          <w:szCs w:val="20"/>
          <w:color w:val="auto"/>
        </w:rPr>
      </w:pPr>
      <w:r>
        <w:rPr>
          <w:rFonts w:ascii="Arial" w:cs="Arial" w:eastAsia="Arial" w:hAnsi="Arial"/>
          <w:sz w:val="13"/>
          <w:szCs w:val="13"/>
          <w:b w:val="1"/>
          <w:bCs w:val="1"/>
          <w:i w:val="1"/>
          <w:iCs w:val="1"/>
          <w:color w:val="auto"/>
        </w:rPr>
        <w:t>If Securities or Industry Analysts Do Not Publish Research or Publish Inaccurate or Unfavorable Research About Our Business, Our Stock Price and Trading Volumes Could Decline.</w:t>
      </w:r>
    </w:p>
    <w:p>
      <w:pPr>
        <w:spacing w:after="0" w:line="58"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The trading market for our common stock will continue to depend in part on the research and reports that securities or industry analysts publish about us or our business. If we do not continue to maintain adequate research coverage or if one of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could cause our stock price and trading volumes to decline.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Stock Price May Continue to Experience Significant Fluctuations.</w:t>
      </w:r>
    </w:p>
    <w:p>
      <w:pPr>
        <w:spacing w:after="0" w:line="98" w:lineRule="exact"/>
        <w:rPr>
          <w:sz w:val="20"/>
          <w:szCs w:val="20"/>
          <w:color w:val="auto"/>
        </w:rPr>
      </w:pPr>
    </w:p>
    <w:p>
      <w:pPr>
        <w:ind w:left="680" w:right="40" w:firstLine="399"/>
        <w:spacing w:after="0" w:line="287" w:lineRule="auto"/>
        <w:rPr>
          <w:sz w:val="20"/>
          <w:szCs w:val="20"/>
          <w:color w:val="auto"/>
        </w:rPr>
      </w:pPr>
      <w:r>
        <w:rPr>
          <w:rFonts w:ascii="Arial" w:cs="Arial" w:eastAsia="Arial" w:hAnsi="Arial"/>
          <w:sz w:val="12"/>
          <w:szCs w:val="12"/>
          <w:color w:val="auto"/>
        </w:rPr>
        <w:t>Our stock price, like that of other technology companies, continues to fluctuate greatly. Our stock price can be affected by many factors such as quarterly increases or decreases in our earnings, speculation in the investment community about our financial condition or results of operations and changes in revenue or earnings estimates, announcement of new services, technological developments, alliances, or acquisitions by us. Additionally, the price of our common stock may continue to fluctuate greatly in the future due to factors that are non-company specific, such as the decline in the United States and/or international economies, acts of terror against the United States, war or due to a variety of company specific factors, including quarter to quarter variations in our operating results, shortfalls in revenue, gross margin or earnings from levels by securities analysts and the other factors discussed in these risk factors.</w:t>
      </w:r>
    </w:p>
    <w:p>
      <w:pPr>
        <w:spacing w:after="0" w:line="134" w:lineRule="exact"/>
        <w:rPr>
          <w:sz w:val="20"/>
          <w:szCs w:val="20"/>
          <w:color w:val="auto"/>
        </w:rPr>
      </w:pPr>
    </w:p>
    <w:p>
      <w:pPr>
        <w:ind w:left="880" w:right="220"/>
        <w:spacing w:after="0" w:line="279" w:lineRule="auto"/>
        <w:rPr>
          <w:sz w:val="20"/>
          <w:szCs w:val="20"/>
          <w:color w:val="auto"/>
        </w:rPr>
      </w:pPr>
      <w:r>
        <w:rPr>
          <w:rFonts w:ascii="Arial" w:cs="Arial" w:eastAsia="Arial" w:hAnsi="Arial"/>
          <w:sz w:val="13"/>
          <w:szCs w:val="13"/>
          <w:b w:val="1"/>
          <w:bCs w:val="1"/>
          <w:i w:val="1"/>
          <w:iCs w:val="1"/>
          <w:color w:val="auto"/>
        </w:rPr>
        <w:t>Delaware Law and Provisions in Our Amended and Restated Certificate of Incorporation and Bylaws Could Make a Merger, Tender Offer or Proxy Contest Difficult, Therefore Depressing the Trading Price of Our Common Stock.</w:t>
      </w:r>
    </w:p>
    <w:p>
      <w:pPr>
        <w:spacing w:after="0" w:line="58" w:lineRule="exact"/>
        <w:rPr>
          <w:sz w:val="20"/>
          <w:szCs w:val="20"/>
          <w:color w:val="auto"/>
        </w:rPr>
      </w:pPr>
    </w:p>
    <w:p>
      <w:pPr>
        <w:ind w:left="680" w:right="100" w:firstLine="399"/>
        <w:spacing w:after="0" w:line="262" w:lineRule="auto"/>
        <w:rPr>
          <w:sz w:val="20"/>
          <w:szCs w:val="20"/>
          <w:color w:val="auto"/>
        </w:rPr>
      </w:pPr>
      <w:r>
        <w:rPr>
          <w:rFonts w:ascii="Arial" w:cs="Arial" w:eastAsia="Arial" w:hAnsi="Arial"/>
          <w:sz w:val="13"/>
          <w:szCs w:val="13"/>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bylaws may discourage, delay or prevent a change in our management or control over us that stockholders may consider favorable. Our amended and restated certificate of incorporation and bylaws:</w:t>
      </w:r>
    </w:p>
    <w:p>
      <w:pPr>
        <w:spacing w:after="0" w:line="69" w:lineRule="exact"/>
        <w:rPr>
          <w:sz w:val="20"/>
          <w:szCs w:val="20"/>
          <w:color w:val="auto"/>
        </w:rPr>
      </w:pPr>
    </w:p>
    <w:p>
      <w:pPr>
        <w:ind w:left="1300" w:hanging="207"/>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authorize the issuance of “blank check” preferred stock that could be issued by our board of directors to thwart a takeover attempt;</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prohibit cumulative voting in the election of directors, which would otherwise allow holders of less than a majority of the stock to elect some directors;</w:t>
      </w: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0" w:lineRule="exact"/>
        <w:rPr>
          <w:sz w:val="20"/>
          <w:szCs w:val="20"/>
          <w:color w:val="auto"/>
        </w:rPr>
      </w:pPr>
    </w:p>
    <w:p>
      <w:pPr>
        <w:ind w:left="1300" w:right="380" w:hanging="207"/>
        <w:spacing w:after="0" w:line="279" w:lineRule="auto"/>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establish a classified board of directors, as a result of which the successors to the directors whose terms have expired will be elected to serve from the time of election and qualification until the third annual meeting following election;</w:t>
      </w:r>
    </w:p>
    <w:p>
      <w:pPr>
        <w:spacing w:after="0" w:line="47" w:lineRule="exact"/>
        <w:rPr>
          <w:rFonts w:ascii="Arial" w:cs="Arial" w:eastAsia="Arial" w:hAnsi="Arial"/>
          <w:sz w:val="13"/>
          <w:szCs w:val="13"/>
          <w:color w:val="auto"/>
        </w:rPr>
      </w:pPr>
    </w:p>
    <w:p>
      <w:pPr>
        <w:ind w:left="1300" w:hanging="207"/>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require that directors only be removed from office for cause;</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provide that vacancies on the board of directors, including newly-created directorships, may be filled only by a majority vote of directors then in office;</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limit who may call special meetings of stockholders;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prohibit stockholder action by written consent, requiring all actions to be taken at a meeting of the stockholders; and</w:t>
      </w:r>
    </w:p>
    <w:p>
      <w:pPr>
        <w:spacing w:after="0" w:line="87" w:lineRule="exact"/>
        <w:rPr>
          <w:rFonts w:ascii="Arial" w:cs="Arial" w:eastAsia="Arial" w:hAnsi="Arial"/>
          <w:sz w:val="13"/>
          <w:szCs w:val="13"/>
          <w:color w:val="auto"/>
        </w:rPr>
      </w:pPr>
    </w:p>
    <w:p>
      <w:pPr>
        <w:ind w:left="1300" w:right="500" w:hanging="207"/>
        <w:spacing w:after="0" w:line="279" w:lineRule="auto"/>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establish advance notice requirements for nominating candidates for election to the board of directors or for proposing matters that can be acted upon by stockholders at stockholder meetings.</w:t>
      </w:r>
    </w:p>
    <w:p>
      <w:pPr>
        <w:spacing w:after="0" w:line="133"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3"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102" w:lineRule="exact"/>
        <w:rPr>
          <w:sz w:val="20"/>
          <w:szCs w:val="20"/>
          <w:color w:val="auto"/>
        </w:rPr>
      </w:pPr>
    </w:p>
    <w:p>
      <w:pPr>
        <w:ind w:left="680" w:firstLine="399"/>
        <w:spacing w:after="0" w:line="337" w:lineRule="auto"/>
        <w:rPr>
          <w:sz w:val="20"/>
          <w:szCs w:val="20"/>
          <w:color w:val="auto"/>
        </w:rPr>
      </w:pPr>
      <w:r>
        <w:rPr>
          <w:rFonts w:ascii="Arial" w:cs="Arial" w:eastAsia="Arial" w:hAnsi="Arial"/>
          <w:sz w:val="11"/>
          <w:szCs w:val="11"/>
          <w:color w:val="auto"/>
        </w:rPr>
        <w:t>We lease approximately 26,150 square feet of office space in Bridgewater, New Jersey. In addition to our principal office space in Bridgewater, New Jersey, we lease facilities and offices in Bethlehem, Pennsylvania, Herndon, Virginia and Bellevue, Washington. Lease terms for these locations expire between 2009 and 2012. We believe that the facilities we now lease are sufficient to meet our needs through at least the next 12 months. However, we may require additional office space after that time, and we are currently evaluating expansion possibilities.</w:t>
      </w:r>
    </w:p>
    <w:p>
      <w:pPr>
        <w:spacing w:after="0" w:line="106"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102" w:lineRule="exact"/>
        <w:rPr>
          <w:sz w:val="20"/>
          <w:szCs w:val="20"/>
          <w:color w:val="auto"/>
        </w:rPr>
      </w:pPr>
    </w:p>
    <w:p>
      <w:pPr>
        <w:ind w:left="680" w:firstLine="399"/>
        <w:spacing w:after="0" w:line="279" w:lineRule="auto"/>
        <w:rPr>
          <w:sz w:val="20"/>
          <w:szCs w:val="20"/>
          <w:color w:val="auto"/>
        </w:rPr>
      </w:pPr>
      <w:r>
        <w:rPr>
          <w:rFonts w:ascii="Arial" w:cs="Arial" w:eastAsia="Arial" w:hAnsi="Arial"/>
          <w:sz w:val="13"/>
          <w:szCs w:val="13"/>
          <w:color w:val="auto"/>
        </w:rPr>
        <w:t>We are not currently subject to any legal proceedings that could have a material adverse effect on our operations; however, we may from time to time become a party to various legal proceedings arising in the ordinary course of our business.</w:t>
      </w:r>
    </w:p>
    <w:p>
      <w:pPr>
        <w:spacing w:after="0" w:line="133"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2"/>
          <w:szCs w:val="12"/>
          <w:b w:val="1"/>
          <w:bCs w:val="1"/>
          <w:i w:val="1"/>
          <w:iCs w:val="1"/>
          <w:color w:val="auto"/>
        </w:rPr>
        <w:t>SUBMISSION OF MATTERS TO A VOTE OF SECURITY HOLDERS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matters were submitted to a vote of security holders during the quarter ended December 31, 2007.</w:t>
      </w: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7"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i w:val="1"/>
          <w:iCs w:val="1"/>
          <w:color w:val="auto"/>
        </w:rPr>
        <w:t>Market Information</w:t>
      </w:r>
    </w:p>
    <w:p>
      <w:pPr>
        <w:spacing w:after="0" w:line="102" w:lineRule="exact"/>
        <w:rPr>
          <w:sz w:val="20"/>
          <w:szCs w:val="20"/>
          <w:color w:val="auto"/>
        </w:rPr>
      </w:pPr>
    </w:p>
    <w:p>
      <w:pPr>
        <w:ind w:left="680" w:right="220" w:firstLine="399"/>
        <w:spacing w:after="0" w:line="279" w:lineRule="auto"/>
        <w:rPr>
          <w:sz w:val="20"/>
          <w:szCs w:val="20"/>
          <w:color w:val="auto"/>
        </w:rPr>
      </w:pPr>
      <w:r>
        <w:rPr>
          <w:rFonts w:ascii="Arial" w:cs="Arial" w:eastAsia="Arial" w:hAnsi="Arial"/>
          <w:sz w:val="13"/>
          <w:szCs w:val="13"/>
          <w:color w:val="auto"/>
        </w:rPr>
        <w:t>Our common stock is traded over-the-counter and is listed on the NASDAQ National Market under the symbol “SNCR.” We began trading on the NASDAQ National Market on June 19, 2006. The following table sets forth, for each period during the past two years, the high and low sale prices as reported by NASDAQ.</w:t>
      </w:r>
    </w:p>
    <w:p>
      <w:pPr>
        <w:spacing w:after="0" w:line="60"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4660" w:type="dxa"/>
            <w:vAlign w:val="bottom"/>
            <w:gridSpan w:val="3"/>
          </w:tcPr>
          <w:p>
            <w:pPr>
              <w:spacing w:after="0"/>
              <w:rPr>
                <w:sz w:val="20"/>
                <w:szCs w:val="20"/>
                <w:color w:val="auto"/>
              </w:rPr>
            </w:pPr>
            <w:r>
              <w:rPr>
                <w:rFonts w:ascii="Arial" w:cs="Arial" w:eastAsia="Arial" w:hAnsi="Arial"/>
                <w:sz w:val="11"/>
                <w:szCs w:val="11"/>
                <w:b w:val="1"/>
                <w:bCs w:val="1"/>
                <w:color w:val="auto"/>
              </w:rPr>
              <w:t>2007</w:t>
            </w:r>
          </w:p>
        </w:tc>
        <w:tc>
          <w:tcPr>
            <w:tcW w:w="3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High</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ind w:left="40"/>
              <w:spacing w:after="0"/>
              <w:rPr>
                <w:sz w:val="20"/>
                <w:szCs w:val="20"/>
                <w:color w:val="auto"/>
              </w:rPr>
            </w:pPr>
            <w:r>
              <w:rPr>
                <w:rFonts w:ascii="Arial" w:cs="Arial" w:eastAsia="Arial" w:hAnsi="Arial"/>
                <w:sz w:val="11"/>
                <w:szCs w:val="11"/>
                <w:b w:val="1"/>
                <w:bCs w:val="1"/>
                <w:color w:val="auto"/>
              </w:rPr>
              <w:t>Low</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5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First Quarter</w:t>
            </w:r>
          </w:p>
        </w:tc>
        <w:tc>
          <w:tcPr>
            <w:tcW w:w="3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center"/>
              <w:ind w:left="38"/>
              <w:spacing w:after="0"/>
              <w:rPr>
                <w:sz w:val="20"/>
                <w:szCs w:val="20"/>
                <w:color w:val="auto"/>
              </w:rPr>
            </w:pPr>
            <w:r>
              <w:rPr>
                <w:rFonts w:ascii="Arial" w:cs="Arial" w:eastAsia="Arial" w:hAnsi="Arial"/>
                <w:sz w:val="13"/>
                <w:szCs w:val="13"/>
                <w:color w:val="auto"/>
                <w:w w:val="92"/>
              </w:rPr>
              <w:t>19.85</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3"/>
                <w:szCs w:val="13"/>
                <w:color w:val="auto"/>
                <w:w w:val="85"/>
              </w:rPr>
              <w:t>13.47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640" w:type="dxa"/>
            <w:vAlign w:val="bottom"/>
            <w:gridSpan w:val="2"/>
          </w:tcPr>
          <w:p>
            <w:pPr>
              <w:spacing w:after="0"/>
              <w:rPr>
                <w:sz w:val="20"/>
                <w:szCs w:val="20"/>
                <w:color w:val="auto"/>
              </w:rPr>
            </w:pPr>
            <w:r>
              <w:rPr>
                <w:rFonts w:ascii="Arial" w:cs="Arial" w:eastAsia="Arial" w:hAnsi="Arial"/>
                <w:sz w:val="13"/>
                <w:szCs w:val="13"/>
                <w:color w:val="auto"/>
              </w:rPr>
              <w:t>Second Quarter</w:t>
            </w:r>
          </w:p>
        </w:tc>
        <w:tc>
          <w:tcPr>
            <w:tcW w:w="39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center"/>
              <w:ind w:left="38"/>
              <w:spacing w:after="0"/>
              <w:rPr>
                <w:sz w:val="20"/>
                <w:szCs w:val="20"/>
                <w:color w:val="auto"/>
              </w:rPr>
            </w:pPr>
            <w:r>
              <w:rPr>
                <w:rFonts w:ascii="Arial" w:cs="Arial" w:eastAsia="Arial" w:hAnsi="Arial"/>
                <w:sz w:val="13"/>
                <w:szCs w:val="13"/>
                <w:color w:val="auto"/>
                <w:w w:val="92"/>
              </w:rPr>
              <w:t>30.83</w:t>
            </w:r>
          </w:p>
        </w:tc>
        <w:tc>
          <w:tcPr>
            <w:tcW w:w="5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ind w:left="80"/>
              <w:spacing w:after="0"/>
              <w:rPr>
                <w:sz w:val="20"/>
                <w:szCs w:val="20"/>
                <w:color w:val="auto"/>
              </w:rPr>
            </w:pPr>
            <w:r>
              <w:rPr>
                <w:rFonts w:ascii="Arial" w:cs="Arial" w:eastAsia="Arial" w:hAnsi="Arial"/>
                <w:sz w:val="13"/>
                <w:szCs w:val="13"/>
                <w:color w:val="auto"/>
                <w:w w:val="85"/>
              </w:rPr>
              <w:t>17.10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Third Quarter</w:t>
            </w:r>
          </w:p>
        </w:tc>
        <w:tc>
          <w:tcPr>
            <w:tcW w:w="3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center"/>
              <w:ind w:left="38"/>
              <w:spacing w:after="0"/>
              <w:rPr>
                <w:sz w:val="20"/>
                <w:szCs w:val="20"/>
                <w:color w:val="auto"/>
              </w:rPr>
            </w:pPr>
            <w:r>
              <w:rPr>
                <w:rFonts w:ascii="Arial" w:cs="Arial" w:eastAsia="Arial" w:hAnsi="Arial"/>
                <w:sz w:val="13"/>
                <w:szCs w:val="13"/>
                <w:color w:val="auto"/>
                <w:w w:val="92"/>
              </w:rPr>
              <w:t>45.55</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3"/>
                <w:szCs w:val="13"/>
                <w:color w:val="auto"/>
                <w:w w:val="85"/>
              </w:rPr>
              <w:t>26.43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40" w:type="dxa"/>
            <w:vAlign w:val="bottom"/>
            <w:gridSpan w:val="2"/>
          </w:tcPr>
          <w:p>
            <w:pPr>
              <w:spacing w:after="0"/>
              <w:rPr>
                <w:sz w:val="20"/>
                <w:szCs w:val="20"/>
                <w:color w:val="auto"/>
              </w:rPr>
            </w:pPr>
            <w:r>
              <w:rPr>
                <w:rFonts w:ascii="Arial" w:cs="Arial" w:eastAsia="Arial" w:hAnsi="Arial"/>
                <w:sz w:val="13"/>
                <w:szCs w:val="13"/>
                <w:color w:val="auto"/>
              </w:rPr>
              <w:t>Fourth Quarter</w:t>
            </w:r>
          </w:p>
        </w:tc>
        <w:tc>
          <w:tcPr>
            <w:tcW w:w="39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center"/>
              <w:ind w:left="38"/>
              <w:spacing w:after="0"/>
              <w:rPr>
                <w:sz w:val="20"/>
                <w:szCs w:val="20"/>
                <w:color w:val="auto"/>
              </w:rPr>
            </w:pPr>
            <w:r>
              <w:rPr>
                <w:rFonts w:ascii="Arial" w:cs="Arial" w:eastAsia="Arial" w:hAnsi="Arial"/>
                <w:sz w:val="13"/>
                <w:szCs w:val="13"/>
                <w:color w:val="auto"/>
                <w:w w:val="92"/>
              </w:rPr>
              <w:t>48.03</w:t>
            </w:r>
          </w:p>
        </w:tc>
        <w:tc>
          <w:tcPr>
            <w:tcW w:w="5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ind w:left="80"/>
              <w:spacing w:after="0"/>
              <w:rPr>
                <w:sz w:val="20"/>
                <w:szCs w:val="20"/>
                <w:color w:val="auto"/>
              </w:rPr>
            </w:pPr>
            <w:r>
              <w:rPr>
                <w:rFonts w:ascii="Arial" w:cs="Arial" w:eastAsia="Arial" w:hAnsi="Arial"/>
                <w:sz w:val="13"/>
                <w:szCs w:val="13"/>
                <w:color w:val="auto"/>
                <w:w w:val="85"/>
              </w:rPr>
              <w:t>28.24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9"/>
        </w:trPr>
        <w:tc>
          <w:tcPr>
            <w:tcW w:w="4660" w:type="dxa"/>
            <w:vAlign w:val="bottom"/>
            <w:gridSpan w:val="3"/>
          </w:tcPr>
          <w:p>
            <w:pPr>
              <w:spacing w:after="0"/>
              <w:rPr>
                <w:sz w:val="20"/>
                <w:szCs w:val="20"/>
                <w:color w:val="auto"/>
              </w:rPr>
            </w:pPr>
            <w:r>
              <w:rPr>
                <w:rFonts w:ascii="Arial" w:cs="Arial" w:eastAsia="Arial" w:hAnsi="Arial"/>
                <w:sz w:val="11"/>
                <w:szCs w:val="11"/>
                <w:b w:val="1"/>
                <w:bCs w:val="1"/>
                <w:color w:val="auto"/>
              </w:rPr>
              <w:t>2006</w:t>
            </w:r>
          </w:p>
        </w:tc>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center"/>
              <w:ind w:left="38"/>
              <w:spacing w:after="0"/>
              <w:rPr>
                <w:sz w:val="20"/>
                <w:szCs w:val="20"/>
                <w:color w:val="auto"/>
              </w:rPr>
            </w:pPr>
            <w:r>
              <w:rPr>
                <w:rFonts w:ascii="Arial" w:cs="Arial" w:eastAsia="Arial" w:hAnsi="Arial"/>
                <w:sz w:val="11"/>
                <w:szCs w:val="11"/>
                <w:b w:val="1"/>
                <w:bCs w:val="1"/>
                <w:color w:val="auto"/>
                <w:w w:val="89"/>
              </w:rPr>
              <w:t>High</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ind w:left="80"/>
              <w:spacing w:after="0"/>
              <w:rPr>
                <w:sz w:val="20"/>
                <w:szCs w:val="20"/>
                <w:color w:val="auto"/>
              </w:rPr>
            </w:pPr>
            <w:r>
              <w:rPr>
                <w:rFonts w:ascii="Arial" w:cs="Arial" w:eastAsia="Arial" w:hAnsi="Arial"/>
                <w:sz w:val="11"/>
                <w:szCs w:val="11"/>
                <w:b w:val="1"/>
                <w:bCs w:val="1"/>
                <w:color w:val="auto"/>
              </w:rPr>
              <w:t>Low</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tbl>
      <w:tblPr>
        <w:tblLayout w:type="fixed"/>
        <w:tblInd w:w="68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First Quarter</w:t>
            </w:r>
          </w:p>
        </w:tc>
        <w:tc>
          <w:tcPr>
            <w:tcW w:w="40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NM*</w:t>
            </w: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r>
      <w:tr>
        <w:trPr>
          <w:trHeight w:val="158"/>
        </w:trPr>
        <w:tc>
          <w:tcPr>
            <w:tcW w:w="2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Second Quarter</w:t>
            </w:r>
          </w:p>
        </w:tc>
        <w:tc>
          <w:tcPr>
            <w:tcW w:w="40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54"/>
              <w:spacing w:after="0"/>
              <w:rPr>
                <w:sz w:val="20"/>
                <w:szCs w:val="20"/>
                <w:color w:val="auto"/>
              </w:rPr>
            </w:pPr>
            <w:r>
              <w:rPr>
                <w:rFonts w:ascii="Arial" w:cs="Arial" w:eastAsia="Arial" w:hAnsi="Arial"/>
                <w:sz w:val="13"/>
                <w:szCs w:val="13"/>
                <w:color w:val="auto"/>
              </w:rPr>
              <w:t>9.17</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34"/>
              <w:spacing w:after="0"/>
              <w:rPr>
                <w:sz w:val="20"/>
                <w:szCs w:val="20"/>
                <w:color w:val="auto"/>
              </w:rPr>
            </w:pPr>
            <w:r>
              <w:rPr>
                <w:rFonts w:ascii="Arial" w:cs="Arial" w:eastAsia="Arial" w:hAnsi="Arial"/>
                <w:sz w:val="13"/>
                <w:szCs w:val="13"/>
                <w:color w:val="auto"/>
              </w:rPr>
              <w:t>8.24</w:t>
            </w:r>
          </w:p>
        </w:tc>
      </w:tr>
      <w:tr>
        <w:trPr>
          <w:trHeight w:val="158"/>
        </w:trPr>
        <w:tc>
          <w:tcPr>
            <w:tcW w:w="2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Third Quarter</w:t>
            </w:r>
          </w:p>
        </w:tc>
        <w:tc>
          <w:tcPr>
            <w:tcW w:w="40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11.10</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6.25</w:t>
            </w:r>
          </w:p>
        </w:tc>
      </w:tr>
      <w:tr>
        <w:trPr>
          <w:trHeight w:val="165"/>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Fourth Quarter</w:t>
            </w:r>
          </w:p>
        </w:tc>
        <w:tc>
          <w:tcPr>
            <w:tcW w:w="402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54"/>
              <w:spacing w:after="0"/>
              <w:rPr>
                <w:sz w:val="20"/>
                <w:szCs w:val="20"/>
                <w:color w:val="auto"/>
              </w:rPr>
            </w:pPr>
            <w:r>
              <w:rPr>
                <w:rFonts w:ascii="Arial" w:cs="Arial" w:eastAsia="Arial" w:hAnsi="Arial"/>
                <w:sz w:val="13"/>
                <w:szCs w:val="13"/>
                <w:color w:val="auto"/>
              </w:rPr>
              <w:t>15.85</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34"/>
              <w:spacing w:after="0"/>
              <w:rPr>
                <w:sz w:val="20"/>
                <w:szCs w:val="20"/>
                <w:color w:val="auto"/>
              </w:rPr>
            </w:pPr>
            <w:r>
              <w:rPr>
                <w:rFonts w:ascii="Arial" w:cs="Arial" w:eastAsia="Arial" w:hAnsi="Arial"/>
                <w:sz w:val="13"/>
                <w:szCs w:val="13"/>
                <w:color w:val="auto"/>
              </w:rPr>
              <w:t>8.16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58420</wp:posOffset>
            </wp:positionV>
            <wp:extent cx="82232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2325" cy="6350"/>
                    </a:xfrm>
                    <a:prstGeom prst="rect">
                      <a:avLst/>
                    </a:prstGeom>
                    <a:noFill/>
                  </pic:spPr>
                </pic:pic>
              </a:graphicData>
            </a:graphic>
          </wp:anchor>
        </w:drawing>
      </w:r>
    </w:p>
    <w:p>
      <w:pPr>
        <w:spacing w:after="0" w:line="122" w:lineRule="exact"/>
        <w:rPr>
          <w:sz w:val="20"/>
          <w:szCs w:val="20"/>
          <w:color w:val="auto"/>
        </w:rPr>
      </w:pPr>
    </w:p>
    <w:p>
      <w:pPr>
        <w:ind w:left="900" w:hanging="213"/>
        <w:spacing w:after="0"/>
        <w:tabs>
          <w:tab w:leader="none" w:pos="9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No Measurement.</w:t>
      </w:r>
    </w:p>
    <w:p>
      <w:pPr>
        <w:spacing w:after="0" w:line="98" w:lineRule="exact"/>
        <w:rPr>
          <w:sz w:val="20"/>
          <w:szCs w:val="20"/>
          <w:color w:val="auto"/>
        </w:rPr>
      </w:pPr>
    </w:p>
    <w:p>
      <w:pPr>
        <w:ind w:left="680" w:firstLine="399"/>
        <w:spacing w:after="0" w:line="279" w:lineRule="auto"/>
        <w:rPr>
          <w:sz w:val="20"/>
          <w:szCs w:val="20"/>
          <w:color w:val="auto"/>
        </w:rPr>
      </w:pPr>
      <w:r>
        <w:rPr>
          <w:rFonts w:ascii="Arial" w:cs="Arial" w:eastAsia="Arial" w:hAnsi="Arial"/>
          <w:sz w:val="13"/>
          <w:szCs w:val="13"/>
          <w:color w:val="auto"/>
        </w:rPr>
        <w:t>As of February 15, 2008, there were approximately 98 holders of record of our common stock. On February 15, 2008, the last reported sale price of our common stock as reported on the NASDAQ National Market was $18.66 per share.</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 Policy</w:t>
      </w:r>
    </w:p>
    <w:p>
      <w:pPr>
        <w:spacing w:after="0" w:line="102" w:lineRule="exact"/>
        <w:rPr>
          <w:sz w:val="20"/>
          <w:szCs w:val="20"/>
          <w:color w:val="auto"/>
        </w:rPr>
      </w:pPr>
    </w:p>
    <w:p>
      <w:pPr>
        <w:jc w:val="both"/>
        <w:ind w:left="680" w:right="60" w:firstLine="399"/>
        <w:spacing w:after="0" w:line="337" w:lineRule="auto"/>
        <w:rPr>
          <w:sz w:val="20"/>
          <w:szCs w:val="20"/>
          <w:color w:val="auto"/>
        </w:rPr>
      </w:pPr>
      <w:r>
        <w:rPr>
          <w:rFonts w:ascii="Arial" w:cs="Arial" w:eastAsia="Arial" w:hAnsi="Arial"/>
          <w:sz w:val="11"/>
          <w:szCs w:val="11"/>
          <w:color w:val="auto"/>
        </w:rPr>
        <w:t>We have never declared or paid cash dividends on our common or preferred equity. We currently intend to retain all available funds and any future earnings for use in the operation of our business and do not anticipate paying any cash dividends in the foreseeable future. Any future determination to declare cash dividends will be made at the discretion of our board of directors and will depend on our financial condition, results of operations, capital requirements, general business conditions and other factors that our board of directors may deem relevant.</w:t>
      </w:r>
    </w:p>
    <w:p>
      <w:pPr>
        <w:spacing w:after="0" w:line="10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Use of Proceeds From Public Offering of Common Stock</w:t>
      </w:r>
    </w:p>
    <w:p>
      <w:pPr>
        <w:spacing w:after="0" w:line="102"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On June 14, 2006, our Registration Statement on Form S-1 (File No. 333-132080) relating to the IPO was declared effective by the SEC. The managing underwriters of the IPO were Goldman, Sachs &amp; Co., Deutsche Bank Securities Inc. and Thomas Weisel Partners LLC. On June 20, 2006, we closed the sale of 6,532,107 shares of common stock in the IPO for net proceeds to us of $45.7 million. In July 2006, we sold an additional 959,908 shares of common stock upon the exercise of an over-allotment option granted to the underwriters for net proceeds to us of $7.1 million. No offering expenses were paid directly or indirectly to any of our directors or officers or persons owning ten percent or more of any class of our equity securities or to any other affiliates. We have invested our net proceeds of the offering in money market funds pending their use to fund our expansion. Part of our current growth strategy is to further penetrate the North American markets and expand our customer base internationally. We anticipate that a portion of the proceeds of the offering will enable us to finance this expansion. In addition, we could use a portion of the proceeds of this offering to make strategic investments in, or pursue acquisitions of, other businesses, products or technologies.</w:t>
      </w: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information as of December 31, 2007 with respect to the shares of our common stock that may be issuable under our existing equity compensation</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plans.</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information is as of December 31, 2007:</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w w:val="88"/>
              </w:rPr>
              <w:t>(a)</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jc w:val="center"/>
              <w:ind w:right="122"/>
              <w:spacing w:after="0"/>
              <w:rPr>
                <w:sz w:val="20"/>
                <w:szCs w:val="20"/>
                <w:color w:val="auto"/>
              </w:rPr>
            </w:pPr>
            <w:r>
              <w:rPr>
                <w:rFonts w:ascii="Arial" w:cs="Arial" w:eastAsia="Arial" w:hAnsi="Arial"/>
                <w:sz w:val="11"/>
                <w:szCs w:val="11"/>
                <w:b w:val="1"/>
                <w:bCs w:val="1"/>
                <w:color w:val="auto"/>
                <w:w w:val="85"/>
              </w:rPr>
              <w:t>(b)</w:t>
            </w:r>
          </w:p>
        </w:tc>
        <w:tc>
          <w:tcPr>
            <w:tcW w:w="400" w:type="dxa"/>
            <w:vAlign w:val="bottom"/>
          </w:tcPr>
          <w:p>
            <w:pPr>
              <w:spacing w:after="0"/>
              <w:rPr>
                <w:sz w:val="10"/>
                <w:szCs w:val="10"/>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(c)</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4100" w:type="dxa"/>
            <w:vAlign w:val="bottom"/>
          </w:tcPr>
          <w:p>
            <w:pPr>
              <w:spacing w:after="0"/>
              <w:rPr>
                <w:sz w:val="7"/>
                <w:szCs w:val="7"/>
                <w:color w:val="auto"/>
              </w:rPr>
            </w:pPr>
          </w:p>
        </w:tc>
        <w:tc>
          <w:tcPr>
            <w:tcW w:w="16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880" w:type="dxa"/>
            <w:vAlign w:val="bottom"/>
            <w:tcBorders>
              <w:top w:val="single" w:sz="8" w:color="auto"/>
            </w:tcBorders>
          </w:tcPr>
          <w:p>
            <w:pPr>
              <w:jc w:val="center"/>
              <w:spacing w:after="0" w:line="82" w:lineRule="exact"/>
              <w:rPr>
                <w:sz w:val="20"/>
                <w:szCs w:val="20"/>
                <w:color w:val="auto"/>
              </w:rPr>
            </w:pPr>
            <w:r>
              <w:rPr>
                <w:rFonts w:ascii="Arial" w:cs="Arial" w:eastAsia="Arial" w:hAnsi="Arial"/>
                <w:sz w:val="9"/>
                <w:szCs w:val="9"/>
                <w:b w:val="1"/>
                <w:bCs w:val="1"/>
                <w:color w:val="auto"/>
              </w:rPr>
              <w:t>Number of Securities</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80" w:type="dxa"/>
            <w:vAlign w:val="bottom"/>
            <w:gridSpan w:val="2"/>
          </w:tcPr>
          <w:p>
            <w:pPr>
              <w:jc w:val="center"/>
              <w:ind w:right="80"/>
              <w:spacing w:after="0" w:line="109" w:lineRule="exact"/>
              <w:rPr>
                <w:sz w:val="20"/>
                <w:szCs w:val="20"/>
                <w:color w:val="auto"/>
              </w:rPr>
            </w:pPr>
            <w:r>
              <w:rPr>
                <w:rFonts w:ascii="Arial" w:cs="Arial" w:eastAsia="Arial" w:hAnsi="Arial"/>
                <w:sz w:val="11"/>
                <w:szCs w:val="11"/>
                <w:b w:val="1"/>
                <w:bCs w:val="1"/>
                <w:color w:val="auto"/>
                <w:w w:val="87"/>
              </w:rPr>
              <w:t>Remaining Available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6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4"/>
              </w:rPr>
              <w:t>Number of Securities</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80" w:type="dxa"/>
            <w:vAlign w:val="bottom"/>
            <w:gridSpan w:val="2"/>
          </w:tcPr>
          <w:p>
            <w:pPr>
              <w:jc w:val="center"/>
              <w:ind w:right="100"/>
              <w:spacing w:after="0" w:line="109" w:lineRule="exact"/>
              <w:rPr>
                <w:sz w:val="20"/>
                <w:szCs w:val="20"/>
                <w:color w:val="auto"/>
              </w:rPr>
            </w:pPr>
            <w:r>
              <w:rPr>
                <w:rFonts w:ascii="Arial" w:cs="Arial" w:eastAsia="Arial" w:hAnsi="Arial"/>
                <w:sz w:val="11"/>
                <w:szCs w:val="11"/>
                <w:b w:val="1"/>
                <w:bCs w:val="1"/>
                <w:color w:val="auto"/>
                <w:w w:val="86"/>
              </w:rPr>
              <w:t>for Future Issuance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6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5"/>
              </w:rPr>
              <w:t>to be Issued Upon</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jc w:val="center"/>
              <w:ind w:right="122"/>
              <w:spacing w:after="0" w:line="109" w:lineRule="exact"/>
              <w:rPr>
                <w:sz w:val="20"/>
                <w:szCs w:val="20"/>
                <w:color w:val="auto"/>
              </w:rPr>
            </w:pPr>
            <w:r>
              <w:rPr>
                <w:rFonts w:ascii="Arial" w:cs="Arial" w:eastAsia="Arial" w:hAnsi="Arial"/>
                <w:sz w:val="11"/>
                <w:szCs w:val="11"/>
                <w:b w:val="1"/>
                <w:bCs w:val="1"/>
                <w:color w:val="auto"/>
                <w:w w:val="86"/>
              </w:rPr>
              <w:t>Weighted-Average</w:t>
            </w:r>
          </w:p>
        </w:tc>
        <w:tc>
          <w:tcPr>
            <w:tcW w:w="400" w:type="dxa"/>
            <w:vAlign w:val="bottom"/>
          </w:tcPr>
          <w:p>
            <w:pPr>
              <w:spacing w:after="0"/>
              <w:rPr>
                <w:sz w:val="9"/>
                <w:szCs w:val="9"/>
                <w:color w:val="auto"/>
              </w:rPr>
            </w:pPr>
          </w:p>
        </w:tc>
        <w:tc>
          <w:tcPr>
            <w:tcW w:w="1980" w:type="dxa"/>
            <w:vAlign w:val="bottom"/>
            <w:gridSpan w:val="2"/>
          </w:tcPr>
          <w:p>
            <w:pPr>
              <w:jc w:val="center"/>
              <w:ind w:right="80"/>
              <w:spacing w:after="0" w:line="109" w:lineRule="exact"/>
              <w:rPr>
                <w:sz w:val="20"/>
                <w:szCs w:val="20"/>
                <w:color w:val="auto"/>
              </w:rPr>
            </w:pPr>
            <w:r>
              <w:rPr>
                <w:rFonts w:ascii="Arial" w:cs="Arial" w:eastAsia="Arial" w:hAnsi="Arial"/>
                <w:sz w:val="11"/>
                <w:szCs w:val="11"/>
                <w:b w:val="1"/>
                <w:bCs w:val="1"/>
                <w:color w:val="auto"/>
                <w:w w:val="90"/>
              </w:rPr>
              <w:t>Under Equity</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6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5"/>
              </w:rPr>
              <w:t>Exercise of</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jc w:val="center"/>
              <w:ind w:right="122"/>
              <w:spacing w:after="0" w:line="109" w:lineRule="exact"/>
              <w:rPr>
                <w:sz w:val="20"/>
                <w:szCs w:val="20"/>
                <w:color w:val="auto"/>
              </w:rPr>
            </w:pPr>
            <w:r>
              <w:rPr>
                <w:rFonts w:ascii="Arial" w:cs="Arial" w:eastAsia="Arial" w:hAnsi="Arial"/>
                <w:sz w:val="11"/>
                <w:szCs w:val="11"/>
                <w:b w:val="1"/>
                <w:bCs w:val="1"/>
                <w:color w:val="auto"/>
                <w:w w:val="85"/>
              </w:rPr>
              <w:t>Exercise Price of</w:t>
            </w:r>
          </w:p>
        </w:tc>
        <w:tc>
          <w:tcPr>
            <w:tcW w:w="400" w:type="dxa"/>
            <w:vAlign w:val="bottom"/>
          </w:tcPr>
          <w:p>
            <w:pPr>
              <w:spacing w:after="0"/>
              <w:rPr>
                <w:sz w:val="9"/>
                <w:szCs w:val="9"/>
                <w:color w:val="auto"/>
              </w:rPr>
            </w:pPr>
          </w:p>
        </w:tc>
        <w:tc>
          <w:tcPr>
            <w:tcW w:w="1980" w:type="dxa"/>
            <w:vAlign w:val="bottom"/>
            <w:gridSpan w:val="2"/>
          </w:tcPr>
          <w:p>
            <w:pPr>
              <w:jc w:val="center"/>
              <w:ind w:right="100"/>
              <w:spacing w:after="0" w:line="109" w:lineRule="exact"/>
              <w:rPr>
                <w:sz w:val="20"/>
                <w:szCs w:val="20"/>
                <w:color w:val="auto"/>
              </w:rPr>
            </w:pPr>
            <w:r>
              <w:rPr>
                <w:rFonts w:ascii="Arial" w:cs="Arial" w:eastAsia="Arial" w:hAnsi="Arial"/>
                <w:sz w:val="11"/>
                <w:szCs w:val="11"/>
                <w:b w:val="1"/>
                <w:bCs w:val="1"/>
                <w:color w:val="auto"/>
                <w:w w:val="84"/>
              </w:rPr>
              <w:t>Compensation Plans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4800" w:type="dxa"/>
            <w:vAlign w:val="bottom"/>
            <w:gridSpan w:val="2"/>
            <w:vMerge w:val="restart"/>
          </w:tcPr>
          <w:p>
            <w:pPr>
              <w:ind w:left="680"/>
              <w:spacing w:after="0"/>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lan Category</w:t>
            </w:r>
          </w:p>
        </w:tc>
        <w:tc>
          <w:tcPr>
            <w:tcW w:w="16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5"/>
              </w:rPr>
              <w:t>Outstanding Options</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jc w:val="center"/>
              <w:ind w:right="122"/>
              <w:spacing w:after="0" w:line="119" w:lineRule="exact"/>
              <w:rPr>
                <w:sz w:val="20"/>
                <w:szCs w:val="20"/>
                <w:color w:val="auto"/>
              </w:rPr>
            </w:pPr>
            <w:r>
              <w:rPr>
                <w:rFonts w:ascii="Arial" w:cs="Arial" w:eastAsia="Arial" w:hAnsi="Arial"/>
                <w:sz w:val="11"/>
                <w:szCs w:val="11"/>
                <w:b w:val="1"/>
                <w:bCs w:val="1"/>
                <w:color w:val="auto"/>
                <w:w w:val="86"/>
              </w:rPr>
              <w:t>Outstanding</w:t>
            </w:r>
          </w:p>
        </w:tc>
        <w:tc>
          <w:tcPr>
            <w:tcW w:w="400" w:type="dxa"/>
            <w:vAlign w:val="bottom"/>
          </w:tcPr>
          <w:p>
            <w:pPr>
              <w:spacing w:after="0"/>
              <w:rPr>
                <w:sz w:val="10"/>
                <w:szCs w:val="10"/>
                <w:color w:val="auto"/>
              </w:rPr>
            </w:pPr>
          </w:p>
        </w:tc>
        <w:tc>
          <w:tcPr>
            <w:tcW w:w="198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85"/>
              </w:rPr>
              <w:t>(Excluding Securities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800" w:type="dxa"/>
            <w:vAlign w:val="bottom"/>
            <w:gridSpan w:val="2"/>
            <w:vMerge w:val="continue"/>
          </w:tcPr>
          <w:p>
            <w:pPr>
              <w:spacing w:after="0"/>
              <w:rPr>
                <w:sz w:val="10"/>
                <w:szCs w:val="10"/>
                <w:color w:val="auto"/>
              </w:rPr>
            </w:pP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w w:val="87"/>
              </w:rPr>
              <w:t>and Rights</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jc w:val="center"/>
              <w:ind w:right="122"/>
              <w:spacing w:after="0"/>
              <w:rPr>
                <w:sz w:val="20"/>
                <w:szCs w:val="20"/>
                <w:color w:val="auto"/>
              </w:rPr>
            </w:pPr>
            <w:r>
              <w:rPr>
                <w:rFonts w:ascii="Arial" w:cs="Arial" w:eastAsia="Arial" w:hAnsi="Arial"/>
                <w:sz w:val="11"/>
                <w:szCs w:val="11"/>
                <w:b w:val="1"/>
                <w:bCs w:val="1"/>
                <w:color w:val="auto"/>
                <w:w w:val="86"/>
              </w:rPr>
              <w:t>Options and Rights</w:t>
            </w:r>
          </w:p>
        </w:tc>
        <w:tc>
          <w:tcPr>
            <w:tcW w:w="400" w:type="dxa"/>
            <w:vAlign w:val="bottom"/>
          </w:tcPr>
          <w:p>
            <w:pPr>
              <w:spacing w:after="0"/>
              <w:rPr>
                <w:sz w:val="10"/>
                <w:szCs w:val="10"/>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Reflected in Column (a))</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0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700" w:type="dxa"/>
            <w:vAlign w:val="bottom"/>
            <w:vMerge w:val="continue"/>
          </w:tcPr>
          <w:p>
            <w:pPr>
              <w:spacing w:after="0"/>
              <w:rPr>
                <w:sz w:val="13"/>
                <w:szCs w:val="1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Equity compensation plans approved by security holders</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2,830,848</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15.51</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753,592</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Equity compensation plans not approved by security holders</w:t>
            </w:r>
          </w:p>
        </w:tc>
        <w:tc>
          <w:tcPr>
            <w:tcW w:w="16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00" w:type="dxa"/>
            <w:vAlign w:val="bottom"/>
          </w:tcPr>
          <w:p>
            <w:pPr>
              <w:spacing w:after="0"/>
              <w:rPr>
                <w:sz w:val="14"/>
                <w:szCs w:val="14"/>
                <w:color w:val="auto"/>
              </w:rPr>
            </w:pPr>
          </w:p>
        </w:tc>
        <w:tc>
          <w:tcPr>
            <w:tcW w:w="4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Totals</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2,830,848</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15.51</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753,592</w:t>
            </w: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7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00" w:type="dxa"/>
            <w:vAlign w:val="bottom"/>
            <w:tcBorders>
              <w:top w:val="single" w:sz="8" w:color="auto"/>
            </w:tcBorders>
          </w:tcPr>
          <w:p>
            <w:pPr>
              <w:jc w:val="right"/>
              <w:ind w:right="602"/>
              <w:spacing w:after="0"/>
              <w:rPr>
                <w:sz w:val="20"/>
                <w:szCs w:val="20"/>
                <w:color w:val="auto"/>
              </w:rPr>
            </w:pPr>
            <w:r>
              <w:rPr>
                <w:rFonts w:ascii="Arial" w:cs="Arial" w:eastAsia="Arial" w:hAnsi="Arial"/>
                <w:sz w:val="13"/>
                <w:szCs w:val="13"/>
                <w:color w:val="auto"/>
              </w:rPr>
              <w:t>24</w:t>
            </w:r>
          </w:p>
        </w:tc>
        <w:tc>
          <w:tcPr>
            <w:tcW w:w="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1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8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Performance Graph</w:t>
      </w:r>
    </w:p>
    <w:p>
      <w:pPr>
        <w:spacing w:after="0" w:line="102" w:lineRule="exact"/>
        <w:rPr>
          <w:sz w:val="20"/>
          <w:szCs w:val="20"/>
          <w:color w:val="auto"/>
        </w:rPr>
      </w:pPr>
    </w:p>
    <w:p>
      <w:pPr>
        <w:ind w:left="680" w:right="920" w:firstLine="399"/>
        <w:spacing w:after="0" w:line="262" w:lineRule="auto"/>
        <w:rPr>
          <w:sz w:val="20"/>
          <w:szCs w:val="20"/>
          <w:color w:val="auto"/>
        </w:rPr>
      </w:pPr>
      <w:r>
        <w:rPr>
          <w:rFonts w:ascii="Arial" w:cs="Arial" w:eastAsia="Arial" w:hAnsi="Arial"/>
          <w:sz w:val="13"/>
          <w:szCs w:val="13"/>
          <w:color w:val="auto"/>
        </w:rPr>
        <w:t>The graph set forth below compares the cumulative total stockholder return on our common stock between June 19, 2006 (the date our common stock began trading on NASDAQ) and December 31, 2007, with the cumulative total return of (i) the Nasdaq Computer Index and (ii) the Nasdaq Composite Index, over the same period. This graph assumes the investment of $100 on June 19, 2006 in our common stock, the Nasdaq Computer Index and the Nasdaq Composite Index, and assumes the reinvestment of dividends, if any. The graph assumes the initial value of our common stock on June 19, 2006 was the closing sales price of $8.50 per share.</w:t>
      </w:r>
    </w:p>
    <w:p>
      <w:pPr>
        <w:spacing w:after="0" w:line="69" w:lineRule="exact"/>
        <w:rPr>
          <w:sz w:val="20"/>
          <w:szCs w:val="20"/>
          <w:color w:val="auto"/>
        </w:rPr>
      </w:pPr>
    </w:p>
    <w:p>
      <w:pPr>
        <w:jc w:val="both"/>
        <w:ind w:left="680" w:right="820" w:firstLine="399"/>
        <w:spacing w:after="0" w:line="266" w:lineRule="auto"/>
        <w:rPr>
          <w:sz w:val="20"/>
          <w:szCs w:val="20"/>
          <w:color w:val="auto"/>
        </w:rPr>
      </w:pPr>
      <w:r>
        <w:rPr>
          <w:rFonts w:ascii="Arial" w:cs="Arial" w:eastAsia="Arial" w:hAnsi="Arial"/>
          <w:sz w:val="13"/>
          <w:szCs w:val="13"/>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 Information used in the graph was obtained from NASDAQ, a source believed to be reliable, but we are not responsible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97790</wp:posOffset>
            </wp:positionV>
            <wp:extent cx="3754755" cy="1588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54755" cy="1588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720" w:type="dxa"/>
            <w:vAlign w:val="bottom"/>
            <w:tcBorders>
              <w:right w:val="single" w:sz="8" w:color="auto"/>
            </w:tcBorders>
          </w:tcPr>
          <w:p>
            <w:pPr>
              <w:spacing w:after="0"/>
              <w:rPr>
                <w:sz w:val="10"/>
                <w:szCs w:val="10"/>
                <w:color w:val="auto"/>
              </w:rPr>
            </w:pPr>
          </w:p>
        </w:tc>
        <w:tc>
          <w:tcPr>
            <w:tcW w:w="2960" w:type="dxa"/>
            <w:vAlign w:val="bottom"/>
            <w:tcBorders>
              <w:top w:val="single" w:sz="8" w:color="auto"/>
              <w:bottom w:val="single" w:sz="8" w:color="auto"/>
              <w:right w:val="single" w:sz="8" w:color="auto"/>
            </w:tcBorders>
          </w:tcPr>
          <w:p>
            <w:pPr>
              <w:ind w:left="40"/>
              <w:spacing w:after="0" w:line="119" w:lineRule="exact"/>
              <w:rPr>
                <w:sz w:val="20"/>
                <w:szCs w:val="20"/>
                <w:color w:val="auto"/>
              </w:rPr>
            </w:pPr>
            <w:r>
              <w:rPr>
                <w:rFonts w:ascii="Arial" w:cs="Arial" w:eastAsia="Arial" w:hAnsi="Arial"/>
                <w:sz w:val="11"/>
                <w:szCs w:val="11"/>
                <w:b w:val="1"/>
                <w:bCs w:val="1"/>
                <w:color w:val="auto"/>
              </w:rPr>
              <w:t>Company/Index</w:t>
            </w:r>
          </w:p>
        </w:tc>
        <w:tc>
          <w:tcPr>
            <w:tcW w:w="900" w:type="dxa"/>
            <w:vAlign w:val="bottom"/>
            <w:tcBorders>
              <w:top w:val="single" w:sz="8" w:color="auto"/>
              <w:bottom w:val="single" w:sz="8" w:color="auto"/>
              <w:right w:val="single" w:sz="8" w:color="auto"/>
            </w:tcBorders>
          </w:tcPr>
          <w:p>
            <w:pPr>
              <w:ind w:left="260"/>
              <w:spacing w:after="0" w:line="119" w:lineRule="exact"/>
              <w:rPr>
                <w:sz w:val="20"/>
                <w:szCs w:val="20"/>
                <w:color w:val="auto"/>
              </w:rPr>
            </w:pPr>
            <w:r>
              <w:rPr>
                <w:rFonts w:ascii="Arial" w:cs="Arial" w:eastAsia="Arial" w:hAnsi="Arial"/>
                <w:sz w:val="11"/>
                <w:szCs w:val="11"/>
                <w:b w:val="1"/>
                <w:bCs w:val="1"/>
                <w:color w:val="auto"/>
              </w:rPr>
              <w:t>6/19/06</w:t>
            </w:r>
          </w:p>
        </w:tc>
        <w:tc>
          <w:tcPr>
            <w:tcW w:w="1020" w:type="dxa"/>
            <w:vAlign w:val="bottom"/>
            <w:tcBorders>
              <w:top w:val="single" w:sz="8" w:color="auto"/>
              <w:bottom w:val="single" w:sz="8" w:color="auto"/>
              <w:right w:val="single" w:sz="8" w:color="auto"/>
            </w:tcBorders>
          </w:tcPr>
          <w:p>
            <w:pPr>
              <w:jc w:val="right"/>
              <w:ind w:right="317"/>
              <w:spacing w:after="0" w:line="119" w:lineRule="exact"/>
              <w:rPr>
                <w:sz w:val="20"/>
                <w:szCs w:val="20"/>
                <w:color w:val="auto"/>
              </w:rPr>
            </w:pPr>
            <w:r>
              <w:rPr>
                <w:rFonts w:ascii="Arial" w:cs="Arial" w:eastAsia="Arial" w:hAnsi="Arial"/>
                <w:sz w:val="11"/>
                <w:szCs w:val="11"/>
                <w:b w:val="1"/>
                <w:bCs w:val="1"/>
                <w:color w:val="auto"/>
              </w:rPr>
              <w:t>9/29/06</w:t>
            </w:r>
          </w:p>
        </w:tc>
        <w:tc>
          <w:tcPr>
            <w:tcW w:w="1020" w:type="dxa"/>
            <w:vAlign w:val="bottom"/>
            <w:tcBorders>
              <w:top w:val="single" w:sz="8" w:color="auto"/>
              <w:bottom w:val="single" w:sz="8" w:color="auto"/>
              <w:right w:val="single" w:sz="8" w:color="auto"/>
            </w:tcBorders>
          </w:tcPr>
          <w:p>
            <w:pPr>
              <w:jc w:val="right"/>
              <w:ind w:right="277"/>
              <w:spacing w:after="0" w:line="119" w:lineRule="exact"/>
              <w:rPr>
                <w:sz w:val="20"/>
                <w:szCs w:val="20"/>
                <w:color w:val="auto"/>
              </w:rPr>
            </w:pPr>
            <w:r>
              <w:rPr>
                <w:rFonts w:ascii="Arial" w:cs="Arial" w:eastAsia="Arial" w:hAnsi="Arial"/>
                <w:sz w:val="11"/>
                <w:szCs w:val="11"/>
                <w:b w:val="1"/>
                <w:bCs w:val="1"/>
                <w:color w:val="auto"/>
              </w:rPr>
              <w:t>12/29/06</w:t>
            </w:r>
          </w:p>
        </w:tc>
        <w:tc>
          <w:tcPr>
            <w:tcW w:w="1040" w:type="dxa"/>
            <w:vAlign w:val="bottom"/>
            <w:tcBorders>
              <w:top w:val="single" w:sz="8" w:color="auto"/>
              <w:bottom w:val="single" w:sz="8" w:color="auto"/>
              <w:right w:val="single" w:sz="8" w:color="auto"/>
            </w:tcBorders>
          </w:tcPr>
          <w:p>
            <w:pPr>
              <w:jc w:val="right"/>
              <w:ind w:right="317"/>
              <w:spacing w:after="0" w:line="119" w:lineRule="exact"/>
              <w:rPr>
                <w:sz w:val="20"/>
                <w:szCs w:val="20"/>
                <w:color w:val="auto"/>
              </w:rPr>
            </w:pPr>
            <w:r>
              <w:rPr>
                <w:rFonts w:ascii="Arial" w:cs="Arial" w:eastAsia="Arial" w:hAnsi="Arial"/>
                <w:sz w:val="11"/>
                <w:szCs w:val="11"/>
                <w:b w:val="1"/>
                <w:bCs w:val="1"/>
                <w:color w:val="auto"/>
              </w:rPr>
              <w:t>3/30/07</w:t>
            </w:r>
          </w:p>
        </w:tc>
        <w:tc>
          <w:tcPr>
            <w:tcW w:w="1040" w:type="dxa"/>
            <w:vAlign w:val="bottom"/>
            <w:tcBorders>
              <w:top w:val="single" w:sz="8" w:color="auto"/>
              <w:bottom w:val="single" w:sz="8" w:color="auto"/>
              <w:right w:val="single" w:sz="8" w:color="auto"/>
            </w:tcBorders>
          </w:tcPr>
          <w:p>
            <w:pPr>
              <w:jc w:val="right"/>
              <w:ind w:right="317"/>
              <w:spacing w:after="0" w:line="119" w:lineRule="exact"/>
              <w:rPr>
                <w:sz w:val="20"/>
                <w:szCs w:val="20"/>
                <w:color w:val="auto"/>
              </w:rPr>
            </w:pPr>
            <w:r>
              <w:rPr>
                <w:rFonts w:ascii="Arial" w:cs="Arial" w:eastAsia="Arial" w:hAnsi="Arial"/>
                <w:sz w:val="11"/>
                <w:szCs w:val="11"/>
                <w:b w:val="1"/>
                <w:bCs w:val="1"/>
                <w:color w:val="auto"/>
              </w:rPr>
              <w:t>6/29/07</w:t>
            </w:r>
          </w:p>
        </w:tc>
        <w:tc>
          <w:tcPr>
            <w:tcW w:w="1020" w:type="dxa"/>
            <w:vAlign w:val="bottom"/>
            <w:tcBorders>
              <w:top w:val="single" w:sz="8" w:color="auto"/>
              <w:bottom w:val="single" w:sz="8" w:color="auto"/>
              <w:right w:val="single" w:sz="8" w:color="auto"/>
            </w:tcBorders>
          </w:tcPr>
          <w:p>
            <w:pPr>
              <w:jc w:val="right"/>
              <w:ind w:right="297"/>
              <w:spacing w:after="0" w:line="119" w:lineRule="exact"/>
              <w:rPr>
                <w:sz w:val="20"/>
                <w:szCs w:val="20"/>
                <w:color w:val="auto"/>
              </w:rPr>
            </w:pPr>
            <w:r>
              <w:rPr>
                <w:rFonts w:ascii="Arial" w:cs="Arial" w:eastAsia="Arial" w:hAnsi="Arial"/>
                <w:sz w:val="11"/>
                <w:szCs w:val="11"/>
                <w:b w:val="1"/>
                <w:bCs w:val="1"/>
                <w:color w:val="auto"/>
              </w:rPr>
              <w:t>9/28/07</w:t>
            </w:r>
          </w:p>
        </w:tc>
        <w:tc>
          <w:tcPr>
            <w:tcW w:w="960" w:type="dxa"/>
            <w:vAlign w:val="bottom"/>
            <w:tcBorders>
              <w:top w:val="single" w:sz="8" w:color="auto"/>
              <w:bottom w:val="single" w:sz="8" w:color="auto"/>
              <w:right w:val="single" w:sz="8" w:color="auto"/>
            </w:tcBorders>
          </w:tcPr>
          <w:p>
            <w:pPr>
              <w:jc w:val="right"/>
              <w:ind w:right="217"/>
              <w:spacing w:after="0" w:line="119" w:lineRule="exact"/>
              <w:rPr>
                <w:sz w:val="20"/>
                <w:szCs w:val="20"/>
                <w:color w:val="auto"/>
              </w:rPr>
            </w:pPr>
            <w:r>
              <w:rPr>
                <w:rFonts w:ascii="Arial" w:cs="Arial" w:eastAsia="Arial" w:hAnsi="Arial"/>
                <w:sz w:val="11"/>
                <w:szCs w:val="11"/>
                <w:b w:val="1"/>
                <w:bCs w:val="1"/>
                <w:color w:val="auto"/>
              </w:rPr>
              <w:t>12/31/07</w:t>
            </w:r>
          </w:p>
        </w:tc>
        <w:tc>
          <w:tcPr>
            <w:tcW w:w="780" w:type="dxa"/>
            <w:vAlign w:val="bottom"/>
          </w:tcPr>
          <w:p>
            <w:pPr>
              <w:spacing w:after="0"/>
              <w:rPr>
                <w:sz w:val="10"/>
                <w:szCs w:val="10"/>
                <w:color w:val="auto"/>
              </w:rPr>
            </w:pPr>
          </w:p>
        </w:tc>
      </w:tr>
      <w:tr>
        <w:trPr>
          <w:trHeight w:val="148"/>
        </w:trPr>
        <w:tc>
          <w:tcPr>
            <w:tcW w:w="720" w:type="dxa"/>
            <w:vAlign w:val="bottom"/>
            <w:tcBorders>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ind w:left="80"/>
              <w:spacing w:after="0" w:line="148" w:lineRule="exact"/>
              <w:rPr>
                <w:sz w:val="20"/>
                <w:szCs w:val="20"/>
                <w:color w:val="auto"/>
              </w:rPr>
            </w:pPr>
            <w:r>
              <w:rPr>
                <w:rFonts w:ascii="Arial" w:cs="Arial" w:eastAsia="Arial" w:hAnsi="Arial"/>
                <w:sz w:val="13"/>
                <w:szCs w:val="13"/>
                <w:color w:val="auto"/>
              </w:rPr>
              <w:t>Synchronoss Technologies, Inc.</w:t>
            </w:r>
          </w:p>
        </w:tc>
        <w:tc>
          <w:tcPr>
            <w:tcW w:w="900" w:type="dxa"/>
            <w:vAlign w:val="bottom"/>
            <w:tcBorders>
              <w:bottom w:val="single" w:sz="8" w:color="auto"/>
              <w:right w:val="single" w:sz="8" w:color="auto"/>
            </w:tcBorders>
          </w:tcPr>
          <w:p>
            <w:pPr>
              <w:ind w:left="260"/>
              <w:spacing w:after="0" w:line="148" w:lineRule="exact"/>
              <w:rPr>
                <w:sz w:val="20"/>
                <w:szCs w:val="20"/>
                <w:color w:val="auto"/>
              </w:rPr>
            </w:pPr>
            <w:r>
              <w:rPr>
                <w:rFonts w:ascii="Arial" w:cs="Arial" w:eastAsia="Arial" w:hAnsi="Arial"/>
                <w:sz w:val="13"/>
                <w:szCs w:val="13"/>
                <w:color w:val="auto"/>
              </w:rPr>
              <w:t>$100</w:t>
            </w:r>
          </w:p>
        </w:tc>
        <w:tc>
          <w:tcPr>
            <w:tcW w:w="1020" w:type="dxa"/>
            <w:vAlign w:val="bottom"/>
            <w:tcBorders>
              <w:bottom w:val="single" w:sz="8" w:color="auto"/>
              <w:right w:val="single" w:sz="8" w:color="auto"/>
            </w:tcBorders>
          </w:tcPr>
          <w:p>
            <w:pPr>
              <w:jc w:val="right"/>
              <w:ind w:right="277"/>
              <w:spacing w:after="0" w:line="148" w:lineRule="exact"/>
              <w:rPr>
                <w:sz w:val="20"/>
                <w:szCs w:val="20"/>
                <w:color w:val="auto"/>
              </w:rPr>
            </w:pPr>
            <w:r>
              <w:rPr>
                <w:rFonts w:ascii="Arial" w:cs="Arial" w:eastAsia="Arial" w:hAnsi="Arial"/>
                <w:sz w:val="13"/>
                <w:szCs w:val="13"/>
                <w:color w:val="auto"/>
              </w:rPr>
              <w:t>$111.53</w:t>
            </w:r>
          </w:p>
        </w:tc>
        <w:tc>
          <w:tcPr>
            <w:tcW w:w="1020" w:type="dxa"/>
            <w:vAlign w:val="bottom"/>
            <w:tcBorders>
              <w:bottom w:val="single" w:sz="8" w:color="auto"/>
              <w:right w:val="single" w:sz="8" w:color="auto"/>
            </w:tcBorders>
          </w:tcPr>
          <w:p>
            <w:pPr>
              <w:jc w:val="right"/>
              <w:ind w:right="277"/>
              <w:spacing w:after="0" w:line="148" w:lineRule="exact"/>
              <w:rPr>
                <w:sz w:val="20"/>
                <w:szCs w:val="20"/>
                <w:color w:val="auto"/>
              </w:rPr>
            </w:pPr>
            <w:r>
              <w:rPr>
                <w:rFonts w:ascii="Arial" w:cs="Arial" w:eastAsia="Arial" w:hAnsi="Arial"/>
                <w:sz w:val="13"/>
                <w:szCs w:val="13"/>
                <w:color w:val="auto"/>
              </w:rPr>
              <w:t>$161.41</w:t>
            </w:r>
          </w:p>
        </w:tc>
        <w:tc>
          <w:tcPr>
            <w:tcW w:w="1040" w:type="dxa"/>
            <w:vAlign w:val="bottom"/>
            <w:tcBorders>
              <w:bottom w:val="single" w:sz="8" w:color="auto"/>
              <w:right w:val="single" w:sz="8" w:color="auto"/>
            </w:tcBorders>
          </w:tcPr>
          <w:p>
            <w:pPr>
              <w:jc w:val="right"/>
              <w:ind w:right="297"/>
              <w:spacing w:after="0" w:line="148" w:lineRule="exact"/>
              <w:rPr>
                <w:sz w:val="20"/>
                <w:szCs w:val="20"/>
                <w:color w:val="auto"/>
              </w:rPr>
            </w:pPr>
            <w:r>
              <w:rPr>
                <w:rFonts w:ascii="Arial" w:cs="Arial" w:eastAsia="Arial" w:hAnsi="Arial"/>
                <w:sz w:val="13"/>
                <w:szCs w:val="13"/>
                <w:color w:val="auto"/>
              </w:rPr>
              <w:t>$204.71</w:t>
            </w:r>
          </w:p>
        </w:tc>
        <w:tc>
          <w:tcPr>
            <w:tcW w:w="1040" w:type="dxa"/>
            <w:vAlign w:val="bottom"/>
            <w:tcBorders>
              <w:bottom w:val="single" w:sz="8" w:color="auto"/>
              <w:right w:val="single" w:sz="8" w:color="auto"/>
            </w:tcBorders>
          </w:tcPr>
          <w:p>
            <w:pPr>
              <w:jc w:val="right"/>
              <w:ind w:right="297"/>
              <w:spacing w:after="0" w:line="148" w:lineRule="exact"/>
              <w:rPr>
                <w:sz w:val="20"/>
                <w:szCs w:val="20"/>
                <w:color w:val="auto"/>
              </w:rPr>
            </w:pPr>
            <w:r>
              <w:rPr>
                <w:rFonts w:ascii="Arial" w:cs="Arial" w:eastAsia="Arial" w:hAnsi="Arial"/>
                <w:sz w:val="13"/>
                <w:szCs w:val="13"/>
                <w:color w:val="auto"/>
              </w:rPr>
              <w:t>$345.18</w:t>
            </w:r>
          </w:p>
        </w:tc>
        <w:tc>
          <w:tcPr>
            <w:tcW w:w="1020" w:type="dxa"/>
            <w:vAlign w:val="bottom"/>
            <w:tcBorders>
              <w:bottom w:val="single" w:sz="8" w:color="auto"/>
              <w:right w:val="single" w:sz="8" w:color="auto"/>
            </w:tcBorders>
          </w:tcPr>
          <w:p>
            <w:pPr>
              <w:jc w:val="right"/>
              <w:ind w:right="277"/>
              <w:spacing w:after="0" w:line="148" w:lineRule="exact"/>
              <w:rPr>
                <w:sz w:val="20"/>
                <w:szCs w:val="20"/>
                <w:color w:val="auto"/>
              </w:rPr>
            </w:pPr>
            <w:r>
              <w:rPr>
                <w:rFonts w:ascii="Arial" w:cs="Arial" w:eastAsia="Arial" w:hAnsi="Arial"/>
                <w:sz w:val="13"/>
                <w:szCs w:val="13"/>
                <w:color w:val="auto"/>
              </w:rPr>
              <w:t>$494.82</w:t>
            </w:r>
          </w:p>
        </w:tc>
        <w:tc>
          <w:tcPr>
            <w:tcW w:w="960" w:type="dxa"/>
            <w:vAlign w:val="bottom"/>
            <w:tcBorders>
              <w:bottom w:val="single" w:sz="8" w:color="auto"/>
              <w:right w:val="single" w:sz="8" w:color="auto"/>
            </w:tcBorders>
          </w:tcPr>
          <w:p>
            <w:pPr>
              <w:jc w:val="right"/>
              <w:ind w:right="197"/>
              <w:spacing w:after="0" w:line="148" w:lineRule="exact"/>
              <w:rPr>
                <w:sz w:val="20"/>
                <w:szCs w:val="20"/>
                <w:color w:val="auto"/>
              </w:rPr>
            </w:pPr>
            <w:r>
              <w:rPr>
                <w:rFonts w:ascii="Arial" w:cs="Arial" w:eastAsia="Arial" w:hAnsi="Arial"/>
                <w:sz w:val="13"/>
                <w:szCs w:val="13"/>
                <w:color w:val="auto"/>
              </w:rPr>
              <w:t>$416.94</w:t>
            </w:r>
          </w:p>
        </w:tc>
        <w:tc>
          <w:tcPr>
            <w:tcW w:w="780" w:type="dxa"/>
            <w:vAlign w:val="bottom"/>
          </w:tcPr>
          <w:p>
            <w:pPr>
              <w:spacing w:after="0"/>
              <w:rPr>
                <w:sz w:val="12"/>
                <w:szCs w:val="12"/>
                <w:color w:val="auto"/>
              </w:rPr>
            </w:pPr>
          </w:p>
        </w:tc>
      </w:tr>
      <w:tr>
        <w:trPr>
          <w:trHeight w:val="148"/>
        </w:trPr>
        <w:tc>
          <w:tcPr>
            <w:tcW w:w="720" w:type="dxa"/>
            <w:vAlign w:val="bottom"/>
            <w:tcBorders>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ind w:left="80"/>
              <w:spacing w:after="0" w:line="148" w:lineRule="exact"/>
              <w:rPr>
                <w:sz w:val="20"/>
                <w:szCs w:val="20"/>
                <w:color w:val="auto"/>
              </w:rPr>
            </w:pPr>
            <w:r>
              <w:rPr>
                <w:rFonts w:ascii="Arial" w:cs="Arial" w:eastAsia="Arial" w:hAnsi="Arial"/>
                <w:sz w:val="13"/>
                <w:szCs w:val="13"/>
                <w:color w:val="auto"/>
              </w:rPr>
              <w:t>Nasdaq Composite Index</w:t>
            </w:r>
          </w:p>
        </w:tc>
        <w:tc>
          <w:tcPr>
            <w:tcW w:w="900" w:type="dxa"/>
            <w:vAlign w:val="bottom"/>
            <w:tcBorders>
              <w:bottom w:val="single" w:sz="8" w:color="auto"/>
              <w:right w:val="single" w:sz="8" w:color="auto"/>
            </w:tcBorders>
          </w:tcPr>
          <w:p>
            <w:pPr>
              <w:ind w:left="260"/>
              <w:spacing w:after="0" w:line="148" w:lineRule="exact"/>
              <w:rPr>
                <w:sz w:val="20"/>
                <w:szCs w:val="20"/>
                <w:color w:val="auto"/>
              </w:rPr>
            </w:pPr>
            <w:r>
              <w:rPr>
                <w:rFonts w:ascii="Arial" w:cs="Arial" w:eastAsia="Arial" w:hAnsi="Arial"/>
                <w:sz w:val="13"/>
                <w:szCs w:val="13"/>
                <w:color w:val="auto"/>
              </w:rPr>
              <w:t>$100</w:t>
            </w:r>
          </w:p>
        </w:tc>
        <w:tc>
          <w:tcPr>
            <w:tcW w:w="1020" w:type="dxa"/>
            <w:vAlign w:val="bottom"/>
            <w:tcBorders>
              <w:bottom w:val="single" w:sz="8" w:color="auto"/>
              <w:right w:val="single" w:sz="8" w:color="auto"/>
            </w:tcBorders>
          </w:tcPr>
          <w:p>
            <w:pPr>
              <w:jc w:val="right"/>
              <w:ind w:right="277"/>
              <w:spacing w:after="0" w:line="148" w:lineRule="exact"/>
              <w:rPr>
                <w:sz w:val="20"/>
                <w:szCs w:val="20"/>
                <w:color w:val="auto"/>
              </w:rPr>
            </w:pPr>
            <w:r>
              <w:rPr>
                <w:rFonts w:ascii="Arial" w:cs="Arial" w:eastAsia="Arial" w:hAnsi="Arial"/>
                <w:sz w:val="13"/>
                <w:szCs w:val="13"/>
                <w:color w:val="auto"/>
              </w:rPr>
              <w:t>$107.01</w:t>
            </w:r>
          </w:p>
        </w:tc>
        <w:tc>
          <w:tcPr>
            <w:tcW w:w="1020" w:type="dxa"/>
            <w:vAlign w:val="bottom"/>
            <w:tcBorders>
              <w:bottom w:val="single" w:sz="8" w:color="auto"/>
              <w:right w:val="single" w:sz="8" w:color="auto"/>
            </w:tcBorders>
          </w:tcPr>
          <w:p>
            <w:pPr>
              <w:jc w:val="right"/>
              <w:ind w:right="277"/>
              <w:spacing w:after="0" w:line="148" w:lineRule="exact"/>
              <w:rPr>
                <w:sz w:val="20"/>
                <w:szCs w:val="20"/>
                <w:color w:val="auto"/>
              </w:rPr>
            </w:pPr>
            <w:r>
              <w:rPr>
                <w:rFonts w:ascii="Arial" w:cs="Arial" w:eastAsia="Arial" w:hAnsi="Arial"/>
                <w:sz w:val="13"/>
                <w:szCs w:val="13"/>
                <w:color w:val="auto"/>
              </w:rPr>
              <w:t>$114.45</w:t>
            </w:r>
          </w:p>
        </w:tc>
        <w:tc>
          <w:tcPr>
            <w:tcW w:w="1040" w:type="dxa"/>
            <w:vAlign w:val="bottom"/>
            <w:tcBorders>
              <w:bottom w:val="single" w:sz="8" w:color="auto"/>
              <w:right w:val="single" w:sz="8" w:color="auto"/>
            </w:tcBorders>
          </w:tcPr>
          <w:p>
            <w:pPr>
              <w:jc w:val="right"/>
              <w:ind w:right="297"/>
              <w:spacing w:after="0" w:line="148" w:lineRule="exact"/>
              <w:rPr>
                <w:sz w:val="20"/>
                <w:szCs w:val="20"/>
                <w:color w:val="auto"/>
              </w:rPr>
            </w:pPr>
            <w:r>
              <w:rPr>
                <w:rFonts w:ascii="Arial" w:cs="Arial" w:eastAsia="Arial" w:hAnsi="Arial"/>
                <w:sz w:val="13"/>
                <w:szCs w:val="13"/>
                <w:color w:val="auto"/>
              </w:rPr>
              <w:t>$114.75</w:t>
            </w:r>
          </w:p>
        </w:tc>
        <w:tc>
          <w:tcPr>
            <w:tcW w:w="1040" w:type="dxa"/>
            <w:vAlign w:val="bottom"/>
            <w:tcBorders>
              <w:bottom w:val="single" w:sz="8" w:color="auto"/>
              <w:right w:val="single" w:sz="8" w:color="auto"/>
            </w:tcBorders>
          </w:tcPr>
          <w:p>
            <w:pPr>
              <w:jc w:val="right"/>
              <w:ind w:right="297"/>
              <w:spacing w:after="0" w:line="148" w:lineRule="exact"/>
              <w:rPr>
                <w:sz w:val="20"/>
                <w:szCs w:val="20"/>
                <w:color w:val="auto"/>
              </w:rPr>
            </w:pPr>
            <w:r>
              <w:rPr>
                <w:rFonts w:ascii="Arial" w:cs="Arial" w:eastAsia="Arial" w:hAnsi="Arial"/>
                <w:sz w:val="13"/>
                <w:szCs w:val="13"/>
                <w:color w:val="auto"/>
              </w:rPr>
              <w:t>$123.35</w:t>
            </w:r>
          </w:p>
        </w:tc>
        <w:tc>
          <w:tcPr>
            <w:tcW w:w="1020" w:type="dxa"/>
            <w:vAlign w:val="bottom"/>
            <w:tcBorders>
              <w:bottom w:val="single" w:sz="8" w:color="auto"/>
              <w:right w:val="single" w:sz="8" w:color="auto"/>
            </w:tcBorders>
          </w:tcPr>
          <w:p>
            <w:pPr>
              <w:jc w:val="right"/>
              <w:ind w:right="277"/>
              <w:spacing w:after="0" w:line="148" w:lineRule="exact"/>
              <w:rPr>
                <w:sz w:val="20"/>
                <w:szCs w:val="20"/>
                <w:color w:val="auto"/>
              </w:rPr>
            </w:pPr>
            <w:r>
              <w:rPr>
                <w:rFonts w:ascii="Arial" w:cs="Arial" w:eastAsia="Arial" w:hAnsi="Arial"/>
                <w:sz w:val="13"/>
                <w:szCs w:val="13"/>
                <w:color w:val="auto"/>
              </w:rPr>
              <w:t>$128.01</w:t>
            </w:r>
          </w:p>
        </w:tc>
        <w:tc>
          <w:tcPr>
            <w:tcW w:w="960" w:type="dxa"/>
            <w:vAlign w:val="bottom"/>
            <w:tcBorders>
              <w:bottom w:val="single" w:sz="8" w:color="auto"/>
              <w:right w:val="single" w:sz="8" w:color="auto"/>
            </w:tcBorders>
          </w:tcPr>
          <w:p>
            <w:pPr>
              <w:jc w:val="right"/>
              <w:ind w:right="197"/>
              <w:spacing w:after="0" w:line="148" w:lineRule="exact"/>
              <w:rPr>
                <w:sz w:val="20"/>
                <w:szCs w:val="20"/>
                <w:color w:val="auto"/>
              </w:rPr>
            </w:pPr>
            <w:r>
              <w:rPr>
                <w:rFonts w:ascii="Arial" w:cs="Arial" w:eastAsia="Arial" w:hAnsi="Arial"/>
                <w:sz w:val="13"/>
                <w:szCs w:val="13"/>
                <w:color w:val="auto"/>
              </w:rPr>
              <w:t>$125.68</w:t>
            </w:r>
          </w:p>
        </w:tc>
        <w:tc>
          <w:tcPr>
            <w:tcW w:w="780" w:type="dxa"/>
            <w:vAlign w:val="bottom"/>
          </w:tcPr>
          <w:p>
            <w:pPr>
              <w:spacing w:after="0"/>
              <w:rPr>
                <w:sz w:val="12"/>
                <w:szCs w:val="12"/>
                <w:color w:val="auto"/>
              </w:rPr>
            </w:pPr>
          </w:p>
        </w:tc>
      </w:tr>
      <w:tr>
        <w:trPr>
          <w:trHeight w:val="148"/>
        </w:trPr>
        <w:tc>
          <w:tcPr>
            <w:tcW w:w="720" w:type="dxa"/>
            <w:vAlign w:val="bottom"/>
            <w:tcBorders>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ind w:left="80"/>
              <w:spacing w:after="0" w:line="148" w:lineRule="exact"/>
              <w:rPr>
                <w:sz w:val="20"/>
                <w:szCs w:val="20"/>
                <w:color w:val="auto"/>
              </w:rPr>
            </w:pPr>
            <w:r>
              <w:rPr>
                <w:rFonts w:ascii="Arial" w:cs="Arial" w:eastAsia="Arial" w:hAnsi="Arial"/>
                <w:sz w:val="13"/>
                <w:szCs w:val="13"/>
                <w:color w:val="auto"/>
              </w:rPr>
              <w:t>Nasdaq Computer Index</w:t>
            </w:r>
          </w:p>
        </w:tc>
        <w:tc>
          <w:tcPr>
            <w:tcW w:w="900" w:type="dxa"/>
            <w:vAlign w:val="bottom"/>
            <w:tcBorders>
              <w:bottom w:val="single" w:sz="8" w:color="auto"/>
              <w:right w:val="single" w:sz="8" w:color="auto"/>
            </w:tcBorders>
          </w:tcPr>
          <w:p>
            <w:pPr>
              <w:ind w:left="260"/>
              <w:spacing w:after="0" w:line="148" w:lineRule="exact"/>
              <w:rPr>
                <w:sz w:val="20"/>
                <w:szCs w:val="20"/>
                <w:color w:val="auto"/>
              </w:rPr>
            </w:pPr>
            <w:r>
              <w:rPr>
                <w:rFonts w:ascii="Arial" w:cs="Arial" w:eastAsia="Arial" w:hAnsi="Arial"/>
                <w:sz w:val="13"/>
                <w:szCs w:val="13"/>
                <w:color w:val="auto"/>
              </w:rPr>
              <w:t>$100</w:t>
            </w:r>
          </w:p>
        </w:tc>
        <w:tc>
          <w:tcPr>
            <w:tcW w:w="1020" w:type="dxa"/>
            <w:vAlign w:val="bottom"/>
            <w:tcBorders>
              <w:bottom w:val="single" w:sz="8" w:color="auto"/>
              <w:right w:val="single" w:sz="8" w:color="auto"/>
            </w:tcBorders>
          </w:tcPr>
          <w:p>
            <w:pPr>
              <w:jc w:val="right"/>
              <w:ind w:right="277"/>
              <w:spacing w:after="0" w:line="148" w:lineRule="exact"/>
              <w:rPr>
                <w:sz w:val="20"/>
                <w:szCs w:val="20"/>
                <w:color w:val="auto"/>
              </w:rPr>
            </w:pPr>
            <w:r>
              <w:rPr>
                <w:rFonts w:ascii="Arial" w:cs="Arial" w:eastAsia="Arial" w:hAnsi="Arial"/>
                <w:sz w:val="13"/>
                <w:szCs w:val="13"/>
                <w:color w:val="auto"/>
              </w:rPr>
              <w:t>$111.18</w:t>
            </w:r>
          </w:p>
        </w:tc>
        <w:tc>
          <w:tcPr>
            <w:tcW w:w="1020" w:type="dxa"/>
            <w:vAlign w:val="bottom"/>
            <w:tcBorders>
              <w:bottom w:val="single" w:sz="8" w:color="auto"/>
              <w:right w:val="single" w:sz="8" w:color="auto"/>
            </w:tcBorders>
          </w:tcPr>
          <w:p>
            <w:pPr>
              <w:jc w:val="right"/>
              <w:ind w:right="277"/>
              <w:spacing w:after="0" w:line="148" w:lineRule="exact"/>
              <w:rPr>
                <w:sz w:val="20"/>
                <w:szCs w:val="20"/>
                <w:color w:val="auto"/>
              </w:rPr>
            </w:pPr>
            <w:r>
              <w:rPr>
                <w:rFonts w:ascii="Arial" w:cs="Arial" w:eastAsia="Arial" w:hAnsi="Arial"/>
                <w:sz w:val="13"/>
                <w:szCs w:val="13"/>
                <w:color w:val="auto"/>
              </w:rPr>
              <w:t>$118.18</w:t>
            </w:r>
          </w:p>
        </w:tc>
        <w:tc>
          <w:tcPr>
            <w:tcW w:w="1040" w:type="dxa"/>
            <w:vAlign w:val="bottom"/>
            <w:tcBorders>
              <w:bottom w:val="single" w:sz="8" w:color="auto"/>
              <w:right w:val="single" w:sz="8" w:color="auto"/>
            </w:tcBorders>
          </w:tcPr>
          <w:p>
            <w:pPr>
              <w:jc w:val="right"/>
              <w:ind w:right="297"/>
              <w:spacing w:after="0" w:line="148" w:lineRule="exact"/>
              <w:rPr>
                <w:sz w:val="20"/>
                <w:szCs w:val="20"/>
                <w:color w:val="auto"/>
              </w:rPr>
            </w:pPr>
            <w:r>
              <w:rPr>
                <w:rFonts w:ascii="Arial" w:cs="Arial" w:eastAsia="Arial" w:hAnsi="Arial"/>
                <w:sz w:val="13"/>
                <w:szCs w:val="13"/>
                <w:color w:val="auto"/>
              </w:rPr>
              <w:t>$117.46</w:t>
            </w:r>
          </w:p>
        </w:tc>
        <w:tc>
          <w:tcPr>
            <w:tcW w:w="1040" w:type="dxa"/>
            <w:vAlign w:val="bottom"/>
            <w:tcBorders>
              <w:bottom w:val="single" w:sz="8" w:color="auto"/>
              <w:right w:val="single" w:sz="8" w:color="auto"/>
            </w:tcBorders>
          </w:tcPr>
          <w:p>
            <w:pPr>
              <w:jc w:val="right"/>
              <w:ind w:right="297"/>
              <w:spacing w:after="0" w:line="148" w:lineRule="exact"/>
              <w:rPr>
                <w:sz w:val="20"/>
                <w:szCs w:val="20"/>
                <w:color w:val="auto"/>
              </w:rPr>
            </w:pPr>
            <w:r>
              <w:rPr>
                <w:rFonts w:ascii="Arial" w:cs="Arial" w:eastAsia="Arial" w:hAnsi="Arial"/>
                <w:sz w:val="13"/>
                <w:szCs w:val="13"/>
                <w:color w:val="auto"/>
              </w:rPr>
              <w:t>$129.37</w:t>
            </w:r>
          </w:p>
        </w:tc>
        <w:tc>
          <w:tcPr>
            <w:tcW w:w="1020" w:type="dxa"/>
            <w:vAlign w:val="bottom"/>
            <w:tcBorders>
              <w:bottom w:val="single" w:sz="8" w:color="auto"/>
              <w:right w:val="single" w:sz="8" w:color="auto"/>
            </w:tcBorders>
          </w:tcPr>
          <w:p>
            <w:pPr>
              <w:jc w:val="right"/>
              <w:ind w:right="277"/>
              <w:spacing w:after="0" w:line="148" w:lineRule="exact"/>
              <w:rPr>
                <w:sz w:val="20"/>
                <w:szCs w:val="20"/>
                <w:color w:val="auto"/>
              </w:rPr>
            </w:pPr>
            <w:r>
              <w:rPr>
                <w:rFonts w:ascii="Arial" w:cs="Arial" w:eastAsia="Arial" w:hAnsi="Arial"/>
                <w:sz w:val="13"/>
                <w:szCs w:val="13"/>
                <w:color w:val="auto"/>
              </w:rPr>
              <w:t>$136.26</w:t>
            </w:r>
          </w:p>
        </w:tc>
        <w:tc>
          <w:tcPr>
            <w:tcW w:w="960" w:type="dxa"/>
            <w:vAlign w:val="bottom"/>
            <w:tcBorders>
              <w:bottom w:val="single" w:sz="8" w:color="auto"/>
              <w:right w:val="single" w:sz="8" w:color="auto"/>
            </w:tcBorders>
          </w:tcPr>
          <w:p>
            <w:pPr>
              <w:jc w:val="right"/>
              <w:ind w:right="197"/>
              <w:spacing w:after="0" w:line="148" w:lineRule="exact"/>
              <w:rPr>
                <w:sz w:val="20"/>
                <w:szCs w:val="20"/>
                <w:color w:val="auto"/>
              </w:rPr>
            </w:pPr>
            <w:r>
              <w:rPr>
                <w:rFonts w:ascii="Arial" w:cs="Arial" w:eastAsia="Arial" w:hAnsi="Arial"/>
                <w:sz w:val="13"/>
                <w:szCs w:val="13"/>
                <w:color w:val="auto"/>
              </w:rPr>
              <w:t>$144.00</w:t>
            </w:r>
          </w:p>
        </w:tc>
        <w:tc>
          <w:tcPr>
            <w:tcW w:w="780" w:type="dxa"/>
            <w:vAlign w:val="bottom"/>
          </w:tcPr>
          <w:p>
            <w:pPr>
              <w:spacing w:after="0"/>
              <w:rPr>
                <w:sz w:val="12"/>
                <w:szCs w:val="12"/>
                <w:color w:val="auto"/>
              </w:rPr>
            </w:pPr>
          </w:p>
        </w:tc>
      </w:tr>
      <w:tr>
        <w:trPr>
          <w:trHeight w:val="601"/>
        </w:trPr>
        <w:tc>
          <w:tcPr>
            <w:tcW w:w="7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jc w:val="right"/>
              <w:ind w:right="817"/>
              <w:spacing w:after="0"/>
              <w:rPr>
                <w:sz w:val="20"/>
                <w:szCs w:val="20"/>
                <w:color w:val="auto"/>
              </w:rPr>
            </w:pPr>
            <w:r>
              <w:rPr>
                <w:rFonts w:ascii="Arial" w:cs="Arial" w:eastAsia="Arial" w:hAnsi="Arial"/>
                <w:sz w:val="13"/>
                <w:szCs w:val="13"/>
                <w:color w:val="auto"/>
                <w:w w:val="82"/>
              </w:rPr>
              <w:t>25</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5"/>
        </w:trPr>
        <w:tc>
          <w:tcPr>
            <w:tcW w:w="720" w:type="dxa"/>
            <w:vAlign w:val="bottom"/>
            <w:tcBorders>
              <w:bottom w:val="single" w:sz="8" w:color="808080"/>
            </w:tcBorders>
          </w:tcPr>
          <w:p>
            <w:pPr>
              <w:spacing w:after="0"/>
              <w:rPr>
                <w:sz w:val="14"/>
                <w:szCs w:val="14"/>
                <w:color w:val="auto"/>
              </w:rPr>
            </w:pPr>
          </w:p>
        </w:tc>
        <w:tc>
          <w:tcPr>
            <w:tcW w:w="296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102" w:lineRule="exact"/>
        <w:rPr>
          <w:sz w:val="20"/>
          <w:szCs w:val="20"/>
          <w:color w:val="auto"/>
        </w:rPr>
      </w:pPr>
    </w:p>
    <w:p>
      <w:pPr>
        <w:ind w:left="680" w:right="960" w:firstLine="399"/>
        <w:spacing w:after="0" w:line="266" w:lineRule="auto"/>
        <w:rPr>
          <w:sz w:val="20"/>
          <w:szCs w:val="20"/>
          <w:color w:val="auto"/>
        </w:rPr>
      </w:pPr>
      <w:r>
        <w:rPr>
          <w:rFonts w:ascii="Arial" w:cs="Arial" w:eastAsia="Arial" w:hAnsi="Arial"/>
          <w:sz w:val="13"/>
          <w:szCs w:val="13"/>
          <w:color w:val="auto"/>
        </w:rPr>
        <w:t>The following selected financial data should be read in conjunction with our financial statements and related notes and the “Management’s Discussion and Analysis of Financial Condition and Results of Operations” and other financial data included elsewhere in this Form 10-K. The selected statements of operations and the selected balance sheet data are derived from our audited financial statements.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6"/>
          </w:tcPr>
          <w:p>
            <w:pPr>
              <w:jc w:val="right"/>
              <w:ind w:right="27"/>
              <w:spacing w:after="0"/>
              <w:rPr>
                <w:sz w:val="20"/>
                <w:szCs w:val="20"/>
                <w:color w:val="auto"/>
              </w:rPr>
            </w:pPr>
            <w:r>
              <w:rPr>
                <w:rFonts w:ascii="Arial" w:cs="Arial" w:eastAsia="Arial" w:hAnsi="Arial"/>
                <w:sz w:val="11"/>
                <w:szCs w:val="11"/>
                <w:b w:val="1"/>
                <w:bCs w:val="1"/>
                <w:color w:val="auto"/>
                <w:w w:val="88"/>
              </w:rPr>
              <w:t>Year Ended December 31,</w:t>
            </w: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auto"/>
            </w:tcBorders>
            <w:gridSpan w:val="3"/>
          </w:tcPr>
          <w:p>
            <w:pPr>
              <w:jc w:val="right"/>
              <w:ind w:right="176"/>
              <w:spacing w:after="0" w:line="99" w:lineRule="exact"/>
              <w:rPr>
                <w:sz w:val="20"/>
                <w:szCs w:val="20"/>
                <w:color w:val="auto"/>
              </w:rPr>
            </w:pPr>
            <w:r>
              <w:rPr>
                <w:rFonts w:ascii="Arial" w:cs="Arial" w:eastAsia="Arial" w:hAnsi="Arial"/>
                <w:sz w:val="11"/>
                <w:szCs w:val="11"/>
                <w:b w:val="1"/>
                <w:bCs w:val="1"/>
                <w:color w:val="auto"/>
              </w:rPr>
              <w:t>2007</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37"/>
              <w:spacing w:after="0" w:line="99" w:lineRule="exact"/>
              <w:rPr>
                <w:sz w:val="20"/>
                <w:szCs w:val="20"/>
                <w:color w:val="auto"/>
              </w:rPr>
            </w:pPr>
            <w:r>
              <w:rPr>
                <w:rFonts w:ascii="Arial" w:cs="Arial" w:eastAsia="Arial" w:hAnsi="Arial"/>
                <w:sz w:val="11"/>
                <w:szCs w:val="11"/>
                <w:b w:val="1"/>
                <w:bCs w:val="1"/>
                <w:color w:val="auto"/>
                <w:w w:val="81"/>
              </w:rPr>
              <w:t>2006</w:t>
            </w:r>
          </w:p>
        </w:tc>
        <w:tc>
          <w:tcPr>
            <w:tcW w:w="400" w:type="dxa"/>
            <w:vAlign w:val="bottom"/>
            <w:gridSpan w:val="2"/>
            <w:vMerge w:val="restart"/>
          </w:tcPr>
          <w:p>
            <w:pPr>
              <w:spacing w:after="0"/>
              <w:rPr>
                <w:sz w:val="20"/>
                <w:szCs w:val="20"/>
                <w:color w:val="auto"/>
              </w:rPr>
            </w:pPr>
            <w:r>
              <w:rPr>
                <w:rFonts w:ascii="Arial" w:cs="Arial" w:eastAsia="Arial" w:hAnsi="Arial"/>
                <w:sz w:val="9"/>
                <w:szCs w:val="9"/>
                <w:b w:val="1"/>
                <w:bCs w:val="1"/>
                <w:color w:val="auto"/>
                <w:w w:val="79"/>
              </w:rPr>
              <w:t>thousands,</w:t>
            </w: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36"/>
              <w:spacing w:after="0" w:line="99" w:lineRule="exact"/>
              <w:rPr>
                <w:sz w:val="20"/>
                <w:szCs w:val="20"/>
                <w:color w:val="auto"/>
              </w:rPr>
            </w:pPr>
            <w:r>
              <w:rPr>
                <w:rFonts w:ascii="Arial" w:cs="Arial" w:eastAsia="Arial" w:hAnsi="Arial"/>
                <w:sz w:val="11"/>
                <w:szCs w:val="11"/>
                <w:b w:val="1"/>
                <w:bCs w:val="1"/>
                <w:color w:val="auto"/>
                <w:w w:val="89"/>
              </w:rPr>
              <w:t>2005</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6"/>
              <w:spacing w:after="0" w:line="99" w:lineRule="exact"/>
              <w:rPr>
                <w:sz w:val="20"/>
                <w:szCs w:val="20"/>
                <w:color w:val="auto"/>
              </w:rPr>
            </w:pPr>
            <w:r>
              <w:rPr>
                <w:rFonts w:ascii="Arial" w:cs="Arial" w:eastAsia="Arial" w:hAnsi="Arial"/>
                <w:sz w:val="11"/>
                <w:szCs w:val="11"/>
                <w:b w:val="1"/>
                <w:bCs w:val="1"/>
                <w:color w:val="auto"/>
                <w:w w:val="97"/>
              </w:rPr>
              <w:t>2004</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9" w:lineRule="exact"/>
              <w:rPr>
                <w:sz w:val="20"/>
                <w:szCs w:val="20"/>
                <w:color w:val="auto"/>
              </w:rPr>
            </w:pPr>
            <w:r>
              <w:rPr>
                <w:rFonts w:ascii="Arial" w:cs="Arial" w:eastAsia="Arial" w:hAnsi="Arial"/>
                <w:sz w:val="11"/>
                <w:szCs w:val="11"/>
                <w:b w:val="1"/>
                <w:bCs w:val="1"/>
                <w:color w:val="auto"/>
              </w:rPr>
              <w:t>2003</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17"/>
              <w:spacing w:after="0"/>
              <w:rPr>
                <w:sz w:val="20"/>
                <w:szCs w:val="20"/>
                <w:color w:val="auto"/>
              </w:rPr>
            </w:pPr>
            <w:r>
              <w:rPr>
                <w:rFonts w:ascii="Arial" w:cs="Arial" w:eastAsia="Arial" w:hAnsi="Arial"/>
                <w:sz w:val="11"/>
                <w:szCs w:val="11"/>
                <w:b w:val="1"/>
                <w:bCs w:val="1"/>
                <w:color w:val="auto"/>
              </w:rPr>
              <w:t>(In</w:t>
            </w:r>
          </w:p>
        </w:tc>
        <w:tc>
          <w:tcPr>
            <w:tcW w:w="400" w:type="dxa"/>
            <w:vAlign w:val="bottom"/>
            <w:gridSpan w:val="2"/>
            <w:vMerge w:val="continue"/>
          </w:tcPr>
          <w:p>
            <w:pPr>
              <w:spacing w:after="0"/>
              <w:rPr>
                <w:sz w:val="10"/>
                <w:szCs w:val="10"/>
                <w:color w:val="auto"/>
              </w:rPr>
            </w:pPr>
          </w:p>
        </w:tc>
        <w:tc>
          <w:tcPr>
            <w:tcW w:w="600" w:type="dxa"/>
            <w:vAlign w:val="bottom"/>
            <w:gridSpan w:val="3"/>
          </w:tcPr>
          <w:p>
            <w:pPr>
              <w:jc w:val="right"/>
              <w:spacing w:after="0"/>
              <w:rPr>
                <w:sz w:val="20"/>
                <w:szCs w:val="20"/>
                <w:color w:val="auto"/>
              </w:rPr>
            </w:pPr>
            <w:r>
              <w:rPr>
                <w:rFonts w:ascii="Arial" w:cs="Arial" w:eastAsia="Arial" w:hAnsi="Arial"/>
                <w:sz w:val="11"/>
                <w:szCs w:val="11"/>
                <w:b w:val="1"/>
                <w:bCs w:val="1"/>
                <w:color w:val="auto"/>
                <w:w w:val="94"/>
              </w:rPr>
              <w:t>except per</w:t>
            </w:r>
          </w:p>
        </w:tc>
        <w:tc>
          <w:tcPr>
            <w:tcW w:w="520" w:type="dxa"/>
            <w:vAlign w:val="bottom"/>
            <w:gridSpan w:val="3"/>
          </w:tcPr>
          <w:p>
            <w:pPr>
              <w:spacing w:after="0"/>
              <w:rPr>
                <w:sz w:val="20"/>
                <w:szCs w:val="20"/>
                <w:color w:val="auto"/>
              </w:rPr>
            </w:pPr>
            <w:r>
              <w:rPr>
                <w:rFonts w:ascii="Arial" w:cs="Arial" w:eastAsia="Arial" w:hAnsi="Arial"/>
                <w:sz w:val="11"/>
                <w:szCs w:val="11"/>
                <w:b w:val="1"/>
                <w:bCs w:val="1"/>
                <w:color w:val="auto"/>
                <w:w w:val="85"/>
              </w:rPr>
              <w:t>share data)</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Statements of Operations Data:</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860" w:type="dxa"/>
            <w:vAlign w:val="bottom"/>
            <w:gridSpan w:val="2"/>
          </w:tcPr>
          <w:p>
            <w:pPr>
              <w:spacing w:after="0"/>
              <w:rPr>
                <w:sz w:val="20"/>
                <w:szCs w:val="20"/>
                <w:color w:val="auto"/>
              </w:rPr>
            </w:pPr>
            <w:r>
              <w:rPr>
                <w:rFonts w:ascii="Arial" w:cs="Arial" w:eastAsia="Arial" w:hAnsi="Arial"/>
                <w:sz w:val="13"/>
                <w:szCs w:val="13"/>
                <w:color w:val="auto"/>
              </w:rPr>
              <w:t>Net revenues</w:t>
            </w:r>
          </w:p>
        </w:tc>
        <w:tc>
          <w:tcPr>
            <w:tcW w:w="520" w:type="dxa"/>
            <w:vAlign w:val="bottom"/>
            <w:gridSpan w:val="2"/>
          </w:tcPr>
          <w:p>
            <w:pPr>
              <w:jc w:val="right"/>
              <w:ind w:right="6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123,538</w:t>
            </w:r>
          </w:p>
        </w:tc>
        <w:tc>
          <w:tcPr>
            <w:tcW w:w="10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72,406</w:t>
            </w:r>
          </w:p>
        </w:tc>
        <w:tc>
          <w:tcPr>
            <w:tcW w:w="100" w:type="dxa"/>
            <w:vAlign w:val="bottom"/>
          </w:tcPr>
          <w:p>
            <w:pPr>
              <w:spacing w:after="0"/>
              <w:rPr>
                <w:sz w:val="13"/>
                <w:szCs w:val="13"/>
                <w:color w:val="auto"/>
              </w:rPr>
            </w:pPr>
          </w:p>
        </w:tc>
        <w:tc>
          <w:tcPr>
            <w:tcW w:w="4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54,218</w:t>
            </w:r>
          </w:p>
        </w:tc>
        <w:tc>
          <w:tcPr>
            <w:tcW w:w="300" w:type="dxa"/>
            <w:vAlign w:val="bottom"/>
          </w:tcPr>
          <w:p>
            <w:pPr>
              <w:spacing w:after="0"/>
              <w:rPr>
                <w:sz w:val="13"/>
                <w:szCs w:val="13"/>
                <w:color w:val="auto"/>
              </w:rPr>
            </w:pPr>
          </w:p>
        </w:tc>
        <w:tc>
          <w:tcPr>
            <w:tcW w:w="2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27,191</w:t>
            </w:r>
          </w:p>
        </w:tc>
        <w:tc>
          <w:tcPr>
            <w:tcW w:w="220" w:type="dxa"/>
            <w:vAlign w:val="bottom"/>
          </w:tcPr>
          <w:p>
            <w:pPr>
              <w:spacing w:after="0"/>
              <w:rPr>
                <w:sz w:val="13"/>
                <w:szCs w:val="13"/>
                <w:color w:val="auto"/>
              </w:rPr>
            </w:pPr>
          </w:p>
        </w:tc>
        <w:tc>
          <w:tcPr>
            <w:tcW w:w="30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16,550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860" w:type="dxa"/>
            <w:vAlign w:val="bottom"/>
            <w:gridSpan w:val="2"/>
          </w:tcPr>
          <w:p>
            <w:pPr>
              <w:ind w:left="120"/>
              <w:spacing w:after="0"/>
              <w:rPr>
                <w:sz w:val="20"/>
                <w:szCs w:val="20"/>
                <w:color w:val="auto"/>
              </w:rPr>
            </w:pPr>
            <w:r>
              <w:rPr>
                <w:rFonts w:ascii="Arial" w:cs="Arial" w:eastAsia="Arial" w:hAnsi="Arial"/>
                <w:sz w:val="13"/>
                <w:szCs w:val="13"/>
                <w:color w:val="auto"/>
                <w:w w:val="91"/>
              </w:rPr>
              <w:t>Cost of services ($0, $3,714, $8,089, $2,610, and $9 were purchased from related parties</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4860" w:type="dxa"/>
            <w:vAlign w:val="bottom"/>
            <w:gridSpan w:val="2"/>
          </w:tcPr>
          <w:p>
            <w:pPr>
              <w:ind w:left="260"/>
              <w:spacing w:after="0"/>
              <w:rPr>
                <w:sz w:val="20"/>
                <w:szCs w:val="20"/>
                <w:color w:val="auto"/>
              </w:rPr>
            </w:pPr>
            <w:r>
              <w:rPr>
                <w:rFonts w:ascii="Arial" w:cs="Arial" w:eastAsia="Arial" w:hAnsi="Arial"/>
                <w:sz w:val="13"/>
                <w:szCs w:val="13"/>
                <w:color w:val="auto"/>
              </w:rPr>
              <w:t>during 2007, 2006, 2005, 2004 and 2003 respectively)*</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55,305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35,643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30,205</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17,688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7,655</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48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Research and development</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5,689</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3,324</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3,160</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860" w:type="dxa"/>
            <w:vAlign w:val="bottom"/>
            <w:gridSpan w:val="2"/>
          </w:tcPr>
          <w:p>
            <w:pPr>
              <w:ind w:left="120"/>
              <w:spacing w:after="0"/>
              <w:rPr>
                <w:sz w:val="20"/>
                <w:szCs w:val="20"/>
                <w:color w:val="auto"/>
              </w:rPr>
            </w:pPr>
            <w:r>
              <w:rPr>
                <w:rFonts w:ascii="Arial" w:cs="Arial" w:eastAsia="Arial" w:hAnsi="Arial"/>
                <w:sz w:val="13"/>
                <w:szCs w:val="13"/>
                <w:color w:val="auto"/>
              </w:rPr>
              <w:t>Selling, general and administrative</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18,531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10,474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7,544</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4,340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4,053</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8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Depreciation</w:t>
            </w:r>
          </w:p>
        </w:tc>
        <w:tc>
          <w:tcPr>
            <w:tcW w:w="3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5,237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2,305</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2,127</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2,919</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560" w:type="dxa"/>
            <w:vAlign w:val="bottom"/>
            <w:gridSpan w:val="3"/>
          </w:tcPr>
          <w:p>
            <w:pPr>
              <w:ind w:left="680"/>
              <w:spacing w:after="0"/>
              <w:rPr>
                <w:sz w:val="20"/>
                <w:szCs w:val="20"/>
                <w:color w:val="auto"/>
              </w:rPr>
            </w:pPr>
            <w:r>
              <w:rPr>
                <w:rFonts w:ascii="Arial" w:cs="Arial" w:eastAsia="Arial" w:hAnsi="Arial"/>
                <w:sz w:val="13"/>
                <w:szCs w:val="13"/>
                <w:color w:val="auto"/>
              </w:rPr>
              <w:t>Total costs and expenses</w:t>
            </w:r>
          </w:p>
        </w:tc>
        <w:tc>
          <w:tcPr>
            <w:tcW w:w="3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89,702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57,110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45,743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27,479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17,787</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33,836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15,296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8,475</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(288)</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860" w:type="dxa"/>
            <w:vAlign w:val="bottom"/>
            <w:gridSpan w:val="2"/>
          </w:tcPr>
          <w:p>
            <w:pPr>
              <w:ind w:left="120"/>
              <w:spacing w:after="0"/>
              <w:rPr>
                <w:sz w:val="20"/>
                <w:szCs w:val="20"/>
                <w:color w:val="auto"/>
              </w:rPr>
            </w:pPr>
            <w:r>
              <w:rPr>
                <w:rFonts w:ascii="Arial" w:cs="Arial" w:eastAsia="Arial" w:hAnsi="Arial"/>
                <w:sz w:val="13"/>
                <w:szCs w:val="13"/>
                <w:color w:val="auto"/>
              </w:rPr>
              <w:t>Interest and other income</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3,974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2,256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258</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321</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8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Interest expense</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(100)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7"/>
              <w:spacing w:after="0"/>
              <w:rPr>
                <w:sz w:val="20"/>
                <w:szCs w:val="20"/>
                <w:color w:val="auto"/>
              </w:rPr>
            </w:pPr>
            <w:r>
              <w:rPr>
                <w:rFonts w:ascii="Arial" w:cs="Arial" w:eastAsia="Arial" w:hAnsi="Arial"/>
                <w:sz w:val="13"/>
                <w:szCs w:val="13"/>
                <w:color w:val="auto"/>
              </w:rPr>
              <w:t>(133)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(39)</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ind w:left="680"/>
              <w:spacing w:after="0"/>
              <w:rPr>
                <w:sz w:val="20"/>
                <w:szCs w:val="20"/>
                <w:color w:val="auto"/>
              </w:rPr>
            </w:pPr>
            <w:r>
              <w:rPr>
                <w:rFonts w:ascii="Arial" w:cs="Arial" w:eastAsia="Arial" w:hAnsi="Arial"/>
                <w:sz w:val="13"/>
                <w:szCs w:val="13"/>
                <w:color w:val="auto"/>
              </w:rPr>
              <w:t>Income (loss) before income tax expense</w:t>
            </w: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56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37,744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17,452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8,600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(1,044)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48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Income tax (expense) benefit</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4"/>
              </w:rPr>
              <w:t>(13,988)</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(7,310)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3,829</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ind w:left="680"/>
              <w:spacing w:after="0"/>
              <w:rPr>
                <w:sz w:val="20"/>
                <w:szCs w:val="20"/>
                <w:color w:val="auto"/>
              </w:rPr>
            </w:pPr>
            <w:r>
              <w:rPr>
                <w:rFonts w:ascii="Arial" w:cs="Arial" w:eastAsia="Arial" w:hAnsi="Arial"/>
                <w:sz w:val="13"/>
                <w:szCs w:val="13"/>
                <w:color w:val="auto"/>
              </w:rPr>
              <w:t>Net income (loss)</w:t>
            </w: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56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23,756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10,142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12,429</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(1,044)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48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Preferred stock accretion</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5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7"/>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ind w:left="680"/>
              <w:spacing w:after="0"/>
              <w:rPr>
                <w:sz w:val="20"/>
                <w:szCs w:val="20"/>
                <w:color w:val="auto"/>
              </w:rPr>
            </w:pPr>
            <w:r>
              <w:rPr>
                <w:rFonts w:ascii="Arial" w:cs="Arial" w:eastAsia="Arial" w:hAnsi="Arial"/>
                <w:sz w:val="13"/>
                <w:szCs w:val="13"/>
                <w:color w:val="auto"/>
              </w:rPr>
              <w:t>Net income (loss) attributable to common stockholders</w:t>
            </w: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60" w:type="dxa"/>
            <w:vAlign w:val="bottom"/>
            <w:gridSpan w:val="3"/>
            <w:vMerge w:val="continue"/>
          </w:tcPr>
          <w:p>
            <w:pPr>
              <w:spacing w:after="0"/>
              <w:rPr>
                <w:sz w:val="14"/>
                <w:szCs w:val="14"/>
                <w:color w:val="auto"/>
              </w:rPr>
            </w:pPr>
          </w:p>
        </w:tc>
        <w:tc>
          <w:tcPr>
            <w:tcW w:w="520" w:type="dxa"/>
            <w:vAlign w:val="bottom"/>
            <w:gridSpan w:val="2"/>
          </w:tcPr>
          <w:p>
            <w:pPr>
              <w:jc w:val="right"/>
              <w:ind w:right="6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23,756</w:t>
            </w:r>
          </w:p>
        </w:tc>
        <w:tc>
          <w:tcPr>
            <w:tcW w:w="100" w:type="dxa"/>
            <w:vAlign w:val="bottom"/>
          </w:tcPr>
          <w:p>
            <w:pPr>
              <w:spacing w:after="0"/>
              <w:rPr>
                <w:sz w:val="14"/>
                <w:szCs w:val="1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10,142</w:t>
            </w:r>
          </w:p>
        </w:tc>
        <w:tc>
          <w:tcPr>
            <w:tcW w:w="100" w:type="dxa"/>
            <w:vAlign w:val="bottom"/>
          </w:tcPr>
          <w:p>
            <w:pPr>
              <w:spacing w:after="0"/>
              <w:rPr>
                <w:sz w:val="14"/>
                <w:szCs w:val="14"/>
                <w:color w:val="auto"/>
              </w:rPr>
            </w:pPr>
          </w:p>
        </w:tc>
        <w:tc>
          <w:tcPr>
            <w:tcW w:w="4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12,395</w:t>
            </w:r>
          </w:p>
        </w:tc>
        <w:tc>
          <w:tcPr>
            <w:tcW w:w="300" w:type="dxa"/>
            <w:vAlign w:val="bottom"/>
          </w:tcPr>
          <w:p>
            <w:pPr>
              <w:spacing w:after="0"/>
              <w:rPr>
                <w:sz w:val="14"/>
                <w:szCs w:val="14"/>
                <w:color w:val="auto"/>
              </w:rPr>
            </w:pPr>
          </w:p>
        </w:tc>
        <w:tc>
          <w:tcPr>
            <w:tcW w:w="2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(42)</w:t>
            </w:r>
          </w:p>
        </w:tc>
        <w:tc>
          <w:tcPr>
            <w:tcW w:w="30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(1,079)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00" w:type="dxa"/>
            <w:vAlign w:val="bottom"/>
          </w:tcPr>
          <w:p>
            <w:pPr>
              <w:spacing w:after="0"/>
              <w:rPr>
                <w:sz w:val="15"/>
                <w:szCs w:val="15"/>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 attributable to common stockholders per common share:</w:t>
            </w:r>
          </w:p>
        </w:tc>
        <w:tc>
          <w:tcPr>
            <w:tcW w:w="3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860" w:type="dxa"/>
            <w:vAlign w:val="bottom"/>
            <w:gridSpan w:val="2"/>
          </w:tcPr>
          <w:p>
            <w:pPr>
              <w:ind w:left="120"/>
              <w:spacing w:after="0"/>
              <w:rPr>
                <w:sz w:val="20"/>
                <w:szCs w:val="20"/>
                <w:color w:val="auto"/>
              </w:rPr>
            </w:pPr>
            <w:r>
              <w:rPr>
                <w:rFonts w:ascii="Arial" w:cs="Arial" w:eastAsia="Arial" w:hAnsi="Arial"/>
                <w:sz w:val="13"/>
                <w:szCs w:val="13"/>
                <w:color w:val="auto"/>
              </w:rPr>
              <w:t>Basic</w:t>
            </w:r>
          </w:p>
        </w:tc>
        <w:tc>
          <w:tcPr>
            <w:tcW w:w="520" w:type="dxa"/>
            <w:vAlign w:val="bottom"/>
            <w:gridSpan w:val="2"/>
          </w:tcPr>
          <w:p>
            <w:pPr>
              <w:jc w:val="right"/>
              <w:ind w:right="6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0.74</w:t>
            </w:r>
          </w:p>
        </w:tc>
        <w:tc>
          <w:tcPr>
            <w:tcW w:w="10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0.37</w:t>
            </w:r>
          </w:p>
        </w:tc>
        <w:tc>
          <w:tcPr>
            <w:tcW w:w="100" w:type="dxa"/>
            <w:vAlign w:val="bottom"/>
          </w:tcPr>
          <w:p>
            <w:pPr>
              <w:spacing w:after="0"/>
              <w:rPr>
                <w:sz w:val="13"/>
                <w:szCs w:val="13"/>
                <w:color w:val="auto"/>
              </w:rPr>
            </w:pPr>
          </w:p>
        </w:tc>
        <w:tc>
          <w:tcPr>
            <w:tcW w:w="4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0.57</w:t>
            </w:r>
          </w:p>
        </w:tc>
        <w:tc>
          <w:tcPr>
            <w:tcW w:w="300" w:type="dxa"/>
            <w:vAlign w:val="bottom"/>
          </w:tcPr>
          <w:p>
            <w:pPr>
              <w:spacing w:after="0"/>
              <w:rPr>
                <w:sz w:val="13"/>
                <w:szCs w:val="13"/>
                <w:color w:val="auto"/>
              </w:rPr>
            </w:pPr>
          </w:p>
        </w:tc>
        <w:tc>
          <w:tcPr>
            <w:tcW w:w="2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0.00</w:t>
            </w:r>
          </w:p>
        </w:tc>
        <w:tc>
          <w:tcPr>
            <w:tcW w:w="220" w:type="dxa"/>
            <w:vAlign w:val="bottom"/>
          </w:tcPr>
          <w:p>
            <w:pPr>
              <w:spacing w:after="0"/>
              <w:rPr>
                <w:sz w:val="13"/>
                <w:szCs w:val="13"/>
                <w:color w:val="auto"/>
              </w:rPr>
            </w:pPr>
          </w:p>
        </w:tc>
        <w:tc>
          <w:tcPr>
            <w:tcW w:w="30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(0.11)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7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700" w:type="dxa"/>
            <w:vAlign w:val="bottom"/>
          </w:tcPr>
          <w:p>
            <w:pPr>
              <w:spacing w:after="0"/>
              <w:rPr>
                <w:sz w:val="15"/>
                <w:szCs w:val="15"/>
                <w:color w:val="auto"/>
              </w:rPr>
            </w:pPr>
          </w:p>
        </w:tc>
        <w:tc>
          <w:tcPr>
            <w:tcW w:w="48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520" w:type="dxa"/>
            <w:vAlign w:val="bottom"/>
            <w:gridSpan w:val="2"/>
            <w:shd w:val="clear" w:color="auto" w:fill="CCEEFF"/>
          </w:tcPr>
          <w:p>
            <w:pPr>
              <w:jc w:val="right"/>
              <w:ind w:right="6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0.71</w:t>
            </w:r>
          </w:p>
        </w:tc>
        <w:tc>
          <w:tcPr>
            <w:tcW w:w="1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0.35</w:t>
            </w:r>
          </w:p>
        </w:tc>
        <w:tc>
          <w:tcPr>
            <w:tcW w:w="1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0.50</w:t>
            </w:r>
          </w:p>
        </w:tc>
        <w:tc>
          <w:tcPr>
            <w:tcW w:w="3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2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(0.11)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560" w:type="dxa"/>
            <w:vAlign w:val="bottom"/>
            <w:gridSpan w:val="3"/>
          </w:tcPr>
          <w:p>
            <w:pPr>
              <w:ind w:left="680"/>
              <w:spacing w:after="0"/>
              <w:rPr>
                <w:sz w:val="20"/>
                <w:szCs w:val="20"/>
                <w:color w:val="auto"/>
              </w:rPr>
            </w:pPr>
            <w:r>
              <w:rPr>
                <w:rFonts w:ascii="Arial" w:cs="Arial" w:eastAsia="Arial" w:hAnsi="Arial"/>
                <w:sz w:val="13"/>
                <w:szCs w:val="13"/>
                <w:color w:val="auto"/>
              </w:rPr>
              <w:t>Weighted-average common shares outstanding:</w:t>
            </w:r>
          </w:p>
        </w:tc>
        <w:tc>
          <w:tcPr>
            <w:tcW w:w="3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48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3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32,215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27,248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21,916</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10,244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9,838</w:t>
            </w: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00" w:type="dxa"/>
            <w:vAlign w:val="bottom"/>
          </w:tcPr>
          <w:p>
            <w:pPr>
              <w:spacing w:after="0"/>
              <w:rPr>
                <w:sz w:val="15"/>
                <w:szCs w:val="15"/>
                <w:color w:val="auto"/>
              </w:rPr>
            </w:pPr>
          </w:p>
        </w:tc>
        <w:tc>
          <w:tcPr>
            <w:tcW w:w="4860" w:type="dxa"/>
            <w:vAlign w:val="bottom"/>
            <w:gridSpan w:val="2"/>
          </w:tcPr>
          <w:p>
            <w:pPr>
              <w:ind w:left="120"/>
              <w:spacing w:after="0"/>
              <w:rPr>
                <w:sz w:val="20"/>
                <w:szCs w:val="20"/>
                <w:color w:val="auto"/>
              </w:rPr>
            </w:pPr>
            <w:r>
              <w:rPr>
                <w:rFonts w:ascii="Arial" w:cs="Arial" w:eastAsia="Arial" w:hAnsi="Arial"/>
                <w:sz w:val="13"/>
                <w:szCs w:val="13"/>
                <w:color w:val="auto"/>
              </w:rPr>
              <w:t>Diluted</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33,375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29,196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24,921</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10,244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9,838</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3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860" w:type="dxa"/>
            <w:vAlign w:val="bottom"/>
            <w:gridSpan w:val="2"/>
          </w:tcPr>
          <w:p>
            <w:pPr>
              <w:ind w:left="40"/>
              <w:spacing w:after="0"/>
              <w:rPr>
                <w:sz w:val="20"/>
                <w:szCs w:val="20"/>
                <w:color w:val="auto"/>
              </w:rPr>
            </w:pPr>
            <w:r>
              <w:rPr>
                <w:rFonts w:ascii="Arial" w:cs="Arial" w:eastAsia="Arial" w:hAnsi="Arial"/>
                <w:sz w:val="13"/>
                <w:szCs w:val="13"/>
                <w:color w:val="auto"/>
              </w:rPr>
              <w:t>*  Cost of services excludes depreciation which is shown separately.</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5"/>
          </w:tcPr>
          <w:p>
            <w:pPr>
              <w:ind w:left="200"/>
              <w:spacing w:after="0"/>
              <w:rPr>
                <w:sz w:val="20"/>
                <w:szCs w:val="20"/>
                <w:color w:val="auto"/>
              </w:rPr>
            </w:pPr>
            <w:r>
              <w:rPr>
                <w:rFonts w:ascii="Arial" w:cs="Arial" w:eastAsia="Arial" w:hAnsi="Arial"/>
                <w:sz w:val="11"/>
                <w:szCs w:val="11"/>
                <w:b w:val="1"/>
                <w:bCs w:val="1"/>
                <w:color w:val="auto"/>
                <w:w w:val="95"/>
              </w:rPr>
              <w:t>As of December 31,</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36"/>
              <w:spacing w:after="0" w:line="99" w:lineRule="exact"/>
              <w:rPr>
                <w:sz w:val="20"/>
                <w:szCs w:val="20"/>
                <w:color w:val="auto"/>
              </w:rPr>
            </w:pPr>
            <w:r>
              <w:rPr>
                <w:rFonts w:ascii="Arial" w:cs="Arial" w:eastAsia="Arial" w:hAnsi="Arial"/>
                <w:sz w:val="11"/>
                <w:szCs w:val="11"/>
                <w:b w:val="1"/>
                <w:bCs w:val="1"/>
                <w:color w:val="auto"/>
              </w:rPr>
              <w:t>2007</w:t>
            </w:r>
          </w:p>
        </w:tc>
        <w:tc>
          <w:tcPr>
            <w:tcW w:w="1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37"/>
              <w:spacing w:after="0" w:line="99" w:lineRule="exact"/>
              <w:rPr>
                <w:sz w:val="20"/>
                <w:szCs w:val="20"/>
                <w:color w:val="auto"/>
              </w:rPr>
            </w:pPr>
            <w:r>
              <w:rPr>
                <w:rFonts w:ascii="Arial" w:cs="Arial" w:eastAsia="Arial" w:hAnsi="Arial"/>
                <w:sz w:val="11"/>
                <w:szCs w:val="11"/>
                <w:b w:val="1"/>
                <w:bCs w:val="1"/>
                <w:color w:val="auto"/>
              </w:rPr>
              <w:t>2006</w:t>
            </w:r>
          </w:p>
        </w:tc>
        <w:tc>
          <w:tcPr>
            <w:tcW w:w="1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96"/>
              <w:spacing w:after="0" w:line="99" w:lineRule="exact"/>
              <w:rPr>
                <w:sz w:val="20"/>
                <w:szCs w:val="20"/>
                <w:color w:val="auto"/>
              </w:rPr>
            </w:pPr>
            <w:r>
              <w:rPr>
                <w:rFonts w:ascii="Arial" w:cs="Arial" w:eastAsia="Arial" w:hAnsi="Arial"/>
                <w:sz w:val="11"/>
                <w:szCs w:val="11"/>
                <w:b w:val="1"/>
                <w:bCs w:val="1"/>
                <w:color w:val="auto"/>
              </w:rPr>
              <w:t>2005</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6"/>
              <w:spacing w:after="0" w:line="99" w:lineRule="exact"/>
              <w:rPr>
                <w:sz w:val="20"/>
                <w:szCs w:val="20"/>
                <w:color w:val="auto"/>
              </w:rPr>
            </w:pPr>
            <w:r>
              <w:rPr>
                <w:rFonts w:ascii="Arial" w:cs="Arial" w:eastAsia="Arial" w:hAnsi="Arial"/>
                <w:sz w:val="11"/>
                <w:szCs w:val="11"/>
                <w:b w:val="1"/>
                <w:bCs w:val="1"/>
                <w:color w:val="auto"/>
                <w:w w:val="97"/>
              </w:rPr>
              <w:t>2004</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9" w:lineRule="exact"/>
              <w:rPr>
                <w:sz w:val="20"/>
                <w:szCs w:val="20"/>
                <w:color w:val="auto"/>
              </w:rPr>
            </w:pPr>
            <w:r>
              <w:rPr>
                <w:rFonts w:ascii="Arial" w:cs="Arial" w:eastAsia="Arial" w:hAnsi="Arial"/>
                <w:sz w:val="11"/>
                <w:szCs w:val="11"/>
                <w:b w:val="1"/>
                <w:bCs w:val="1"/>
                <w:color w:val="auto"/>
              </w:rPr>
              <w:t>2003</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w w:val="76"/>
              </w:rPr>
              <w:t>(In thousands)</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00" w:type="dxa"/>
            <w:vAlign w:val="bottom"/>
          </w:tcPr>
          <w:p>
            <w:pPr>
              <w:spacing w:after="0"/>
              <w:rPr>
                <w:sz w:val="13"/>
                <w:szCs w:val="13"/>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Balance Sheet Data:</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860" w:type="dxa"/>
            <w:vAlign w:val="bottom"/>
            <w:gridSpan w:val="2"/>
          </w:tcPr>
          <w:p>
            <w:pPr>
              <w:spacing w:after="0"/>
              <w:rPr>
                <w:sz w:val="20"/>
                <w:szCs w:val="20"/>
                <w:color w:val="auto"/>
              </w:rPr>
            </w:pPr>
            <w:r>
              <w:rPr>
                <w:rFonts w:ascii="Arial" w:cs="Arial" w:eastAsia="Arial" w:hAnsi="Arial"/>
                <w:sz w:val="12"/>
                <w:szCs w:val="12"/>
                <w:color w:val="auto"/>
              </w:rPr>
              <w:t>Cash, cash equivalents and marketable securities</w:t>
            </w:r>
          </w:p>
        </w:tc>
        <w:tc>
          <w:tcPr>
            <w:tcW w:w="60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95,857</w:t>
            </w:r>
          </w:p>
        </w:tc>
        <w:tc>
          <w:tcPr>
            <w:tcW w:w="48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78,952</w:t>
            </w:r>
          </w:p>
        </w:tc>
        <w:tc>
          <w:tcPr>
            <w:tcW w:w="460" w:type="dxa"/>
            <w:vAlign w:val="bottom"/>
            <w:gridSpan w:val="3"/>
          </w:tcPr>
          <w:p>
            <w:pPr>
              <w:ind w:left="400"/>
              <w:spacing w:after="0"/>
              <w:rPr>
                <w:sz w:val="20"/>
                <w:szCs w:val="20"/>
                <w:color w:val="auto"/>
              </w:rPr>
            </w:pPr>
            <w:r>
              <w:rPr>
                <w:rFonts w:ascii="Arial" w:cs="Arial" w:eastAsia="Arial" w:hAnsi="Arial"/>
                <w:sz w:val="9"/>
                <w:szCs w:val="9"/>
                <w:color w:val="auto"/>
                <w:w w:val="78"/>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16,002</w:t>
            </w:r>
          </w:p>
        </w:tc>
        <w:tc>
          <w:tcPr>
            <w:tcW w:w="300" w:type="dxa"/>
            <w:vAlign w:val="bottom"/>
          </w:tcPr>
          <w:p>
            <w:pPr>
              <w:spacing w:after="0"/>
              <w:rPr>
                <w:sz w:val="12"/>
                <w:szCs w:val="12"/>
                <w:color w:val="auto"/>
              </w:rPr>
            </w:pPr>
          </w:p>
        </w:tc>
        <w:tc>
          <w:tcPr>
            <w:tcW w:w="2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10,521</w:t>
            </w:r>
          </w:p>
        </w:tc>
        <w:tc>
          <w:tcPr>
            <w:tcW w:w="220" w:type="dxa"/>
            <w:vAlign w:val="bottom"/>
          </w:tcPr>
          <w:p>
            <w:pPr>
              <w:spacing w:after="0"/>
              <w:rPr>
                <w:sz w:val="12"/>
                <w:szCs w:val="12"/>
                <w:color w:val="auto"/>
              </w:rPr>
            </w:pPr>
          </w:p>
        </w:tc>
        <w:tc>
          <w:tcPr>
            <w:tcW w:w="300" w:type="dxa"/>
            <w:vAlign w:val="bottom"/>
            <w:gridSpan w:val="2"/>
          </w:tcPr>
          <w:p>
            <w:pPr>
              <w:ind w:left="18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13,556</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Working capital</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113,004</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86,915</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21,774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8,077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7,944</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860" w:type="dxa"/>
            <w:vAlign w:val="bottom"/>
            <w:gridSpan w:val="2"/>
          </w:tcPr>
          <w:p>
            <w:pPr>
              <w:spacing w:after="0"/>
              <w:rPr>
                <w:sz w:val="20"/>
                <w:szCs w:val="20"/>
                <w:color w:val="auto"/>
              </w:rPr>
            </w:pPr>
            <w:r>
              <w:rPr>
                <w:rFonts w:ascii="Arial" w:cs="Arial" w:eastAsia="Arial" w:hAnsi="Arial"/>
                <w:sz w:val="12"/>
                <w:szCs w:val="12"/>
                <w:color w:val="auto"/>
              </w:rPr>
              <w:t>Total assets</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139,018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104,925</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40,208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22,784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22,402</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stockholders’ equity (deficiency)</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126,791</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95,273</w:t>
            </w:r>
          </w:p>
        </w:tc>
        <w:tc>
          <w:tcPr>
            <w:tcW w:w="460" w:type="dxa"/>
            <w:vAlign w:val="bottom"/>
            <w:gridSpan w:val="3"/>
            <w:shd w:val="clear" w:color="auto" w:fill="CCEEFF"/>
          </w:tcPr>
          <w:p>
            <w:pPr>
              <w:ind w:left="400"/>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27"/>
              <w:spacing w:after="0"/>
              <w:rPr>
                <w:sz w:val="20"/>
                <w:szCs w:val="20"/>
                <w:color w:val="auto"/>
              </w:rPr>
            </w:pPr>
            <w:r>
              <w:rPr>
                <w:rFonts w:ascii="Arial" w:cs="Arial" w:eastAsia="Arial" w:hAnsi="Arial"/>
                <w:sz w:val="12"/>
                <w:szCs w:val="12"/>
                <w:color w:val="auto"/>
              </w:rPr>
              <w:t>(4,864)</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(17,916)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(17,783)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3"/>
        </w:trPr>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0" w:type="dxa"/>
            <w:vAlign w:val="bottom"/>
          </w:tcPr>
          <w:p>
            <w:pPr>
              <w:jc w:val="right"/>
              <w:ind w:right="96"/>
              <w:spacing w:after="0"/>
              <w:rPr>
                <w:sz w:val="20"/>
                <w:szCs w:val="20"/>
                <w:color w:val="auto"/>
              </w:rPr>
            </w:pPr>
            <w:r>
              <w:rPr>
                <w:rFonts w:ascii="Arial" w:cs="Arial" w:eastAsia="Arial" w:hAnsi="Arial"/>
                <w:sz w:val="13"/>
                <w:szCs w:val="13"/>
                <w:color w:val="auto"/>
              </w:rPr>
              <w:t>26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1280" w:type="dxa"/>
            <w:vAlign w:val="bottom"/>
            <w:tcBorders>
              <w:bottom w:val="single" w:sz="8" w:color="808080"/>
            </w:tcBorders>
          </w:tcPr>
          <w:p>
            <w:pPr>
              <w:spacing w:after="0"/>
              <w:rPr>
                <w:sz w:val="14"/>
                <w:szCs w:val="14"/>
                <w:color w:val="auto"/>
              </w:rPr>
            </w:pPr>
          </w:p>
        </w:tc>
        <w:tc>
          <w:tcPr>
            <w:tcW w:w="35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This annual report on Form 10-K, particularly Management’s Discussion and Analysis of Financial Condition and Results of Operations set forth below, contains “forward-looking statements” within the meaning of the Private Securities Litigation Reform Act of 1995. These statements are subject to risks and uncertainties and are based on the beliefs and assumptions of our management as of the date hereof based on information currently available to our management. Use of words such as “believes,” “expects,” “anticipates,” “intends,” “plans,” “should, “continues,” “likely” or similar expressions, indicate a forward-looking statement. Forward-looking statements are not guarantees of future performance and involve risks, uncertainties and assumptions. Actual results may differ materially from the forward-looking statements we make. We caution investors not to place substantial reliance on the forward-looking statements included in this report on Form 10-K. These statements speak only as of the date of this report (unless another date is indicated), and we undertake no obligation to update or revise the statements in light of future developments.</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2"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are a leading provider of on-demand multi-channel transaction management platforms that enable CSPs to automate new subscriber activation, order management and service provisioning. Our ActivationNow</w:t>
      </w:r>
      <w:r>
        <w:rPr>
          <w:rFonts w:ascii="Arial" w:cs="Arial" w:eastAsia="Arial" w:hAnsi="Arial"/>
          <w:sz w:val="10"/>
          <w:szCs w:val="10"/>
          <w:color w:val="auto"/>
        </w:rPr>
        <w:t>®</w:t>
      </w:r>
      <w:r>
        <w:rPr>
          <w:rFonts w:ascii="Arial" w:cs="Arial" w:eastAsia="Arial" w:hAnsi="Arial"/>
          <w:sz w:val="12"/>
          <w:szCs w:val="12"/>
          <w:color w:val="auto"/>
        </w:rPr>
        <w:t xml:space="preserve"> and ConvergenceNow</w:t>
      </w:r>
      <w:r>
        <w:rPr>
          <w:rFonts w:ascii="Arial" w:cs="Arial" w:eastAsia="Arial" w:hAnsi="Arial"/>
          <w:sz w:val="10"/>
          <w:szCs w:val="10"/>
          <w:color w:val="auto"/>
        </w:rPr>
        <w:t>®</w:t>
      </w:r>
      <w:r>
        <w:rPr>
          <w:rFonts w:ascii="Arial" w:cs="Arial" w:eastAsia="Arial" w:hAnsi="Arial"/>
          <w:sz w:val="12"/>
          <w:szCs w:val="12"/>
          <w:color w:val="auto"/>
        </w:rPr>
        <w:t xml:space="preserve"> platforms provide seamless integration between customer-facing applications and “back-office” or infrastructure-related systems and processes. Our CSP customers rely on our internet based technology to automate the process of activating customers and to deliver additional communications services including new service offerings and ongoing customer care. We have designed our platforms to be flexible to enable multiple communication services including wireless VoIP, wireline and cable to be managed through multiple distribution channels including e-commerce, CSP stores and other retail outlets, etc., allowing us to meet the rapidly changing and converging services offered by CSPs. By simplifying the processes associated with managing the customer experience for ordering and activating services through the automation and integration of disparate systems, we enable CSPs to acquire, retain and service customers quickly, reliably and cost-effectively. We enable service providers to drive growth in new and existing markets while delivering an improved customer experience at lower costs.</w:t>
      </w:r>
    </w:p>
    <w:p>
      <w:pPr>
        <w:spacing w:after="0" w:line="62" w:lineRule="exact"/>
        <w:rPr>
          <w:sz w:val="20"/>
          <w:szCs w:val="20"/>
          <w:color w:val="auto"/>
        </w:rPr>
      </w:pPr>
    </w:p>
    <w:p>
      <w:pPr>
        <w:ind w:left="680" w:right="180" w:firstLine="399"/>
        <w:spacing w:after="0" w:line="266" w:lineRule="auto"/>
        <w:rPr>
          <w:sz w:val="20"/>
          <w:szCs w:val="20"/>
          <w:color w:val="auto"/>
        </w:rPr>
      </w:pPr>
      <w:r>
        <w:rPr>
          <w:rFonts w:ascii="Arial" w:cs="Arial" w:eastAsia="Arial" w:hAnsi="Arial"/>
          <w:sz w:val="13"/>
          <w:szCs w:val="13"/>
          <w:color w:val="auto"/>
        </w:rPr>
        <w:t>Our industry-leading customers include wireline, wireless, VoIP and cable MSO companies including AT&amp;T Mobility Inc., Sprint Nextel, Embarq, Vonage Holdings, Cablevision Systems Corporation, Level 3 Communications, Covad, Charter Communications, Verizon Business Solutions, Clearwire, Time Warner Cable and Comcast. These customers use our platforms and technology and services to manage both consumer and business customers, including over 300 of the Fortune 500 companies.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Revenues</w:t>
      </w:r>
    </w:p>
    <w:p>
      <w:pPr>
        <w:spacing w:after="0" w:line="98" w:lineRule="exact"/>
        <w:rPr>
          <w:sz w:val="20"/>
          <w:szCs w:val="20"/>
          <w:color w:val="auto"/>
        </w:rPr>
      </w:pPr>
    </w:p>
    <w:p>
      <w:pPr>
        <w:ind w:left="680" w:right="40" w:firstLine="399"/>
        <w:spacing w:after="0" w:line="266" w:lineRule="auto"/>
        <w:rPr>
          <w:sz w:val="20"/>
          <w:szCs w:val="20"/>
          <w:color w:val="auto"/>
        </w:rPr>
      </w:pPr>
      <w:r>
        <w:rPr>
          <w:rFonts w:ascii="Arial" w:cs="Arial" w:eastAsia="Arial" w:hAnsi="Arial"/>
          <w:sz w:val="13"/>
          <w:szCs w:val="13"/>
          <w:color w:val="auto"/>
        </w:rPr>
        <w:t>We generate a substantial portion of our revenues on a per-transaction basis, most of which is derived from contracts that extend up to 48 months from execution. We have increased our revenues rapidly, growing at a compound annual growth rate of 67% from 2001 to 2007. For the year ended December 31, 2007, we derived approximately 85% of our revenues from transactions processed. The remainder of our revenues were generated by professional services and subscription revenues.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Costs and Expenses</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costs and expenses consist of cost of services, research and development, selling, general and administrative and depreciation.</w:t>
      </w:r>
    </w:p>
    <w:p>
      <w:pPr>
        <w:spacing w:after="0" w:line="98" w:lineRule="exact"/>
        <w:rPr>
          <w:sz w:val="20"/>
          <w:szCs w:val="20"/>
          <w:color w:val="auto"/>
        </w:rPr>
      </w:pPr>
    </w:p>
    <w:p>
      <w:pPr>
        <w:ind w:left="680" w:right="20" w:firstLine="399"/>
        <w:spacing w:after="0" w:line="291" w:lineRule="auto"/>
        <w:rPr>
          <w:sz w:val="20"/>
          <w:szCs w:val="20"/>
          <w:color w:val="auto"/>
        </w:rPr>
      </w:pPr>
      <w:r>
        <w:rPr>
          <w:rFonts w:ascii="Arial" w:cs="Arial" w:eastAsia="Arial" w:hAnsi="Arial"/>
          <w:sz w:val="12"/>
          <w:szCs w:val="12"/>
          <w:color w:val="auto"/>
        </w:rPr>
        <w:t>Cost of services includes all direct materials, direct labor and those indirect costs related to revenues such as indirect labor, materials and supplies. Our primary cost of services is related to our information technology and systems department, including network costs, data center maintenance, database management and data processing costs, as well as personnel costs associated with service implementation, customer deployment and customer care. Also included in cost of services are costs associated with our exception handling centers and the maintenance of those centers. Currently, we utilize a combination of employees and third-party providers to process transactions through these centers.</w:t>
      </w: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Research and development costs are expensed as incurred, unless they meet GAAP criteria for deferral and amortization. Software development costs incurred prior to the establishment of technological feasibility do not meet these criteria, and are expensed as incurred. No costs were deferred during the years ended December 31, 2007, 2006 and 2005. Research and development expense consists primarily of costs related to personnel, including salaries and other personnel-related expenses, consulting fees and the cost of facilities, computer and support services used in service technology development. We also expense costs relating to developing modifications and minor enhancements of its existing technology and services.</w:t>
      </w:r>
    </w:p>
    <w:p>
      <w:pPr>
        <w:spacing w:after="0" w:line="70"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Selling expense consists of personnel costs including salaries, sales commissions, sales operations and other personnel-related expense, travel and related expense, trade shows, costs of communications equipment and support services, facilities costs, consulting fees and costs of marketing programs, such as Internet and print. General and administrative expense consists primarily of salaries and other personnel-related expense for our executive, administrative, legal, finance and human resources functions, facilities, professional services fees, certain audit, tax and bad debt expense.</w:t>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Depreciation relates to our property and equipment and includes our network infrastructure and facilities.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Current Trends Affecting Our Results of Operations</w:t>
      </w:r>
    </w:p>
    <w:p>
      <w:pPr>
        <w:spacing w:after="0" w:line="102" w:lineRule="exact"/>
        <w:rPr>
          <w:sz w:val="20"/>
          <w:szCs w:val="20"/>
          <w:color w:val="auto"/>
        </w:rPr>
      </w:pPr>
    </w:p>
    <w:p>
      <w:pPr>
        <w:ind w:left="680" w:right="80" w:firstLine="399"/>
        <w:spacing w:after="0" w:line="291" w:lineRule="auto"/>
        <w:rPr>
          <w:sz w:val="20"/>
          <w:szCs w:val="20"/>
          <w:color w:val="auto"/>
        </w:rPr>
      </w:pPr>
      <w:r>
        <w:rPr>
          <w:rFonts w:ascii="Arial" w:cs="Arial" w:eastAsia="Arial" w:hAnsi="Arial"/>
          <w:sz w:val="12"/>
          <w:szCs w:val="12"/>
          <w:color w:val="auto"/>
        </w:rPr>
        <w:t>We have experienced increased demand for our services, which has been driven by market trends such as various forms of order provisioning, local number portability, the implementation of new technologies, subscriber growth, competitive churn, network changes and consolidations in the industry. In particular, the emergence of wireless order provisioning of e-commerce transactions as well as VoIP, local number portability and the convergence of bundled services has increased the need for our services and will continue to be a factor contributing to competitive churn. In addition, the increasing demand for converged services has led to the growth and mainstream adoption of smart phones.</w:t>
      </w:r>
    </w:p>
    <w:p>
      <w:pPr>
        <w:spacing w:after="0" w:line="53"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To support the growth driven by the favorable industry trends mentioned above, we continue to look for opportunities to improve our operating efficiencies, such as the utilization of offshore technical and non-technical resources for our exception handling center management. We believe that these opportunities will continue to provide future benefits and position us to support revenue growth. In addition, we anticipate further automation of the transactions generated by our more mature customers and additional transaction types. These development efforts are expected to reduce exception handling costs.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2" w:lineRule="exact"/>
        <w:rPr>
          <w:sz w:val="20"/>
          <w:szCs w:val="20"/>
          <w:color w:val="auto"/>
        </w:rPr>
      </w:pPr>
    </w:p>
    <w:p>
      <w:pPr>
        <w:ind w:left="680" w:right="40" w:firstLine="399"/>
        <w:spacing w:after="0" w:line="283" w:lineRule="auto"/>
        <w:rPr>
          <w:sz w:val="20"/>
          <w:szCs w:val="20"/>
          <w:color w:val="auto"/>
        </w:rPr>
      </w:pPr>
      <w:r>
        <w:rPr>
          <w:rFonts w:ascii="Arial" w:cs="Arial" w:eastAsia="Arial" w:hAnsi="Arial"/>
          <w:sz w:val="12"/>
          <w:szCs w:val="12"/>
          <w:color w:val="auto"/>
        </w:rPr>
        <w:t>The discussion and analysis of our financial condition and results of operations are based on our financial statements, which have been prepared in accordance with U.S. generally accepted accounting principles (“GAAP”). The preparation of these financial statements in accordance with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Securities and Exchange Commission (“SEC”) considers an accounting policy to be critical if it is important to a company’s financial condition and results of operations, and if it requires significant judgment and estimates on the part of management in its application. We have discussed the selection and development of the critical accounting policies with the audit committee of our board of directors, and the audit committee has reviewed our related disclosures in this Form 10-K. Although we believe that our judgments and estimates are appropriate, correct and reasonable under the circumstances, actual results may differ from those estimates.</w:t>
      </w:r>
    </w:p>
    <w:p>
      <w:pPr>
        <w:spacing w:after="0" w:line="57"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We believe the following to be our critical accounting policies because they are important to the portrayal of our financial condition and results of operations and they require critical management judgments and estimates about matters that are uncertain. If actual results or events differ materially from those contemplated by us in making these estimates, our reported financial condition and results of operations for future periods could be materially affected. See “Risk Factors” for certain matters bearing risks on our future results of operations.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 Recognition and Deferred Revenue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provide services principally on a transactional basis or, at times, on a fixed fee basis and recognize the revenues as the services are performed or delivered as discussed below:</w:t>
      </w:r>
    </w:p>
    <w:p>
      <w:pPr>
        <w:spacing w:after="0" w:line="109" w:lineRule="exact"/>
        <w:rPr>
          <w:sz w:val="20"/>
          <w:szCs w:val="20"/>
          <w:color w:val="auto"/>
        </w:rPr>
      </w:pPr>
    </w:p>
    <w:p>
      <w:pPr>
        <w:ind w:left="680" w:right="260" w:firstLine="399"/>
        <w:spacing w:after="0" w:line="266" w:lineRule="auto"/>
        <w:rPr>
          <w:sz w:val="20"/>
          <w:szCs w:val="20"/>
          <w:color w:val="auto"/>
        </w:rPr>
      </w:pPr>
      <w:r>
        <w:rPr>
          <w:rFonts w:ascii="Arial" w:cs="Arial" w:eastAsia="Arial" w:hAnsi="Arial"/>
          <w:sz w:val="13"/>
          <w:szCs w:val="13"/>
          <w:i w:val="1"/>
          <w:iCs w:val="1"/>
          <w:color w:val="auto"/>
        </w:rPr>
        <w:t xml:space="preserve">Transactional Service Arrangements: </w:t>
      </w:r>
      <w:r>
        <w:rPr>
          <w:rFonts w:ascii="Arial" w:cs="Arial" w:eastAsia="Arial" w:hAnsi="Arial"/>
          <w:sz w:val="13"/>
          <w:szCs w:val="13"/>
          <w:color w:val="auto"/>
        </w:rPr>
        <w:t>Transaction revenues consist of revenues derived from the processing of transactions through our service platforms and represented</w:t>
      </w:r>
      <w:r>
        <w:rPr>
          <w:rFonts w:ascii="Arial" w:cs="Arial" w:eastAsia="Arial" w:hAnsi="Arial"/>
          <w:sz w:val="13"/>
          <w:szCs w:val="13"/>
          <w:i w:val="1"/>
          <w:iCs w:val="1"/>
          <w:color w:val="auto"/>
        </w:rPr>
        <w:t xml:space="preserve"> </w:t>
      </w:r>
      <w:r>
        <w:rPr>
          <w:rFonts w:ascii="Arial" w:cs="Arial" w:eastAsia="Arial" w:hAnsi="Arial"/>
          <w:sz w:val="13"/>
          <w:szCs w:val="13"/>
          <w:color w:val="auto"/>
        </w:rPr>
        <w:t>approximately 85% of our revenues for the years ended December 31, 2007 and 2006. Transaction service arrangements include services such as equipment orders, new account set-up, number port requests, credit checks and inventory management.</w:t>
      </w:r>
    </w:p>
    <w:p>
      <w:pPr>
        <w:spacing w:after="0" w:line="67" w:lineRule="exact"/>
        <w:rPr>
          <w:sz w:val="20"/>
          <w:szCs w:val="20"/>
          <w:color w:val="auto"/>
        </w:rPr>
      </w:pPr>
    </w:p>
    <w:p>
      <w:pPr>
        <w:jc w:val="both"/>
        <w:ind w:left="680" w:right="140" w:firstLine="399"/>
        <w:spacing w:after="0" w:line="266" w:lineRule="auto"/>
        <w:rPr>
          <w:sz w:val="20"/>
          <w:szCs w:val="20"/>
          <w:color w:val="auto"/>
        </w:rPr>
      </w:pPr>
      <w:r>
        <w:rPr>
          <w:rFonts w:ascii="Arial" w:cs="Arial" w:eastAsia="Arial" w:hAnsi="Arial"/>
          <w:sz w:val="13"/>
          <w:szCs w:val="13"/>
          <w:color w:val="auto"/>
        </w:rPr>
        <w:t>Transaction revenues are principally based on a set price per transaction and are recognized based on the number of transactions processed during each reporting period. Revenues are recorded based on the total number of transactions processed at the applicable price established in the relevant contract. The total amount of revenues recognized is based primarily on the volume of transactions. As automation rates increase, transaction costs for the CSP decrease.</w:t>
      </w:r>
    </w:p>
    <w:p>
      <w:pPr>
        <w:spacing w:after="0" w:line="67" w:lineRule="exact"/>
        <w:rPr>
          <w:sz w:val="20"/>
          <w:szCs w:val="20"/>
          <w:color w:val="auto"/>
        </w:rPr>
      </w:pPr>
    </w:p>
    <w:p>
      <w:pPr>
        <w:ind w:left="680" w:right="100" w:firstLine="399"/>
        <w:spacing w:after="0" w:line="259" w:lineRule="auto"/>
        <w:rPr>
          <w:sz w:val="20"/>
          <w:szCs w:val="20"/>
          <w:color w:val="auto"/>
        </w:rPr>
      </w:pPr>
      <w:r>
        <w:rPr>
          <w:rFonts w:ascii="Arial" w:cs="Arial" w:eastAsia="Arial" w:hAnsi="Arial"/>
          <w:sz w:val="13"/>
          <w:szCs w:val="13"/>
          <w:color w:val="auto"/>
        </w:rPr>
        <w:t>Many of our contracts guarantee minimum volume transactions from the customer. In these instances, if the customer’s total transaction volume for the period is less than the contractual amount, we record revenues at the minimum guaranteed amount. At times, transaction revenues may also include billings to customers based on the number of individuals dedicated to processing transactions. Set-up fees for transactional service arrangements are deferred and recognized on a straight-line basis over the life of the contract since these amounts would not have been paid by the customer without the related transactional service arrangement. Revenues are presented net of discounts, which are volume level driven, or credits, which are performance driven, and are determined in the period in which the volume thresholds are met or the services are provided. Deferred revenues represent principally setup fees with revenues recognized over the life of the contract.</w:t>
      </w:r>
    </w:p>
    <w:p>
      <w:pPr>
        <w:spacing w:after="0" w:line="70"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i w:val="1"/>
          <w:iCs w:val="1"/>
          <w:color w:val="auto"/>
        </w:rPr>
        <w:t xml:space="preserve">Professional Service Arrangements: </w:t>
      </w:r>
      <w:r>
        <w:rPr>
          <w:rFonts w:ascii="Arial" w:cs="Arial" w:eastAsia="Arial" w:hAnsi="Arial"/>
          <w:sz w:val="13"/>
          <w:szCs w:val="13"/>
          <w:color w:val="auto"/>
        </w:rPr>
        <w:t>Professional service revenues represented approximately 14% and 13% of our revenues for the years ended December 31, 2007 and 2006,</w:t>
      </w:r>
      <w:r>
        <w:rPr>
          <w:rFonts w:ascii="Arial" w:cs="Arial" w:eastAsia="Arial" w:hAnsi="Arial"/>
          <w:sz w:val="13"/>
          <w:szCs w:val="13"/>
          <w:i w:val="1"/>
          <w:iCs w:val="1"/>
          <w:color w:val="auto"/>
        </w:rPr>
        <w:t xml:space="preserve"> </w:t>
      </w:r>
      <w:r>
        <w:rPr>
          <w:rFonts w:ascii="Arial" w:cs="Arial" w:eastAsia="Arial" w:hAnsi="Arial"/>
          <w:sz w:val="13"/>
          <w:szCs w:val="13"/>
          <w:color w:val="auto"/>
        </w:rPr>
        <w:t>respectively. Professional services, when sold with transactional service arrangements, are accounted for separately when these services have value to the customer on a standalone basis and there is objective and reliable evidence of the fair value of the professional services. When accounted for separately, professional service revenues are recognized on a monthly basis, as services are performed and all other elements of revenue recognition have been satisfied.</w:t>
      </w:r>
    </w:p>
    <w:p>
      <w:pPr>
        <w:spacing w:after="0" w:line="69" w:lineRule="exact"/>
        <w:rPr>
          <w:sz w:val="20"/>
          <w:szCs w:val="20"/>
          <w:color w:val="auto"/>
        </w:rPr>
      </w:pPr>
    </w:p>
    <w:p>
      <w:pPr>
        <w:ind w:left="680" w:right="120" w:firstLine="399"/>
        <w:spacing w:after="0" w:line="262" w:lineRule="auto"/>
        <w:rPr>
          <w:sz w:val="20"/>
          <w:szCs w:val="20"/>
          <w:color w:val="auto"/>
        </w:rPr>
      </w:pPr>
      <w:r>
        <w:rPr>
          <w:rFonts w:ascii="Arial" w:cs="Arial" w:eastAsia="Arial" w:hAnsi="Arial"/>
          <w:sz w:val="13"/>
          <w:szCs w:val="13"/>
          <w:color w:val="auto"/>
        </w:rPr>
        <w:t>In determining whether professional services can be accounted for separately from transaction service revenues, we consider the following factors for each professional services agreement: availability of the consulting services from other vendors, whether objective and reliable evidence for fair value exists of the undelivered elements, the nature of the consulting services, the timing of when the consulting contract was signed in comparison to the transaction service start date and the contractual independence of the transactional service from the professional services.</w:t>
      </w:r>
    </w:p>
    <w:p>
      <w:pPr>
        <w:spacing w:after="0" w:line="69" w:lineRule="exact"/>
        <w:rPr>
          <w:sz w:val="20"/>
          <w:szCs w:val="20"/>
          <w:color w:val="auto"/>
        </w:rPr>
      </w:pPr>
    </w:p>
    <w:p>
      <w:pPr>
        <w:ind w:left="680" w:right="540" w:firstLine="399"/>
        <w:spacing w:after="0" w:line="279" w:lineRule="auto"/>
        <w:rPr>
          <w:sz w:val="20"/>
          <w:szCs w:val="20"/>
          <w:color w:val="auto"/>
        </w:rPr>
      </w:pPr>
      <w:r>
        <w:rPr>
          <w:rFonts w:ascii="Arial" w:cs="Arial" w:eastAsia="Arial" w:hAnsi="Arial"/>
          <w:sz w:val="13"/>
          <w:szCs w:val="13"/>
          <w:color w:val="auto"/>
        </w:rPr>
        <w:t>If a professional service arrangement does not qualify for separate accounting, we would recognize the professional service revenues ratably over the remaining term of the transaction contract. There were no such arrangements for the years ended December 31, 2007, 2006 and 2005.</w:t>
      </w:r>
    </w:p>
    <w:p>
      <w:pPr>
        <w:spacing w:after="0" w:line="58" w:lineRule="exact"/>
        <w:rPr>
          <w:sz w:val="20"/>
          <w:szCs w:val="20"/>
          <w:color w:val="auto"/>
        </w:rPr>
      </w:pPr>
    </w:p>
    <w:p>
      <w:pPr>
        <w:ind w:left="680" w:right="40" w:firstLine="399"/>
        <w:spacing w:after="0" w:line="266" w:lineRule="auto"/>
        <w:rPr>
          <w:sz w:val="20"/>
          <w:szCs w:val="20"/>
          <w:color w:val="auto"/>
        </w:rPr>
      </w:pPr>
      <w:r>
        <w:rPr>
          <w:rFonts w:ascii="Arial" w:cs="Arial" w:eastAsia="Arial" w:hAnsi="Arial"/>
          <w:sz w:val="13"/>
          <w:szCs w:val="13"/>
          <w:i w:val="1"/>
          <w:iCs w:val="1"/>
          <w:color w:val="auto"/>
        </w:rPr>
        <w:t xml:space="preserve">Subscription Service Arrangements: </w:t>
      </w:r>
      <w:r>
        <w:rPr>
          <w:rFonts w:ascii="Arial" w:cs="Arial" w:eastAsia="Arial" w:hAnsi="Arial"/>
          <w:sz w:val="13"/>
          <w:szCs w:val="13"/>
          <w:color w:val="auto"/>
        </w:rPr>
        <w:t>Subscription service arrangements represented approximately 1% and 2% of our revenues for the years ended December 31, 2007 and 2006,</w:t>
      </w:r>
      <w:r>
        <w:rPr>
          <w:rFonts w:ascii="Arial" w:cs="Arial" w:eastAsia="Arial" w:hAnsi="Arial"/>
          <w:sz w:val="13"/>
          <w:szCs w:val="13"/>
          <w:i w:val="1"/>
          <w:iCs w:val="1"/>
          <w:color w:val="auto"/>
        </w:rPr>
        <w:t xml:space="preserve"> </w:t>
      </w:r>
      <w:r>
        <w:rPr>
          <w:rFonts w:ascii="Arial" w:cs="Arial" w:eastAsia="Arial" w:hAnsi="Arial"/>
          <w:sz w:val="13"/>
          <w:szCs w:val="13"/>
          <w:color w:val="auto"/>
        </w:rPr>
        <w:t>respectively, and relate principally to our ActivationNow</w:t>
      </w:r>
      <w:r>
        <w:rPr>
          <w:rFonts w:ascii="Arial" w:cs="Arial" w:eastAsia="Arial" w:hAnsi="Arial"/>
          <w:sz w:val="11"/>
          <w:szCs w:val="11"/>
          <w:color w:val="auto"/>
        </w:rPr>
        <w:t>®</w:t>
      </w:r>
      <w:r>
        <w:rPr>
          <w:rFonts w:ascii="Arial" w:cs="Arial" w:eastAsia="Arial" w:hAnsi="Arial"/>
          <w:sz w:val="13"/>
          <w:szCs w:val="13"/>
          <w:color w:val="auto"/>
        </w:rPr>
        <w:t xml:space="preserve"> platform service which the customer accesses through a graphical user interface. We record revenues on a straight-line basis over the life of the contract for our subscription service contracts.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Service Level Standards</w:t>
      </w:r>
    </w:p>
    <w:p>
      <w:pPr>
        <w:spacing w:after="0" w:line="102" w:lineRule="exact"/>
        <w:rPr>
          <w:sz w:val="20"/>
          <w:szCs w:val="20"/>
          <w:color w:val="auto"/>
        </w:rPr>
      </w:pPr>
    </w:p>
    <w:p>
      <w:pPr>
        <w:ind w:left="680" w:right="380" w:firstLine="399"/>
        <w:spacing w:after="0" w:line="279" w:lineRule="auto"/>
        <w:rPr>
          <w:sz w:val="20"/>
          <w:szCs w:val="20"/>
          <w:color w:val="auto"/>
        </w:rPr>
      </w:pPr>
      <w:r>
        <w:rPr>
          <w:rFonts w:ascii="Arial" w:cs="Arial" w:eastAsia="Arial" w:hAnsi="Arial"/>
          <w:sz w:val="13"/>
          <w:szCs w:val="13"/>
          <w:color w:val="auto"/>
        </w:rPr>
        <w:t>Pursuant to certain contracts, we are subject to service level standards and to corresponding penalties for failure to meet those standards. All performance-related penalties are reflected as a corresponding reduction of our revenues. These penalties, if applicable, are recorded in the month incurred.</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Allowance for Doubtful Accounts</w:t>
      </w:r>
    </w:p>
    <w:p>
      <w:pPr>
        <w:spacing w:after="0" w:line="10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maintain an allowance for doubtful accounts for estimated bad debts resulting from the inability of our customers to make required payments. The amount of the allowance account is based on historical experience and our analysis of the accounts receivable balance outstanding. While credit losses have historically been within our expectations and the provisions established, we cannot guarantee that we will continue to experience the same credit losses that we have in the past or that our reserves will be adequate. If the financial condition of one of our customers were to deteriorate, resulting in its inability to make payments, additional allowances may be required which would result in an additional expense in the period that this determination was made.</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Taxes</w:t>
      </w:r>
    </w:p>
    <w:p>
      <w:pPr>
        <w:spacing w:after="0" w:line="102" w:lineRule="exact"/>
        <w:rPr>
          <w:sz w:val="20"/>
          <w:szCs w:val="20"/>
          <w:color w:val="auto"/>
        </w:rPr>
      </w:pPr>
    </w:p>
    <w:p>
      <w:pPr>
        <w:ind w:left="680" w:right="80" w:firstLine="399"/>
        <w:spacing w:after="0" w:line="291" w:lineRule="auto"/>
        <w:rPr>
          <w:sz w:val="20"/>
          <w:szCs w:val="20"/>
          <w:color w:val="auto"/>
        </w:rPr>
      </w:pPr>
      <w:r>
        <w:rPr>
          <w:rFonts w:ascii="Arial" w:cs="Arial" w:eastAsia="Arial" w:hAnsi="Arial"/>
          <w:sz w:val="12"/>
          <w:szCs w:val="12"/>
          <w:color w:val="auto"/>
        </w:rPr>
        <w:t xml:space="preserve">We account for income taxes in accordance with SFAS No. 109, </w:t>
      </w:r>
      <w:r>
        <w:rPr>
          <w:rFonts w:ascii="Arial" w:cs="Arial" w:eastAsia="Arial" w:hAnsi="Arial"/>
          <w:sz w:val="12"/>
          <w:szCs w:val="12"/>
          <w:i w:val="1"/>
          <w:iCs w:val="1"/>
          <w:color w:val="auto"/>
        </w:rPr>
        <w:t>Accounting for Income Taxes.</w:t>
      </w:r>
      <w:r>
        <w:rPr>
          <w:rFonts w:ascii="Arial" w:cs="Arial" w:eastAsia="Arial" w:hAnsi="Arial"/>
          <w:sz w:val="12"/>
          <w:szCs w:val="12"/>
          <w:color w:val="auto"/>
        </w:rPr>
        <w:t xml:space="preserve"> Under SFAS No. 109, the liability method is used in accounting for income taxes. Under this method, deferred income tax liabilities and assets are determined based on the difference between the financial statement carrying amounts and the tax basis of assets and liabilities using enacted tax rates in effect in the years in which the differences are expected to reverse or be utilized. The realization of deferred tax assets is contingent upon the generation of future taxable income. A valuation allowance is recorded if it is “more likely than not” that a portion or all of a deferred tax asset will not be realized.</w:t>
      </w:r>
    </w:p>
    <w:p>
      <w:pPr>
        <w:spacing w:after="0" w:line="53"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 xml:space="preserve">In June 2006, the FASB issued Interpretation No. 48, </w:t>
      </w:r>
      <w:r>
        <w:rPr>
          <w:rFonts w:ascii="Arial" w:cs="Arial" w:eastAsia="Arial" w:hAnsi="Arial"/>
          <w:sz w:val="12"/>
          <w:szCs w:val="12"/>
          <w:i w:val="1"/>
          <w:iCs w:val="1"/>
          <w:color w:val="auto"/>
        </w:rPr>
        <w:t>Accounting for Uncertainty in Income Taxes — an Interpretation of FASB Statement No. 109</w:t>
      </w:r>
      <w:r>
        <w:rPr>
          <w:rFonts w:ascii="Arial" w:cs="Arial" w:eastAsia="Arial" w:hAnsi="Arial"/>
          <w:sz w:val="12"/>
          <w:szCs w:val="12"/>
          <w:color w:val="auto"/>
        </w:rPr>
        <w:t xml:space="preserve"> (“FIN 48”) to create a single model to address accounting for uncertain tax positions. FIN 48 clarifies the accounting for income taxes, by prescribing a minimum recognition threshold a tax position is required to meet before being recognized in the financial statements. FIN 48 also provides guidance on derecognition, measurement, classification, interest and penalties, accounting in interim periods, disclosure and transition. FIN 48 is effective for fiscal years beginning after December 15, 2006. We adopted FIN 48 as of January 1, 2007, as required and determined that the adoption of FIN 48 did not have a material impact on our financial position and results of operations. As of December 31, 2007, we have total unrecognized tax benefits of $678 which includes $29 for interest related to uncertain positions during the year ended December 31, 2007. We did not have any unrecognized tax benefits as of January 1, 2007. Components of the reserve are classified as either current or long-term in the consolidated balance sheet based on when we expect each of the items to be settled. Accordingly, we recorded a long-term liability of $649 on our balance sheet at December 31, 2007 that would reduce the effective tax rate if recognized. We record interest and penalties accrued in relation to uncertain income tax positions as a component of income tax expense. We did not accrue for interest or penalties as of December 31, 2006 or any period prior to 2006. Tax returns for all years 2000 and thereafter are subject to future examination by tax authorities.</w:t>
      </w:r>
    </w:p>
    <w:p>
      <w:pPr>
        <w:spacing w:after="0" w:line="61" w:lineRule="exact"/>
        <w:rPr>
          <w:sz w:val="20"/>
          <w:szCs w:val="20"/>
          <w:color w:val="auto"/>
        </w:rPr>
      </w:pPr>
    </w:p>
    <w:p>
      <w:pPr>
        <w:jc w:val="both"/>
        <w:ind w:left="680" w:right="60" w:firstLine="399"/>
        <w:spacing w:after="0" w:line="266" w:lineRule="auto"/>
        <w:rPr>
          <w:sz w:val="20"/>
          <w:szCs w:val="20"/>
          <w:color w:val="auto"/>
        </w:rPr>
      </w:pPr>
      <w:r>
        <w:rPr>
          <w:rFonts w:ascii="Arial" w:cs="Arial" w:eastAsia="Arial" w:hAnsi="Arial"/>
          <w:sz w:val="13"/>
          <w:szCs w:val="13"/>
          <w:color w:val="auto"/>
        </w:rPr>
        <w:t>While we believe we have identified all reasonably identified exposures and that the reserve we have established for identifiable exposures is appropriate under the circumstances, it is possible that additional exposures exist and that exposures may be settled at amounts different than the amounts reserved. It is also possible that changes in facts and circumstances could cause us to either materially increase or reduce the carrying amount of its tax reserve.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Stock-Based Compensation</w:t>
      </w:r>
    </w:p>
    <w:p>
      <w:pPr>
        <w:spacing w:after="0" w:line="102" w:lineRule="exact"/>
        <w:rPr>
          <w:sz w:val="20"/>
          <w:szCs w:val="20"/>
          <w:color w:val="auto"/>
        </w:rPr>
      </w:pPr>
    </w:p>
    <w:p>
      <w:pPr>
        <w:ind w:left="680" w:right="20" w:firstLine="399"/>
        <w:spacing w:after="0" w:line="284" w:lineRule="auto"/>
        <w:rPr>
          <w:sz w:val="20"/>
          <w:szCs w:val="20"/>
          <w:color w:val="auto"/>
        </w:rPr>
      </w:pPr>
      <w:r>
        <w:rPr>
          <w:rFonts w:ascii="Arial" w:cs="Arial" w:eastAsia="Arial" w:hAnsi="Arial"/>
          <w:sz w:val="12"/>
          <w:szCs w:val="12"/>
          <w:color w:val="auto"/>
        </w:rPr>
        <w:t xml:space="preserve">As of December 31, 2007, we maintain two stock-based compensation plans. Prior to January 1, 2006, we were applying the disclosure only provisions of SFAS 123, </w:t>
      </w:r>
      <w:r>
        <w:rPr>
          <w:rFonts w:ascii="Arial" w:cs="Arial" w:eastAsia="Arial" w:hAnsi="Arial"/>
          <w:sz w:val="12"/>
          <w:szCs w:val="12"/>
          <w:i w:val="1"/>
          <w:iCs w:val="1"/>
          <w:color w:val="auto"/>
        </w:rPr>
        <w:t>Accounting for</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Stock-Based Compensation </w:t>
      </w:r>
      <w:r>
        <w:rPr>
          <w:rFonts w:ascii="Arial" w:cs="Arial" w:eastAsia="Arial" w:hAnsi="Arial"/>
          <w:sz w:val="12"/>
          <w:szCs w:val="12"/>
          <w:color w:val="auto"/>
        </w:rPr>
        <w:t>(“SFAS 123”). Compensation cost is recognized for all share-based payments granted subsequent to January 1, 2006 and is based on the grant-date fair value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estimated in accordance with the provisions of SFAS 123(R). Under SFAS 123(R), an equity instrument is not considered to be issued until the instrument vests. As a result, compensation cost is recognized over the requisite service period with an offsetting credit to additional paid-in capital. Compensation expense also includes the amortization on a straight-line basis over the remaining vesting period of the intrinsic values of the stock options granted prior to 2006 calculated in accordance with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xml:space="preserve"> (“APB 25”). We classify benefits of tax deductions in excess of the compensation cost recognized (excess tax benefits) as a financing cash inflow with a corresponding operating cash outflow.</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60" w:firstLine="399"/>
        <w:spacing w:after="0" w:line="312" w:lineRule="auto"/>
        <w:rPr>
          <w:sz w:val="20"/>
          <w:szCs w:val="20"/>
          <w:color w:val="auto"/>
        </w:rPr>
      </w:pPr>
      <w:r>
        <w:rPr>
          <w:rFonts w:ascii="Arial" w:cs="Arial" w:eastAsia="Arial" w:hAnsi="Arial"/>
          <w:sz w:val="11"/>
          <w:szCs w:val="11"/>
          <w:color w:val="auto"/>
        </w:rPr>
        <w:t xml:space="preserve">We utilize the Black-Scholes option pricing model for determining the estimated fair value for stock-based awards. Use of a valuation model requires management to make certain assumptions with respect to selected model inputs. Expected volatility was calculated based on a blended weighted-average of historical information of similar public entities for which historical information was available. We will continue to use this approach using other similar public entity volatility information until our historical volatility is relevant to measure expected volatility for future option grants. The average expected life was determined using the SEC shortcut approach as described in Staff Accounting Bulletin (“SAB”) 107, </w:t>
      </w:r>
      <w:r>
        <w:rPr>
          <w:rFonts w:ascii="Arial" w:cs="Arial" w:eastAsia="Arial" w:hAnsi="Arial"/>
          <w:sz w:val="11"/>
          <w:szCs w:val="11"/>
          <w:i w:val="1"/>
          <w:iCs w:val="1"/>
          <w:color w:val="auto"/>
        </w:rPr>
        <w:t>Disclosure</w:t>
      </w:r>
      <w:r>
        <w:rPr>
          <w:rFonts w:ascii="Arial" w:cs="Arial" w:eastAsia="Arial" w:hAnsi="Arial"/>
          <w:sz w:val="11"/>
          <w:szCs w:val="11"/>
          <w:color w:val="auto"/>
        </w:rPr>
        <w:t xml:space="preserve"> </w:t>
      </w:r>
      <w:r>
        <w:rPr>
          <w:rFonts w:ascii="Arial" w:cs="Arial" w:eastAsia="Arial" w:hAnsi="Arial"/>
          <w:sz w:val="11"/>
          <w:szCs w:val="11"/>
          <w:i w:val="1"/>
          <w:iCs w:val="1"/>
          <w:color w:val="auto"/>
        </w:rPr>
        <w:t>about Fair Value of Financial Instruments</w:t>
      </w:r>
      <w:r>
        <w:rPr>
          <w:rFonts w:ascii="Arial" w:cs="Arial" w:eastAsia="Arial" w:hAnsi="Arial"/>
          <w:sz w:val="11"/>
          <w:szCs w:val="11"/>
          <w:color w:val="auto"/>
        </w:rPr>
        <w:t>, which is the mid-point between the vesting date and the end of the contractual term. The risk-free interest rate is based on U.S. Treasury zero-coupon issues with a remaining term equal to the expected life assumed at the date of grant. We have never declared or paid cash dividends on our common or preferred equity and do not anticipate paying any cash dividends in the foreseeable future. Forfeitures are estimated based on voluntary termination behavior, as well as a historical analysis of actual option forfeitures.</w:t>
      </w:r>
    </w:p>
    <w:p>
      <w:pPr>
        <w:spacing w:after="0" w:line="4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weighted-average assumptions used in the Black-Scholes option pricing model are as follows:</w:t>
      </w:r>
    </w:p>
    <w:p>
      <w:pPr>
        <w:spacing w:after="0" w:line="8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460" w:type="dxa"/>
            <w:vAlign w:val="bottom"/>
          </w:tcPr>
          <w:p>
            <w:pPr>
              <w:spacing w:after="0"/>
              <w:rPr>
                <w:sz w:val="10"/>
                <w:szCs w:val="10"/>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9"/>
              </w:rPr>
              <w:t>Year Ended</w:t>
            </w:r>
          </w:p>
        </w:tc>
        <w:tc>
          <w:tcPr>
            <w:tcW w:w="11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Year Ended</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400" w:type="dxa"/>
            <w:vAlign w:val="bottom"/>
            <w:gridSpan w:val="2"/>
          </w:tcPr>
          <w:p>
            <w:pPr>
              <w:jc w:val="center"/>
              <w:ind w:right="420"/>
              <w:spacing w:after="0" w:line="109" w:lineRule="exact"/>
              <w:rPr>
                <w:sz w:val="20"/>
                <w:szCs w:val="20"/>
                <w:color w:val="auto"/>
              </w:rPr>
            </w:pPr>
            <w:r>
              <w:rPr>
                <w:rFonts w:ascii="Arial" w:cs="Arial" w:eastAsia="Arial" w:hAnsi="Arial"/>
                <w:sz w:val="11"/>
                <w:szCs w:val="11"/>
                <w:b w:val="1"/>
                <w:bCs w:val="1"/>
                <w:color w:val="auto"/>
                <w:w w:val="86"/>
              </w:rPr>
              <w:t>December 31,</w:t>
            </w:r>
          </w:p>
        </w:tc>
        <w:tc>
          <w:tcPr>
            <w:tcW w:w="1100" w:type="dxa"/>
            <w:vAlign w:val="bottom"/>
            <w:gridSpan w:val="2"/>
          </w:tcPr>
          <w:p>
            <w:pPr>
              <w:jc w:val="center"/>
              <w:ind w:right="120"/>
              <w:spacing w:after="0" w:line="109" w:lineRule="exact"/>
              <w:rPr>
                <w:sz w:val="20"/>
                <w:szCs w:val="20"/>
                <w:color w:val="auto"/>
              </w:rPr>
            </w:pPr>
            <w:r>
              <w:rPr>
                <w:rFonts w:ascii="Arial" w:cs="Arial" w:eastAsia="Arial" w:hAnsi="Arial"/>
                <w:sz w:val="11"/>
                <w:szCs w:val="11"/>
                <w:b w:val="1"/>
                <w:bCs w:val="1"/>
                <w:color w:val="auto"/>
                <w:w w:val="86"/>
              </w:rPr>
              <w:t>December 31,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6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2007</w:t>
            </w:r>
          </w:p>
        </w:tc>
        <w:tc>
          <w:tcPr>
            <w:tcW w:w="42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3"/>
                <w:szCs w:val="13"/>
                <w:color w:val="auto"/>
              </w:rPr>
              <w:t>Expected stock price volatility</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60" w:type="dxa"/>
            <w:vAlign w:val="bottom"/>
          </w:tcPr>
          <w:p>
            <w:pPr>
              <w:spacing w:after="0"/>
              <w:rPr>
                <w:sz w:val="20"/>
                <w:szCs w:val="20"/>
                <w:color w:val="auto"/>
              </w:rPr>
            </w:pPr>
            <w:r>
              <w:rPr>
                <w:rFonts w:ascii="Arial" w:cs="Arial" w:eastAsia="Arial" w:hAnsi="Arial"/>
                <w:sz w:val="13"/>
                <w:szCs w:val="13"/>
                <w:color w:val="auto"/>
              </w:rPr>
              <w:t>Risk-free interest rate</w:t>
            </w:r>
          </w:p>
        </w:tc>
        <w:tc>
          <w:tcPr>
            <w:tcW w:w="1400" w:type="dxa"/>
            <w:vAlign w:val="bottom"/>
            <w:gridSpan w:val="2"/>
          </w:tcPr>
          <w:p>
            <w:pPr>
              <w:jc w:val="right"/>
              <w:ind w:right="300"/>
              <w:spacing w:after="0"/>
              <w:rPr>
                <w:sz w:val="20"/>
                <w:szCs w:val="20"/>
                <w:color w:val="auto"/>
              </w:rPr>
            </w:pPr>
            <w:r>
              <w:rPr>
                <w:rFonts w:ascii="Arial" w:cs="Arial" w:eastAsia="Arial" w:hAnsi="Arial"/>
                <w:sz w:val="13"/>
                <w:szCs w:val="13"/>
                <w:color w:val="auto"/>
              </w:rPr>
              <w:t>4.63%</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4.72%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3"/>
                <w:szCs w:val="13"/>
                <w:color w:val="auto"/>
              </w:rPr>
              <w:t>Expected life of options (in years)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Arial" w:cs="Arial" w:eastAsia="Arial" w:hAnsi="Arial"/>
                <w:sz w:val="13"/>
                <w:szCs w:val="13"/>
                <w:color w:val="auto"/>
              </w:rPr>
              <w:t>Expected dividend yield</w:t>
            </w:r>
          </w:p>
        </w:tc>
        <w:tc>
          <w:tcPr>
            <w:tcW w:w="1400" w:type="dxa"/>
            <w:vAlign w:val="bottom"/>
            <w:gridSpan w:val="2"/>
          </w:tcPr>
          <w:p>
            <w:pPr>
              <w:jc w:val="right"/>
              <w:ind w:right="300"/>
              <w:spacing w:after="0"/>
              <w:rPr>
                <w:sz w:val="20"/>
                <w:szCs w:val="20"/>
                <w:color w:val="auto"/>
              </w:rPr>
            </w:pPr>
            <w:r>
              <w:rPr>
                <w:rFonts w:ascii="Arial" w:cs="Arial" w:eastAsia="Arial" w:hAnsi="Arial"/>
                <w:sz w:val="13"/>
                <w:szCs w:val="13"/>
                <w:color w:val="auto"/>
              </w:rPr>
              <w:t>0%</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680" w:right="180" w:firstLine="399"/>
        <w:spacing w:after="0" w:line="322" w:lineRule="auto"/>
        <w:rPr>
          <w:sz w:val="20"/>
          <w:szCs w:val="20"/>
          <w:color w:val="auto"/>
        </w:rPr>
      </w:pPr>
      <w:r>
        <w:rPr>
          <w:rFonts w:ascii="Arial" w:cs="Arial" w:eastAsia="Arial" w:hAnsi="Arial"/>
          <w:sz w:val="12"/>
          <w:szCs w:val="12"/>
          <w:color w:val="auto"/>
        </w:rPr>
        <w:t>The weighted-average fair value (as of the date of grant) of the options granted was $12.52 and $4.71 per share for the year ended December 31, 2007 and 2006, respectively. The total stock-based compensation cost related to non-vested equity awards not yet recognized as an expense as of December 31, 2007 was approximately $13.5 million.</w:t>
      </w:r>
    </w:p>
    <w:p>
      <w:pPr>
        <w:spacing w:after="0" w:line="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December 31, 2007, compared to the Year ended December 31, 2006</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an overview of our results of operations for the years ended December 31, 2007 and 2006.</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5"/>
          </w:tcPr>
          <w:p>
            <w:pPr>
              <w:jc w:val="right"/>
              <w:ind w:right="197"/>
              <w:spacing w:after="0"/>
              <w:rPr>
                <w:sz w:val="20"/>
                <w:szCs w:val="20"/>
                <w:color w:val="auto"/>
              </w:rPr>
            </w:pPr>
            <w:r>
              <w:rPr>
                <w:rFonts w:ascii="Arial" w:cs="Arial" w:eastAsia="Arial" w:hAnsi="Arial"/>
                <w:sz w:val="11"/>
                <w:szCs w:val="11"/>
                <w:b w:val="1"/>
                <w:bCs w:val="1"/>
                <w:color w:val="auto"/>
                <w:w w:val="90"/>
              </w:rPr>
              <w:t>Year Ended December 31,</w:t>
            </w:r>
          </w:p>
        </w:tc>
        <w:tc>
          <w:tcPr>
            <w:tcW w:w="4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jc w:val="right"/>
              <w:ind w:right="200"/>
              <w:spacing w:after="0" w:line="99" w:lineRule="exact"/>
              <w:rPr>
                <w:sz w:val="20"/>
                <w:szCs w:val="20"/>
                <w:color w:val="auto"/>
              </w:rPr>
            </w:pPr>
            <w:r>
              <w:rPr>
                <w:rFonts w:ascii="Arial" w:cs="Arial" w:eastAsia="Arial" w:hAnsi="Arial"/>
                <w:sz w:val="11"/>
                <w:szCs w:val="11"/>
                <w:b w:val="1"/>
                <w:bCs w:val="1"/>
                <w:color w:val="auto"/>
              </w:rPr>
              <w:t>2007</w:t>
            </w: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8"/>
              <w:spacing w:after="0" w:line="99" w:lineRule="exact"/>
              <w:rPr>
                <w:sz w:val="20"/>
                <w:szCs w:val="20"/>
                <w:color w:val="auto"/>
              </w:rPr>
            </w:pPr>
            <w:r>
              <w:rPr>
                <w:rFonts w:ascii="Arial" w:cs="Arial" w:eastAsia="Arial" w:hAnsi="Arial"/>
                <w:sz w:val="11"/>
                <w:szCs w:val="11"/>
                <w:b w:val="1"/>
                <w:bCs w:val="1"/>
                <w:color w:val="auto"/>
                <w:w w:val="97"/>
              </w:rPr>
              <w:t>2006</w:t>
            </w: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gridSpan w:val="4"/>
            <w:vMerge w:val="restart"/>
          </w:tcPr>
          <w:p>
            <w:pPr>
              <w:jc w:val="right"/>
              <w:ind w:right="600"/>
              <w:spacing w:after="0"/>
              <w:rPr>
                <w:sz w:val="20"/>
                <w:szCs w:val="20"/>
                <w:color w:val="auto"/>
              </w:rPr>
            </w:pPr>
            <w:r>
              <w:rPr>
                <w:rFonts w:ascii="Arial" w:cs="Arial" w:eastAsia="Arial" w:hAnsi="Arial"/>
                <w:sz w:val="11"/>
                <w:szCs w:val="11"/>
                <w:b w:val="1"/>
                <w:bCs w:val="1"/>
                <w:color w:val="auto"/>
              </w:rPr>
              <w:t>2007 vs. 2006</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jc w:val="right"/>
              <w:ind w:right="78"/>
              <w:spacing w:after="0" w:line="99" w:lineRule="exact"/>
              <w:rPr>
                <w:sz w:val="20"/>
                <w:szCs w:val="20"/>
                <w:color w:val="auto"/>
              </w:rPr>
            </w:pPr>
            <w:r>
              <w:rPr>
                <w:rFonts w:ascii="Arial" w:cs="Arial" w:eastAsia="Arial" w:hAnsi="Arial"/>
                <w:sz w:val="11"/>
                <w:szCs w:val="11"/>
                <w:b w:val="1"/>
                <w:bCs w:val="1"/>
                <w:color w:val="auto"/>
              </w:rPr>
              <w:t>% of</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jc w:val="right"/>
              <w:ind w:right="87"/>
              <w:spacing w:after="0" w:line="99" w:lineRule="exact"/>
              <w:rPr>
                <w:sz w:val="20"/>
                <w:szCs w:val="20"/>
                <w:color w:val="auto"/>
              </w:rPr>
            </w:pPr>
            <w:r>
              <w:rPr>
                <w:rFonts w:ascii="Arial" w:cs="Arial" w:eastAsia="Arial" w:hAnsi="Arial"/>
                <w:sz w:val="11"/>
                <w:szCs w:val="11"/>
                <w:b w:val="1"/>
                <w:bCs w:val="1"/>
                <w:color w:val="auto"/>
              </w:rPr>
              <w:t>% of</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right"/>
              <w:ind w:right="257"/>
              <w:spacing w:after="0" w:line="99" w:lineRule="exact"/>
              <w:rPr>
                <w:sz w:val="20"/>
                <w:szCs w:val="20"/>
                <w:color w:val="auto"/>
              </w:rPr>
            </w:pPr>
            <w:r>
              <w:rPr>
                <w:rFonts w:ascii="Arial" w:cs="Arial" w:eastAsia="Arial" w:hAnsi="Arial"/>
                <w:sz w:val="11"/>
                <w:szCs w:val="11"/>
                <w:b w:val="1"/>
                <w:bCs w:val="1"/>
                <w:color w:val="auto"/>
              </w:rPr>
              <w:t>$</w:t>
            </w:r>
          </w:p>
        </w:tc>
        <w:tc>
          <w:tcPr>
            <w:tcW w:w="400" w:type="dxa"/>
            <w:vAlign w:val="bottom"/>
          </w:tcPr>
          <w:p>
            <w:pPr>
              <w:spacing w:after="0"/>
              <w:rPr>
                <w:sz w:val="8"/>
                <w:szCs w:val="8"/>
                <w:color w:val="auto"/>
              </w:rPr>
            </w:pPr>
          </w:p>
        </w:tc>
        <w:tc>
          <w:tcPr>
            <w:tcW w:w="760" w:type="dxa"/>
            <w:vAlign w:val="bottom"/>
            <w:gridSpan w:val="2"/>
          </w:tcPr>
          <w:p>
            <w:pPr>
              <w:jc w:val="right"/>
              <w:ind w:right="320"/>
              <w:spacing w:after="0" w:line="99" w:lineRule="exact"/>
              <w:rPr>
                <w:sz w:val="20"/>
                <w:szCs w:val="20"/>
                <w:color w:val="auto"/>
              </w:rPr>
            </w:pPr>
            <w:r>
              <w:rPr>
                <w:rFonts w:ascii="Arial" w:cs="Arial" w:eastAsia="Arial" w:hAnsi="Arial"/>
                <w:sz w:val="11"/>
                <w:szCs w:val="11"/>
                <w:b w:val="1"/>
                <w:bCs w:val="1"/>
                <w:color w:val="auto"/>
                <w:w w:val="91"/>
              </w:rPr>
              <w:t>Revenue</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jc w:val="right"/>
              <w:ind w:right="217"/>
              <w:spacing w:after="0" w:line="99" w:lineRule="exact"/>
              <w:rPr>
                <w:sz w:val="20"/>
                <w:szCs w:val="20"/>
                <w:color w:val="auto"/>
              </w:rPr>
            </w:pPr>
            <w:r>
              <w:rPr>
                <w:rFonts w:ascii="Arial" w:cs="Arial" w:eastAsia="Arial" w:hAnsi="Arial"/>
                <w:sz w:val="11"/>
                <w:szCs w:val="11"/>
                <w:b w:val="1"/>
                <w:bCs w:val="1"/>
                <w:color w:val="auto"/>
              </w:rPr>
              <w:t>$</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8"/>
              </w:rPr>
              <w:t>thousands)</w:t>
            </w:r>
          </w:p>
        </w:tc>
        <w:tc>
          <w:tcPr>
            <w:tcW w:w="760" w:type="dxa"/>
            <w:vAlign w:val="bottom"/>
            <w:gridSpan w:val="2"/>
          </w:tcPr>
          <w:p>
            <w:pPr>
              <w:jc w:val="right"/>
              <w:ind w:right="320"/>
              <w:spacing w:after="0" w:line="99" w:lineRule="exact"/>
              <w:rPr>
                <w:sz w:val="20"/>
                <w:szCs w:val="20"/>
                <w:color w:val="auto"/>
              </w:rPr>
            </w:pPr>
            <w:r>
              <w:rPr>
                <w:rFonts w:ascii="Arial" w:cs="Arial" w:eastAsia="Arial" w:hAnsi="Arial"/>
                <w:sz w:val="11"/>
                <w:szCs w:val="11"/>
                <w:b w:val="1"/>
                <w:bCs w:val="1"/>
                <w:color w:val="auto"/>
                <w:w w:val="91"/>
              </w:rPr>
              <w:t>Revenue</w:t>
            </w:r>
          </w:p>
        </w:tc>
        <w:tc>
          <w:tcPr>
            <w:tcW w:w="140" w:type="dxa"/>
            <w:vAlign w:val="bottom"/>
          </w:tcPr>
          <w:p>
            <w:pPr>
              <w:spacing w:after="0"/>
              <w:rPr>
                <w:sz w:val="8"/>
                <w:szCs w:val="8"/>
                <w:color w:val="auto"/>
              </w:rPr>
            </w:pPr>
          </w:p>
        </w:tc>
        <w:tc>
          <w:tcPr>
            <w:tcW w:w="16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rPr>
              <w:t>$</w:t>
            </w:r>
          </w:p>
        </w:tc>
        <w:tc>
          <w:tcPr>
            <w:tcW w:w="440" w:type="dxa"/>
            <w:vAlign w:val="bottom"/>
            <w:tcBorders>
              <w:top w:val="single" w:sz="8" w:color="auto"/>
            </w:tcBorders>
          </w:tcPr>
          <w:p>
            <w:pPr>
              <w:jc w:val="right"/>
              <w:ind w:right="17"/>
              <w:spacing w:after="0" w:line="99" w:lineRule="exact"/>
              <w:rPr>
                <w:sz w:val="20"/>
                <w:szCs w:val="20"/>
                <w:color w:val="auto"/>
              </w:rPr>
            </w:pPr>
            <w:r>
              <w:rPr>
                <w:rFonts w:ascii="Arial" w:cs="Arial" w:eastAsia="Arial" w:hAnsi="Arial"/>
                <w:sz w:val="11"/>
                <w:szCs w:val="11"/>
                <w:b w:val="1"/>
                <w:bCs w:val="1"/>
                <w:color w:val="auto"/>
                <w:w w:val="84"/>
              </w:rPr>
              <w:t>Change</w:t>
            </w:r>
          </w:p>
        </w:tc>
        <w:tc>
          <w:tcPr>
            <w:tcW w:w="4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ind w:right="7"/>
              <w:spacing w:after="0" w:line="99" w:lineRule="exact"/>
              <w:rPr>
                <w:sz w:val="20"/>
                <w:szCs w:val="20"/>
                <w:color w:val="auto"/>
              </w:rPr>
            </w:pPr>
            <w:r>
              <w:rPr>
                <w:rFonts w:ascii="Arial" w:cs="Arial" w:eastAsia="Arial" w:hAnsi="Arial"/>
                <w:sz w:val="11"/>
                <w:szCs w:val="11"/>
                <w:b w:val="1"/>
                <w:bCs w:val="1"/>
                <w:color w:val="auto"/>
                <w:w w:val="93"/>
              </w:rPr>
              <w:t>% Change</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(In</w:t>
            </w:r>
          </w:p>
        </w:tc>
        <w:tc>
          <w:tcPr>
            <w:tcW w:w="400" w:type="dxa"/>
            <w:vAlign w:val="bottom"/>
            <w:vMerge w:val="continue"/>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revenue</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123,538</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72,406</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100.0%</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51,132</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70.6%</w:t>
            </w:r>
          </w:p>
        </w:tc>
        <w:tc>
          <w:tcPr>
            <w:tcW w:w="0" w:type="dxa"/>
            <w:vAlign w:val="bottom"/>
          </w:tcPr>
          <w:p>
            <w:pPr>
              <w:spacing w:after="0"/>
              <w:rPr>
                <w:sz w:val="1"/>
                <w:szCs w:val="1"/>
                <w:color w:val="auto"/>
              </w:rPr>
            </w:pPr>
          </w:p>
        </w:tc>
      </w:tr>
      <w:tr>
        <w:trPr>
          <w:trHeight w:val="149"/>
        </w:trPr>
        <w:tc>
          <w:tcPr>
            <w:tcW w:w="4220" w:type="dxa"/>
            <w:vAlign w:val="bottom"/>
            <w:gridSpan w:val="3"/>
          </w:tcPr>
          <w:p>
            <w:pPr>
              <w:spacing w:after="0"/>
              <w:rPr>
                <w:sz w:val="20"/>
                <w:szCs w:val="20"/>
                <w:color w:val="auto"/>
              </w:rPr>
            </w:pPr>
            <w:r>
              <w:rPr>
                <w:rFonts w:ascii="Arial" w:cs="Arial" w:eastAsia="Arial" w:hAnsi="Arial"/>
                <w:sz w:val="13"/>
                <w:szCs w:val="13"/>
                <w:color w:val="auto"/>
                <w:w w:val="94"/>
              </w:rPr>
              <w:t>Cost of services ($0 and $3,714 were purchased from a related party in 2007</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00" w:type="dxa"/>
            <w:vAlign w:val="bottom"/>
            <w:gridSpan w:val="2"/>
          </w:tcPr>
          <w:p>
            <w:pPr>
              <w:ind w:left="120"/>
              <w:spacing w:after="0"/>
              <w:rPr>
                <w:sz w:val="20"/>
                <w:szCs w:val="20"/>
                <w:color w:val="auto"/>
              </w:rPr>
            </w:pPr>
            <w:r>
              <w:rPr>
                <w:rFonts w:ascii="Arial" w:cs="Arial" w:eastAsia="Arial" w:hAnsi="Arial"/>
                <w:sz w:val="13"/>
                <w:szCs w:val="13"/>
                <w:color w:val="auto"/>
              </w:rPr>
              <w:t>and 2006, respectively)*</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55,305</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44.8%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35,643</w:t>
            </w: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49.2%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19,662</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55.2%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10,629</w:t>
            </w:r>
          </w:p>
        </w:tc>
        <w:tc>
          <w:tcPr>
            <w:tcW w:w="4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8.6%</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7,726</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10.7%</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2,903</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200" w:type="dxa"/>
            <w:vAlign w:val="bottom"/>
            <w:gridSpan w:val="2"/>
          </w:tcPr>
          <w:p>
            <w:pPr>
              <w:spacing w:after="0"/>
              <w:rPr>
                <w:sz w:val="20"/>
                <w:szCs w:val="20"/>
                <w:color w:val="auto"/>
              </w:rPr>
            </w:pPr>
            <w:r>
              <w:rPr>
                <w:rFonts w:ascii="Arial" w:cs="Arial" w:eastAsia="Arial" w:hAnsi="Arial"/>
                <w:sz w:val="13"/>
                <w:szCs w:val="13"/>
                <w:color w:val="auto"/>
              </w:rPr>
              <w:t>Selling, general and administrative</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18,531</w:t>
            </w:r>
          </w:p>
        </w:tc>
        <w:tc>
          <w:tcPr>
            <w:tcW w:w="4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15.0%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10,474</w:t>
            </w: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14.5%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8,057</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76.9%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Depreciation</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5,237</w:t>
            </w:r>
          </w:p>
        </w:tc>
        <w:tc>
          <w:tcPr>
            <w:tcW w:w="4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4.2%</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3,267</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4.5%</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89,702</w:t>
            </w:r>
          </w:p>
        </w:tc>
        <w:tc>
          <w:tcPr>
            <w:tcW w:w="4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72.6%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57,110</w:t>
            </w: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78.9%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32,592</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57.1%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33,836</w:t>
            </w:r>
          </w:p>
        </w:tc>
        <w:tc>
          <w:tcPr>
            <w:tcW w:w="4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27.4%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15,296</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21.1%</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18,540</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121.2%</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900" w:hanging="213"/>
        <w:spacing w:after="0"/>
        <w:tabs>
          <w:tab w:leader="none" w:pos="9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Cost of services excludes depreciation which is shown separately.</w:t>
      </w:r>
    </w:p>
    <w:p>
      <w:pPr>
        <w:spacing w:after="0" w:line="98" w:lineRule="exact"/>
        <w:rPr>
          <w:sz w:val="20"/>
          <w:szCs w:val="20"/>
          <w:color w:val="auto"/>
        </w:rPr>
      </w:pPr>
    </w:p>
    <w:p>
      <w:pPr>
        <w:ind w:left="680" w:right="220" w:firstLine="399"/>
        <w:spacing w:after="0" w:line="262" w:lineRule="auto"/>
        <w:rPr>
          <w:sz w:val="20"/>
          <w:szCs w:val="20"/>
          <w:color w:val="auto"/>
        </w:rPr>
      </w:pPr>
      <w:r>
        <w:rPr>
          <w:rFonts w:ascii="Arial" w:cs="Arial" w:eastAsia="Arial" w:hAnsi="Arial"/>
          <w:sz w:val="13"/>
          <w:szCs w:val="13"/>
          <w:i w:val="1"/>
          <w:iCs w:val="1"/>
          <w:color w:val="auto"/>
        </w:rPr>
        <w:t xml:space="preserve">Net Revenue. </w:t>
      </w:r>
      <w:r>
        <w:rPr>
          <w:rFonts w:ascii="Arial" w:cs="Arial" w:eastAsia="Arial" w:hAnsi="Arial"/>
          <w:sz w:val="13"/>
          <w:szCs w:val="13"/>
          <w:color w:val="auto"/>
        </w:rPr>
        <w:t>Net revenues increased $51.1 million to $123.5 million for 2007, compared to 2006. Due to increased volumes of transactions processed, net revenues related to</w:t>
      </w:r>
      <w:r>
        <w:rPr>
          <w:rFonts w:ascii="Arial" w:cs="Arial" w:eastAsia="Arial" w:hAnsi="Arial"/>
          <w:sz w:val="13"/>
          <w:szCs w:val="13"/>
          <w:i w:val="1"/>
          <w:iCs w:val="1"/>
          <w:color w:val="auto"/>
        </w:rPr>
        <w:t xml:space="preserve"> </w:t>
      </w:r>
      <w:r>
        <w:rPr>
          <w:rFonts w:ascii="Arial" w:cs="Arial" w:eastAsia="Arial" w:hAnsi="Arial"/>
          <w:sz w:val="13"/>
          <w:szCs w:val="13"/>
          <w:color w:val="auto"/>
        </w:rPr>
        <w:t>AT&amp;T increased $47.0 million to $94.5 million for the year ended December 31, 2007, compared to 2006. Net revenues outside of the AT&amp;T relationship generated $29.0 million of our revenues during 2007, as compared to $25.0 million last year. Transaction revenues recognized in 2007 and 2006 represented 85% or $104.6 million and 85% or $61.7 million of net revenues, respectively.</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Professional service revenues increased as a percentage of sales to 14% or $18.0 million for the year ended December 31, 2007, compared to 13% for previous year.</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Expense</w:t>
      </w:r>
    </w:p>
    <w:p>
      <w:pPr>
        <w:spacing w:after="0" w:line="98"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i w:val="1"/>
          <w:iCs w:val="1"/>
          <w:color w:val="auto"/>
        </w:rPr>
        <w:t xml:space="preserve">Cost of Services. </w:t>
      </w:r>
      <w:r>
        <w:rPr>
          <w:rFonts w:ascii="Arial" w:cs="Arial" w:eastAsia="Arial" w:hAnsi="Arial"/>
          <w:sz w:val="13"/>
          <w:szCs w:val="13"/>
          <w:color w:val="auto"/>
        </w:rPr>
        <w:t>Cost of services increased $19.7 million to $55.3 million for 2007, compared to 2006, due primarily to the growth in personnel costs required to support higher</w:t>
      </w:r>
      <w:r>
        <w:rPr>
          <w:rFonts w:ascii="Arial" w:cs="Arial" w:eastAsia="Arial" w:hAnsi="Arial"/>
          <w:sz w:val="13"/>
          <w:szCs w:val="13"/>
          <w:i w:val="1"/>
          <w:iCs w:val="1"/>
          <w:color w:val="auto"/>
        </w:rPr>
        <w:t xml:space="preserve"> </w:t>
      </w:r>
      <w:r>
        <w:rPr>
          <w:rFonts w:ascii="Arial" w:cs="Arial" w:eastAsia="Arial" w:hAnsi="Arial"/>
          <w:sz w:val="13"/>
          <w:szCs w:val="13"/>
          <w:color w:val="auto"/>
        </w:rPr>
        <w:t>transaction volumes submitted to us by our customers and increases in telecommunication costs. In particular, personnel and related costs and third party consulting service costs increased $17.4 million due to the management of exception handling. Also, additional telecommunication and maintenance expense in our data facilities, contributed approximately $1.6 million to the increase in cost of services. In addition, stock-based compensation expense increased $286. Cost of services as a percentage of revenues decreased to 44.8% for 2007, as compared to 49.2% for 2006.</w:t>
      </w:r>
    </w:p>
    <w:p>
      <w:pPr>
        <w:spacing w:after="0" w:line="70"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i w:val="1"/>
          <w:iCs w:val="1"/>
          <w:color w:val="auto"/>
        </w:rPr>
        <w:t xml:space="preserve">Research and Development. </w:t>
      </w:r>
      <w:r>
        <w:rPr>
          <w:rFonts w:ascii="Arial" w:cs="Arial" w:eastAsia="Arial" w:hAnsi="Arial"/>
          <w:sz w:val="12"/>
          <w:szCs w:val="12"/>
          <w:color w:val="auto"/>
        </w:rPr>
        <w:t>Research and development expense increased $2.9 million to $10.6 million for 2007, compared to 2006, due to the continued investment in and further</w:t>
      </w:r>
      <w:r>
        <w:rPr>
          <w:rFonts w:ascii="Arial" w:cs="Arial" w:eastAsia="Arial" w:hAnsi="Arial"/>
          <w:sz w:val="12"/>
          <w:szCs w:val="12"/>
          <w:i w:val="1"/>
          <w:iCs w:val="1"/>
          <w:color w:val="auto"/>
        </w:rPr>
        <w:t xml:space="preserve"> </w:t>
      </w:r>
      <w:r>
        <w:rPr>
          <w:rFonts w:ascii="Arial" w:cs="Arial" w:eastAsia="Arial" w:hAnsi="Arial"/>
          <w:sz w:val="12"/>
          <w:szCs w:val="12"/>
          <w:color w:val="auto"/>
        </w:rPr>
        <w:t>development of our ActivationNow</w:t>
      </w:r>
      <w:r>
        <w:rPr>
          <w:rFonts w:ascii="Arial" w:cs="Arial" w:eastAsia="Arial" w:hAnsi="Arial"/>
          <w:sz w:val="10"/>
          <w:szCs w:val="10"/>
          <w:color w:val="auto"/>
        </w:rPr>
        <w:t>®</w:t>
      </w:r>
      <w:r>
        <w:rPr>
          <w:rFonts w:ascii="Arial" w:cs="Arial" w:eastAsia="Arial" w:hAnsi="Arial"/>
          <w:sz w:val="12"/>
          <w:szCs w:val="12"/>
          <w:color w:val="auto"/>
        </w:rPr>
        <w:t xml:space="preserve"> and ConvergenceNow</w:t>
      </w:r>
      <w:r>
        <w:rPr>
          <w:rFonts w:ascii="Arial" w:cs="Arial" w:eastAsia="Arial" w:hAnsi="Arial"/>
          <w:sz w:val="7"/>
          <w:szCs w:val="7"/>
          <w:color w:val="auto"/>
        </w:rPr>
        <w:t>TM</w:t>
      </w:r>
      <w:r>
        <w:rPr>
          <w:rFonts w:ascii="Arial" w:cs="Arial" w:eastAsia="Arial" w:hAnsi="Arial"/>
          <w:sz w:val="12"/>
          <w:szCs w:val="12"/>
          <w:color w:val="auto"/>
        </w:rPr>
        <w:t xml:space="preserve"> platforms to enhance our service offerings and increases in automation that have continued to allow us to gain operational efficiencies. Research and development expense as a percentage of revenues decreased to 8.6% for 2007, as compared to 10.7% for 2006.</w:t>
      </w:r>
    </w:p>
    <w:p>
      <w:pPr>
        <w:spacing w:after="0" w:line="48"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i w:val="1"/>
          <w:iCs w:val="1"/>
          <w:color w:val="auto"/>
        </w:rPr>
        <w:t xml:space="preserve">Selling, General and Administrative. </w:t>
      </w:r>
      <w:r>
        <w:rPr>
          <w:rFonts w:ascii="Arial" w:cs="Arial" w:eastAsia="Arial" w:hAnsi="Arial"/>
          <w:sz w:val="13"/>
          <w:szCs w:val="13"/>
          <w:color w:val="auto"/>
        </w:rPr>
        <w:t>Selling, general and administrative expense increased $8.1 million to $18.5 million for 2007, compared to 2006, due in part to increases in</w:t>
      </w:r>
      <w:r>
        <w:rPr>
          <w:rFonts w:ascii="Arial" w:cs="Arial" w:eastAsia="Arial" w:hAnsi="Arial"/>
          <w:sz w:val="13"/>
          <w:szCs w:val="13"/>
          <w:i w:val="1"/>
          <w:iCs w:val="1"/>
          <w:color w:val="auto"/>
        </w:rPr>
        <w:t xml:space="preserve"> </w:t>
      </w:r>
      <w:r>
        <w:rPr>
          <w:rFonts w:ascii="Arial" w:cs="Arial" w:eastAsia="Arial" w:hAnsi="Arial"/>
          <w:sz w:val="13"/>
          <w:szCs w:val="13"/>
          <w:color w:val="auto"/>
        </w:rPr>
        <w:t>personnel and related costs totaling $3.4 million, increased expenses of $1.5 million associated with being a public company for the entire year, increased stock-based compensation expense of $1.7 million, and increased marketing expenses of $689. Selling, general and administrative expense as a percentage of revenues increased to 15.0% for 2007, as compared to 14.5% for 2006.</w:t>
      </w:r>
    </w:p>
    <w:p>
      <w:pPr>
        <w:spacing w:after="0" w:line="69" w:lineRule="exact"/>
        <w:rPr>
          <w:sz w:val="20"/>
          <w:szCs w:val="20"/>
          <w:color w:val="auto"/>
        </w:rPr>
      </w:pPr>
    </w:p>
    <w:p>
      <w:pPr>
        <w:ind w:left="680" w:right="60" w:firstLine="399"/>
        <w:spacing w:after="0" w:line="279" w:lineRule="auto"/>
        <w:rPr>
          <w:sz w:val="20"/>
          <w:szCs w:val="20"/>
          <w:color w:val="auto"/>
        </w:rPr>
      </w:pPr>
      <w:r>
        <w:rPr>
          <w:rFonts w:ascii="Arial" w:cs="Arial" w:eastAsia="Arial" w:hAnsi="Arial"/>
          <w:sz w:val="13"/>
          <w:szCs w:val="13"/>
          <w:i w:val="1"/>
          <w:iCs w:val="1"/>
          <w:color w:val="auto"/>
        </w:rPr>
        <w:t xml:space="preserve">Depreciation. </w:t>
      </w:r>
      <w:r>
        <w:rPr>
          <w:rFonts w:ascii="Arial" w:cs="Arial" w:eastAsia="Arial" w:hAnsi="Arial"/>
          <w:sz w:val="13"/>
          <w:szCs w:val="13"/>
          <w:color w:val="auto"/>
        </w:rPr>
        <w:t>Depreciation expense increased $2.0 million to $5.2 million for 2007, compared to 2006, due to increased fixed asset additions. Depreciation expense as a percentage</w:t>
      </w:r>
      <w:r>
        <w:rPr>
          <w:rFonts w:ascii="Arial" w:cs="Arial" w:eastAsia="Arial" w:hAnsi="Arial"/>
          <w:sz w:val="13"/>
          <w:szCs w:val="13"/>
          <w:i w:val="1"/>
          <w:iCs w:val="1"/>
          <w:color w:val="auto"/>
        </w:rPr>
        <w:t xml:space="preserve"> </w:t>
      </w:r>
      <w:r>
        <w:rPr>
          <w:rFonts w:ascii="Arial" w:cs="Arial" w:eastAsia="Arial" w:hAnsi="Arial"/>
          <w:sz w:val="13"/>
          <w:szCs w:val="13"/>
          <w:color w:val="auto"/>
        </w:rPr>
        <w:t>of revenues decreased to 4.2% for 2007, as compared to 4.5% for 2006.</w:t>
      </w:r>
    </w:p>
    <w:p>
      <w:pPr>
        <w:spacing w:after="0" w:line="58" w:lineRule="exact"/>
        <w:rPr>
          <w:sz w:val="20"/>
          <w:szCs w:val="20"/>
          <w:color w:val="auto"/>
        </w:rPr>
      </w:pPr>
    </w:p>
    <w:p>
      <w:pPr>
        <w:ind w:left="680" w:right="180" w:firstLine="399"/>
        <w:spacing w:after="0" w:line="266" w:lineRule="auto"/>
        <w:rPr>
          <w:sz w:val="20"/>
          <w:szCs w:val="20"/>
          <w:color w:val="auto"/>
        </w:rPr>
      </w:pPr>
      <w:r>
        <w:rPr>
          <w:rFonts w:ascii="Arial" w:cs="Arial" w:eastAsia="Arial" w:hAnsi="Arial"/>
          <w:sz w:val="13"/>
          <w:szCs w:val="13"/>
          <w:i w:val="1"/>
          <w:iCs w:val="1"/>
          <w:color w:val="auto"/>
        </w:rPr>
        <w:t xml:space="preserve">Income Tax. </w:t>
      </w:r>
      <w:r>
        <w:rPr>
          <w:rFonts w:ascii="Arial" w:cs="Arial" w:eastAsia="Arial" w:hAnsi="Arial"/>
          <w:sz w:val="13"/>
          <w:szCs w:val="13"/>
          <w:color w:val="auto"/>
        </w:rPr>
        <w:t>Our effective tax rate was approximately 37.1% and approximately 41.9% during 2007 and 2006, respectively. During 2007 and 2006, we recognized approximately</w:t>
      </w:r>
      <w:r>
        <w:rPr>
          <w:rFonts w:ascii="Arial" w:cs="Arial" w:eastAsia="Arial" w:hAnsi="Arial"/>
          <w:sz w:val="13"/>
          <w:szCs w:val="13"/>
          <w:i w:val="1"/>
          <w:iCs w:val="1"/>
          <w:color w:val="auto"/>
        </w:rPr>
        <w:t xml:space="preserve"> </w:t>
      </w:r>
      <w:r>
        <w:rPr>
          <w:rFonts w:ascii="Arial" w:cs="Arial" w:eastAsia="Arial" w:hAnsi="Arial"/>
          <w:sz w:val="13"/>
          <w:szCs w:val="13"/>
          <w:color w:val="auto"/>
        </w:rPr>
        <w:t>$14.0 million and $7.3 million in related tax expense, respectively. The reduction in our effective tax rate in 2007 was due to the recording of a net cumulative R&amp;D tax credit of approximately $1.2 million. Exclusive of this item, the effective tax rate for 2007 would be 40.2%.</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December 31, 2006, compared to the Year ended December 31, 2005</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an overview of our results of operations for the years ended December 31, 2006 and 2005.</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5"/>
          </w:tcPr>
          <w:p>
            <w:pPr>
              <w:jc w:val="right"/>
              <w:ind w:right="157"/>
              <w:spacing w:after="0"/>
              <w:rPr>
                <w:sz w:val="20"/>
                <w:szCs w:val="20"/>
                <w:color w:val="auto"/>
              </w:rPr>
            </w:pPr>
            <w:r>
              <w:rPr>
                <w:rFonts w:ascii="Arial" w:cs="Arial" w:eastAsia="Arial" w:hAnsi="Arial"/>
                <w:sz w:val="11"/>
                <w:szCs w:val="11"/>
                <w:b w:val="1"/>
                <w:bCs w:val="1"/>
                <w:color w:val="auto"/>
                <w:w w:val="93"/>
              </w:rPr>
              <w:t>Year Ended December 31,</w:t>
            </w:r>
          </w:p>
        </w:tc>
        <w:tc>
          <w:tcPr>
            <w:tcW w:w="4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6"/>
              <w:spacing w:after="0" w:line="99" w:lineRule="exact"/>
              <w:rPr>
                <w:sz w:val="20"/>
                <w:szCs w:val="20"/>
                <w:color w:val="auto"/>
              </w:rPr>
            </w:pPr>
            <w:r>
              <w:rPr>
                <w:rFonts w:ascii="Arial" w:cs="Arial" w:eastAsia="Arial" w:hAnsi="Arial"/>
                <w:sz w:val="11"/>
                <w:szCs w:val="11"/>
                <w:b w:val="1"/>
                <w:bCs w:val="1"/>
                <w:color w:val="auto"/>
                <w:w w:val="97"/>
              </w:rPr>
              <w:t>2006</w:t>
            </w: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ind w:left="40"/>
              <w:spacing w:after="0" w:line="99" w:lineRule="exact"/>
              <w:rPr>
                <w:sz w:val="20"/>
                <w:szCs w:val="20"/>
                <w:color w:val="auto"/>
              </w:rPr>
            </w:pPr>
            <w:r>
              <w:rPr>
                <w:rFonts w:ascii="Arial" w:cs="Arial" w:eastAsia="Arial" w:hAnsi="Arial"/>
                <w:sz w:val="11"/>
                <w:szCs w:val="11"/>
                <w:b w:val="1"/>
                <w:bCs w:val="1"/>
                <w:color w:val="auto"/>
              </w:rPr>
              <w:t>2005</w:t>
            </w: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gridSpan w:val="4"/>
            <w:vMerge w:val="restart"/>
          </w:tcPr>
          <w:p>
            <w:pPr>
              <w:jc w:val="right"/>
              <w:ind w:right="600"/>
              <w:spacing w:after="0"/>
              <w:rPr>
                <w:sz w:val="20"/>
                <w:szCs w:val="20"/>
                <w:color w:val="auto"/>
              </w:rPr>
            </w:pPr>
            <w:r>
              <w:rPr>
                <w:rFonts w:ascii="Arial" w:cs="Arial" w:eastAsia="Arial" w:hAnsi="Arial"/>
                <w:sz w:val="11"/>
                <w:szCs w:val="11"/>
                <w:b w:val="1"/>
                <w:bCs w:val="1"/>
                <w:color w:val="auto"/>
              </w:rPr>
              <w:t>2006 vs. 2005</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jc w:val="center"/>
              <w:spacing w:after="0" w:line="99" w:lineRule="exact"/>
              <w:rPr>
                <w:sz w:val="20"/>
                <w:szCs w:val="20"/>
                <w:color w:val="auto"/>
              </w:rPr>
            </w:pPr>
            <w:r>
              <w:rPr>
                <w:rFonts w:ascii="Arial" w:cs="Arial" w:eastAsia="Arial" w:hAnsi="Arial"/>
                <w:sz w:val="11"/>
                <w:szCs w:val="11"/>
                <w:b w:val="1"/>
                <w:bCs w:val="1"/>
                <w:color w:val="auto"/>
                <w:w w:val="94"/>
              </w:rPr>
              <w:t>% of</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jc w:val="center"/>
              <w:spacing w:after="0" w:line="99" w:lineRule="exact"/>
              <w:rPr>
                <w:sz w:val="20"/>
                <w:szCs w:val="20"/>
                <w:color w:val="auto"/>
              </w:rPr>
            </w:pPr>
            <w:r>
              <w:rPr>
                <w:rFonts w:ascii="Arial" w:cs="Arial" w:eastAsia="Arial" w:hAnsi="Arial"/>
                <w:sz w:val="11"/>
                <w:szCs w:val="11"/>
                <w:b w:val="1"/>
                <w:bCs w:val="1"/>
                <w:color w:val="auto"/>
                <w:w w:val="94"/>
              </w:rPr>
              <w:t>% of</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96"/>
              <w:spacing w:after="0" w:line="99" w:lineRule="exact"/>
              <w:rPr>
                <w:sz w:val="20"/>
                <w:szCs w:val="20"/>
                <w:color w:val="auto"/>
              </w:rPr>
            </w:pPr>
            <w:r>
              <w:rPr>
                <w:rFonts w:ascii="Arial" w:cs="Arial" w:eastAsia="Arial" w:hAnsi="Arial"/>
                <w:sz w:val="11"/>
                <w:szCs w:val="11"/>
                <w:b w:val="1"/>
                <w:bCs w:val="1"/>
                <w:color w:val="auto"/>
              </w:rPr>
              <w:t>$</w:t>
            </w:r>
          </w:p>
        </w:tc>
        <w:tc>
          <w:tcPr>
            <w:tcW w:w="400" w:type="dxa"/>
            <w:vAlign w:val="bottom"/>
          </w:tcPr>
          <w:p>
            <w:pPr>
              <w:spacing w:after="0"/>
              <w:rPr>
                <w:sz w:val="8"/>
                <w:szCs w:val="8"/>
                <w:color w:val="auto"/>
              </w:rPr>
            </w:pPr>
          </w:p>
        </w:tc>
        <w:tc>
          <w:tcPr>
            <w:tcW w:w="500" w:type="dxa"/>
            <w:vAlign w:val="bottom"/>
            <w:tcBorders>
              <w:bottom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w w:val="82"/>
              </w:rPr>
              <w:t>Revenue</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217"/>
              <w:spacing w:after="0" w:line="99" w:lineRule="exact"/>
              <w:rPr>
                <w:sz w:val="20"/>
                <w:szCs w:val="20"/>
                <w:color w:val="auto"/>
              </w:rPr>
            </w:pPr>
            <w:r>
              <w:rPr>
                <w:rFonts w:ascii="Arial" w:cs="Arial" w:eastAsia="Arial" w:hAnsi="Arial"/>
                <w:sz w:val="11"/>
                <w:szCs w:val="11"/>
                <w:b w:val="1"/>
                <w:bCs w:val="1"/>
                <w:color w:val="auto"/>
              </w:rPr>
              <w:t>$</w:t>
            </w:r>
          </w:p>
        </w:tc>
        <w:tc>
          <w:tcPr>
            <w:tcW w:w="400" w:type="dxa"/>
            <w:vAlign w:val="bottom"/>
          </w:tcPr>
          <w:p>
            <w:pPr>
              <w:spacing w:after="0"/>
              <w:rPr>
                <w:sz w:val="8"/>
                <w:szCs w:val="8"/>
                <w:color w:val="auto"/>
              </w:rPr>
            </w:pPr>
          </w:p>
        </w:tc>
        <w:tc>
          <w:tcPr>
            <w:tcW w:w="500" w:type="dxa"/>
            <w:vAlign w:val="bottom"/>
            <w:tcBorders>
              <w:bottom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w w:val="87"/>
              </w:rPr>
              <w:t>Revenue</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rPr>
              <w:t>$</w:t>
            </w:r>
          </w:p>
        </w:tc>
        <w:tc>
          <w:tcPr>
            <w:tcW w:w="440" w:type="dxa"/>
            <w:vAlign w:val="bottom"/>
            <w:tcBorders>
              <w:top w:val="single" w:sz="8" w:color="auto"/>
              <w:bottom w:val="single" w:sz="8" w:color="auto"/>
            </w:tcBorders>
          </w:tcPr>
          <w:p>
            <w:pPr>
              <w:jc w:val="right"/>
              <w:ind w:right="17"/>
              <w:spacing w:after="0" w:line="99" w:lineRule="exact"/>
              <w:rPr>
                <w:sz w:val="20"/>
                <w:szCs w:val="20"/>
                <w:color w:val="auto"/>
              </w:rPr>
            </w:pPr>
            <w:r>
              <w:rPr>
                <w:rFonts w:ascii="Arial" w:cs="Arial" w:eastAsia="Arial" w:hAnsi="Arial"/>
                <w:sz w:val="11"/>
                <w:szCs w:val="11"/>
                <w:b w:val="1"/>
                <w:bCs w:val="1"/>
                <w:color w:val="auto"/>
                <w:w w:val="84"/>
              </w:rPr>
              <w:t>Change</w:t>
            </w:r>
          </w:p>
        </w:tc>
        <w:tc>
          <w:tcPr>
            <w:tcW w:w="400" w:type="dxa"/>
            <w:vAlign w:val="bottom"/>
            <w:tcBorders>
              <w:top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7"/>
              <w:spacing w:after="0" w:line="99" w:lineRule="exact"/>
              <w:rPr>
                <w:sz w:val="20"/>
                <w:szCs w:val="20"/>
                <w:color w:val="auto"/>
              </w:rPr>
            </w:pPr>
            <w:r>
              <w:rPr>
                <w:rFonts w:ascii="Arial" w:cs="Arial" w:eastAsia="Arial" w:hAnsi="Arial"/>
                <w:sz w:val="11"/>
                <w:szCs w:val="11"/>
                <w:b w:val="1"/>
                <w:bCs w:val="1"/>
                <w:color w:val="auto"/>
                <w:w w:val="93"/>
              </w:rPr>
              <w:t>% Change</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(In</w:t>
            </w: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thousands)</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revenue</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72,406</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100.0%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54,218</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100.0%</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18,188</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33.5%</w:t>
            </w:r>
          </w:p>
        </w:tc>
        <w:tc>
          <w:tcPr>
            <w:tcW w:w="0" w:type="dxa"/>
            <w:vAlign w:val="bottom"/>
          </w:tcPr>
          <w:p>
            <w:pPr>
              <w:spacing w:after="0"/>
              <w:rPr>
                <w:sz w:val="1"/>
                <w:szCs w:val="1"/>
                <w:color w:val="auto"/>
              </w:rPr>
            </w:pPr>
          </w:p>
        </w:tc>
      </w:tr>
      <w:tr>
        <w:trPr>
          <w:trHeight w:val="149"/>
        </w:trPr>
        <w:tc>
          <w:tcPr>
            <w:tcW w:w="4380" w:type="dxa"/>
            <w:vAlign w:val="bottom"/>
            <w:gridSpan w:val="3"/>
          </w:tcPr>
          <w:p>
            <w:pPr>
              <w:spacing w:after="0"/>
              <w:rPr>
                <w:sz w:val="20"/>
                <w:szCs w:val="20"/>
                <w:color w:val="auto"/>
              </w:rPr>
            </w:pPr>
            <w:r>
              <w:rPr>
                <w:rFonts w:ascii="Arial" w:cs="Arial" w:eastAsia="Arial" w:hAnsi="Arial"/>
                <w:sz w:val="13"/>
                <w:szCs w:val="13"/>
                <w:color w:val="auto"/>
                <w:w w:val="93"/>
              </w:rPr>
              <w:t>Cost of services ($3,714 and $8,089 were purchased from a related party in 2006</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60" w:type="dxa"/>
            <w:vAlign w:val="bottom"/>
            <w:gridSpan w:val="2"/>
          </w:tcPr>
          <w:p>
            <w:pPr>
              <w:ind w:left="120"/>
              <w:spacing w:after="0"/>
              <w:rPr>
                <w:sz w:val="20"/>
                <w:szCs w:val="20"/>
                <w:color w:val="auto"/>
              </w:rPr>
            </w:pPr>
            <w:r>
              <w:rPr>
                <w:rFonts w:ascii="Arial" w:cs="Arial" w:eastAsia="Arial" w:hAnsi="Arial"/>
                <w:sz w:val="13"/>
                <w:szCs w:val="13"/>
                <w:color w:val="auto"/>
              </w:rPr>
              <w:t>and 2005, respectively)*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35,643</w:t>
            </w: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49.2%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30,205</w:t>
            </w: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55.7%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5,438</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7,726</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10.7%</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5,689</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10.5%</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2,037</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60" w:type="dxa"/>
            <w:vAlign w:val="bottom"/>
            <w:gridSpan w:val="2"/>
          </w:tcPr>
          <w:p>
            <w:pPr>
              <w:spacing w:after="0"/>
              <w:rPr>
                <w:sz w:val="20"/>
                <w:szCs w:val="20"/>
                <w:color w:val="auto"/>
              </w:rPr>
            </w:pPr>
            <w:r>
              <w:rPr>
                <w:rFonts w:ascii="Arial" w:cs="Arial" w:eastAsia="Arial" w:hAnsi="Arial"/>
                <w:sz w:val="13"/>
                <w:szCs w:val="13"/>
                <w:color w:val="auto"/>
              </w:rPr>
              <w:t>Selling, general and administrative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10,474</w:t>
            </w: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14.5%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7,544</w:t>
            </w: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13.9%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2,930</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Depreciation</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3,267</w:t>
            </w:r>
          </w:p>
        </w:tc>
        <w:tc>
          <w:tcPr>
            <w:tcW w:w="4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4.5%</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2,305</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4.3%</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962</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57,110</w:t>
            </w:r>
          </w:p>
        </w:tc>
        <w:tc>
          <w:tcPr>
            <w:tcW w:w="4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78.9%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45,743</w:t>
            </w: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84.4%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11,367</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24.8%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15,296</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21.1%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8,475</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15.6%</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6,821</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80.5%</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680"/>
        <w:spacing w:after="0"/>
        <w:tabs>
          <w:tab w:leader="none" w:pos="880" w:val="left"/>
        </w:tabs>
        <w:rPr>
          <w:sz w:val="20"/>
          <w:szCs w:val="20"/>
          <w:color w:val="auto"/>
        </w:rPr>
      </w:pPr>
      <w:r>
        <w:rPr>
          <w:rFonts w:ascii="Arial" w:cs="Arial" w:eastAsia="Arial" w:hAnsi="Arial"/>
          <w:sz w:val="13"/>
          <w:szCs w:val="13"/>
          <w:color w:val="auto"/>
        </w:rPr>
        <w:t>*</w:t>
        <w:tab/>
        <w:t>Cost of services excludes depreciation which is shown separately.</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0" w:lineRule="exact"/>
        <w:rPr>
          <w:sz w:val="20"/>
          <w:szCs w:val="20"/>
          <w:color w:val="auto"/>
        </w:rPr>
      </w:pPr>
    </w:p>
    <w:p>
      <w:pPr>
        <w:ind w:left="680" w:right="40" w:firstLine="399"/>
        <w:spacing w:after="0" w:line="259" w:lineRule="auto"/>
        <w:rPr>
          <w:sz w:val="20"/>
          <w:szCs w:val="20"/>
          <w:color w:val="auto"/>
        </w:rPr>
      </w:pPr>
      <w:r>
        <w:rPr>
          <w:rFonts w:ascii="Arial" w:cs="Arial" w:eastAsia="Arial" w:hAnsi="Arial"/>
          <w:sz w:val="13"/>
          <w:szCs w:val="13"/>
          <w:i w:val="1"/>
          <w:iCs w:val="1"/>
          <w:color w:val="auto"/>
        </w:rPr>
        <w:t xml:space="preserve">Net Revenue. </w:t>
      </w:r>
      <w:r>
        <w:rPr>
          <w:rFonts w:ascii="Arial" w:cs="Arial" w:eastAsia="Arial" w:hAnsi="Arial"/>
          <w:sz w:val="13"/>
          <w:szCs w:val="13"/>
          <w:color w:val="auto"/>
        </w:rPr>
        <w:t>Net revenues increased $18.2 million to $72.4 million for 2006, compared to 2005. This increase includes $11.5 million of additional revenues from existing</w:t>
      </w:r>
      <w:r>
        <w:rPr>
          <w:rFonts w:ascii="Arial" w:cs="Arial" w:eastAsia="Arial" w:hAnsi="Arial"/>
          <w:sz w:val="13"/>
          <w:szCs w:val="13"/>
          <w:i w:val="1"/>
          <w:iCs w:val="1"/>
          <w:color w:val="auto"/>
        </w:rPr>
        <w:t xml:space="preserve"> </w:t>
      </w:r>
      <w:r>
        <w:rPr>
          <w:rFonts w:ascii="Arial" w:cs="Arial" w:eastAsia="Arial" w:hAnsi="Arial"/>
          <w:sz w:val="13"/>
          <w:szCs w:val="13"/>
          <w:color w:val="auto"/>
        </w:rPr>
        <w:t>customers and $6.7 million related to additional revenues generated by CSP customers added since 2005. Net revenues related to AT&amp;T increased to $47.5 million from $43.4 million for 2005. Revenues outside of the AT&amp;T relationship generated $25.0 million of our revenues during 2006, as compared to $10.8 million for 2005. These additional revenues were offset by decreases in revenues from wireline customers. Transaction revenues recognized for the year ended December 31, 2006 represented 85% or $61.7 million of net revenues compared to 83% for the same period in 2005. Professional service revenues increased as a percentage of sales to 13% or $9.5 million for the year ended December 31, 2006, compared to 11% for previous year.</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Expense</w:t>
      </w:r>
    </w:p>
    <w:p>
      <w:pPr>
        <w:spacing w:after="0" w:line="9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Cost of Services. </w:t>
      </w:r>
      <w:r>
        <w:rPr>
          <w:rFonts w:ascii="Arial" w:cs="Arial" w:eastAsia="Arial" w:hAnsi="Arial"/>
          <w:sz w:val="13"/>
          <w:szCs w:val="13"/>
          <w:color w:val="auto"/>
        </w:rPr>
        <w:t>Cost of services increased $5.4 million to $35.6 million during 2006, compared to 2005, due primarily to the growth in personnel costs and third-party consulting</w:t>
      </w:r>
      <w:r>
        <w:rPr>
          <w:rFonts w:ascii="Arial" w:cs="Arial" w:eastAsia="Arial" w:hAnsi="Arial"/>
          <w:sz w:val="13"/>
          <w:szCs w:val="13"/>
          <w:i w:val="1"/>
          <w:iCs w:val="1"/>
          <w:color w:val="auto"/>
        </w:rPr>
        <w:t xml:space="preserve"> </w:t>
      </w:r>
      <w:r>
        <w:rPr>
          <w:rFonts w:ascii="Arial" w:cs="Arial" w:eastAsia="Arial" w:hAnsi="Arial"/>
          <w:sz w:val="13"/>
          <w:szCs w:val="13"/>
          <w:color w:val="auto"/>
        </w:rPr>
        <w:t>services costs required to support higher transaction volumes submitted to us by our customers. In particular, personnel and related costs increased $1.4 million and third-party consulting services costs increased $2.1 to manage exception handling. Telecommunication expense in our data facilities contributed approximately $838 to the increase in cost of services. In addition, stock-based compensation expense increased $320 due to the adoption of SFAS 123(R). Also, additional repairs and maintenance expense in our data facilities contributed approximately $340 due to the increase in cost of services. Cost of services as a percentage of revenues decreased to 49.2% for year ended December 31, 2006, as compared to 55.7% for the same period in 2005. The benefits and efficiencies gained by increased automation rates in both existing and new customers as compared to the prior year is the primary cause for our lower costs as a percentage of revenues.</w:t>
      </w:r>
    </w:p>
    <w:p>
      <w:pPr>
        <w:spacing w:after="0" w:line="71" w:lineRule="exact"/>
        <w:rPr>
          <w:sz w:val="20"/>
          <w:szCs w:val="20"/>
          <w:color w:val="auto"/>
        </w:rPr>
      </w:pPr>
    </w:p>
    <w:p>
      <w:pPr>
        <w:ind w:left="680" w:right="120" w:firstLine="399"/>
        <w:spacing w:after="0" w:line="262" w:lineRule="auto"/>
        <w:rPr>
          <w:sz w:val="20"/>
          <w:szCs w:val="20"/>
          <w:color w:val="auto"/>
        </w:rPr>
      </w:pPr>
      <w:r>
        <w:rPr>
          <w:rFonts w:ascii="Arial" w:cs="Arial" w:eastAsia="Arial" w:hAnsi="Arial"/>
          <w:sz w:val="13"/>
          <w:szCs w:val="13"/>
          <w:i w:val="1"/>
          <w:iCs w:val="1"/>
          <w:color w:val="auto"/>
        </w:rPr>
        <w:t xml:space="preserve">Research and Development. </w:t>
      </w:r>
      <w:r>
        <w:rPr>
          <w:rFonts w:ascii="Arial" w:cs="Arial" w:eastAsia="Arial" w:hAnsi="Arial"/>
          <w:sz w:val="13"/>
          <w:szCs w:val="13"/>
          <w:color w:val="auto"/>
        </w:rPr>
        <w:t>Research and development expense increased $2.0 million to $7.7 million for 2006, compared to 2005, due to the continued investment in and further</w:t>
      </w:r>
      <w:r>
        <w:rPr>
          <w:rFonts w:ascii="Arial" w:cs="Arial" w:eastAsia="Arial" w:hAnsi="Arial"/>
          <w:sz w:val="13"/>
          <w:szCs w:val="13"/>
          <w:i w:val="1"/>
          <w:iCs w:val="1"/>
          <w:color w:val="auto"/>
        </w:rPr>
        <w:t xml:space="preserve"> </w:t>
      </w:r>
      <w:r>
        <w:rPr>
          <w:rFonts w:ascii="Arial" w:cs="Arial" w:eastAsia="Arial" w:hAnsi="Arial"/>
          <w:sz w:val="13"/>
          <w:szCs w:val="13"/>
          <w:color w:val="auto"/>
        </w:rPr>
        <w:t>development of our ActivationNow</w:t>
      </w:r>
      <w:r>
        <w:rPr>
          <w:rFonts w:ascii="Arial" w:cs="Arial" w:eastAsia="Arial" w:hAnsi="Arial"/>
          <w:sz w:val="11"/>
          <w:szCs w:val="11"/>
          <w:color w:val="auto"/>
        </w:rPr>
        <w:t>®</w:t>
      </w:r>
      <w:r>
        <w:rPr>
          <w:rFonts w:ascii="Arial" w:cs="Arial" w:eastAsia="Arial" w:hAnsi="Arial"/>
          <w:sz w:val="13"/>
          <w:szCs w:val="13"/>
          <w:color w:val="auto"/>
        </w:rPr>
        <w:t xml:space="preserve"> platform to enhance our service offerings, particularly regarding VoIP services and increases in automation that have continued to allow us to gain operational efficiencies. Research and development expense as a percentage of revenues increased to 10.7% for the year ended December 31, 2006, as compared to 10.5% for the same period in 2005.</w:t>
      </w:r>
    </w:p>
    <w:p>
      <w:pPr>
        <w:spacing w:after="0" w:line="69" w:lineRule="exact"/>
        <w:rPr>
          <w:sz w:val="20"/>
          <w:szCs w:val="20"/>
          <w:color w:val="auto"/>
        </w:rPr>
      </w:pPr>
    </w:p>
    <w:p>
      <w:pPr>
        <w:jc w:val="both"/>
        <w:ind w:left="680" w:right="80" w:firstLine="399"/>
        <w:spacing w:after="0" w:line="262" w:lineRule="auto"/>
        <w:rPr>
          <w:sz w:val="20"/>
          <w:szCs w:val="20"/>
          <w:color w:val="auto"/>
        </w:rPr>
      </w:pPr>
      <w:r>
        <w:rPr>
          <w:rFonts w:ascii="Arial" w:cs="Arial" w:eastAsia="Arial" w:hAnsi="Arial"/>
          <w:sz w:val="13"/>
          <w:szCs w:val="13"/>
          <w:i w:val="1"/>
          <w:iCs w:val="1"/>
          <w:color w:val="auto"/>
        </w:rPr>
        <w:t xml:space="preserve">Selling, General and Administrative. </w:t>
      </w:r>
      <w:r>
        <w:rPr>
          <w:rFonts w:ascii="Arial" w:cs="Arial" w:eastAsia="Arial" w:hAnsi="Arial"/>
          <w:sz w:val="13"/>
          <w:szCs w:val="13"/>
          <w:color w:val="auto"/>
        </w:rPr>
        <w:t>Selling, general and administrative expense increased $2.9 million to $10.5 million for 2006, compared to 2005, due to increases in personnel</w:t>
      </w:r>
      <w:r>
        <w:rPr>
          <w:rFonts w:ascii="Arial" w:cs="Arial" w:eastAsia="Arial" w:hAnsi="Arial"/>
          <w:sz w:val="13"/>
          <w:szCs w:val="13"/>
          <w:i w:val="1"/>
          <w:iCs w:val="1"/>
          <w:color w:val="auto"/>
        </w:rPr>
        <w:t xml:space="preserve"> </w:t>
      </w:r>
      <w:r>
        <w:rPr>
          <w:rFonts w:ascii="Arial" w:cs="Arial" w:eastAsia="Arial" w:hAnsi="Arial"/>
          <w:sz w:val="13"/>
          <w:szCs w:val="13"/>
          <w:color w:val="auto"/>
        </w:rPr>
        <w:t>and related costs totaling $790 as a result of the growth of our sales force, and increased expenses of $893 associated with being a public company. In addition, stock-based compensation expense increased $399 due to the adoption of SFAS 123(R). Selling, general and administrative expense as a percentage of revenues increased to 14.5% for the year ended December 31, 2006, as compared to 13.9% for the same period in 2005.</w:t>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Depreciation. </w:t>
      </w:r>
      <w:r>
        <w:rPr>
          <w:rFonts w:ascii="Arial" w:cs="Arial" w:eastAsia="Arial" w:hAnsi="Arial"/>
          <w:sz w:val="13"/>
          <w:szCs w:val="13"/>
          <w:color w:val="auto"/>
        </w:rPr>
        <w:t>Depreciation expense increased $1.0 million to $3.3 million due to fixed asset additions.</w:t>
      </w:r>
    </w:p>
    <w:p>
      <w:pPr>
        <w:spacing w:after="0" w:line="98" w:lineRule="exact"/>
        <w:rPr>
          <w:sz w:val="20"/>
          <w:szCs w:val="20"/>
          <w:color w:val="auto"/>
        </w:rPr>
      </w:pPr>
    </w:p>
    <w:p>
      <w:pPr>
        <w:jc w:val="both"/>
        <w:ind w:left="680" w:right="140" w:firstLine="399"/>
        <w:spacing w:after="0" w:line="266" w:lineRule="auto"/>
        <w:rPr>
          <w:sz w:val="20"/>
          <w:szCs w:val="20"/>
          <w:color w:val="auto"/>
        </w:rPr>
      </w:pPr>
      <w:r>
        <w:rPr>
          <w:rFonts w:ascii="Arial" w:cs="Arial" w:eastAsia="Arial" w:hAnsi="Arial"/>
          <w:sz w:val="13"/>
          <w:szCs w:val="13"/>
          <w:i w:val="1"/>
          <w:iCs w:val="1"/>
          <w:color w:val="auto"/>
        </w:rPr>
        <w:t xml:space="preserve">Income Tax. </w:t>
      </w:r>
      <w:r>
        <w:rPr>
          <w:rFonts w:ascii="Arial" w:cs="Arial" w:eastAsia="Arial" w:hAnsi="Arial"/>
          <w:sz w:val="13"/>
          <w:szCs w:val="13"/>
          <w:color w:val="auto"/>
        </w:rPr>
        <w:t>Our effective tax rate was approximately 41.9% and (45.0)% for 2006 and 2005, respectively. The change in the effective rate is primarily due to the reversal of our</w:t>
      </w:r>
      <w:r>
        <w:rPr>
          <w:rFonts w:ascii="Arial" w:cs="Arial" w:eastAsia="Arial" w:hAnsi="Arial"/>
          <w:sz w:val="13"/>
          <w:szCs w:val="13"/>
          <w:i w:val="1"/>
          <w:iCs w:val="1"/>
          <w:color w:val="auto"/>
        </w:rPr>
        <w:t xml:space="preserve"> </w:t>
      </w:r>
      <w:r>
        <w:rPr>
          <w:rFonts w:ascii="Arial" w:cs="Arial" w:eastAsia="Arial" w:hAnsi="Arial"/>
          <w:sz w:val="13"/>
          <w:szCs w:val="13"/>
          <w:color w:val="auto"/>
        </w:rPr>
        <w:t>deferred tax asset valuation allowance, which occurred during the fourth quarter of 2005. During year ended December 31, 2006, we recognized approximately $7.3 million in related tax expense, as compared to a related tax benefit of approximately $3.8 million for the same period in 2005.</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Unaudited Quarterly Results of Operations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center"/>
              <w:ind w:right="356"/>
              <w:spacing w:after="0"/>
              <w:rPr>
                <w:sz w:val="20"/>
                <w:szCs w:val="20"/>
                <w:color w:val="auto"/>
              </w:rPr>
            </w:pPr>
            <w:r>
              <w:rPr>
                <w:rFonts w:ascii="Arial" w:cs="Arial" w:eastAsia="Arial" w:hAnsi="Arial"/>
                <w:sz w:val="11"/>
                <w:szCs w:val="11"/>
                <w:b w:val="1"/>
                <w:bCs w:val="1"/>
                <w:color w:val="auto"/>
                <w:w w:val="91"/>
              </w:rPr>
              <w:t>Quarter Ended</w:t>
            </w: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9"/>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6"/>
              <w:spacing w:after="0" w:line="99" w:lineRule="exact"/>
              <w:rPr>
                <w:sz w:val="20"/>
                <w:szCs w:val="20"/>
                <w:color w:val="auto"/>
              </w:rPr>
            </w:pPr>
            <w:r>
              <w:rPr>
                <w:rFonts w:ascii="Arial" w:cs="Arial" w:eastAsia="Arial" w:hAnsi="Arial"/>
                <w:sz w:val="11"/>
                <w:szCs w:val="11"/>
                <w:b w:val="1"/>
                <w:bCs w:val="1"/>
                <w:color w:val="auto"/>
                <w:w w:val="87"/>
              </w:rPr>
              <w:t>March 31</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58"/>
              <w:spacing w:after="0" w:line="99" w:lineRule="exact"/>
              <w:rPr>
                <w:sz w:val="20"/>
                <w:szCs w:val="20"/>
                <w:color w:val="auto"/>
              </w:rPr>
            </w:pPr>
            <w:r>
              <w:rPr>
                <w:rFonts w:ascii="Arial" w:cs="Arial" w:eastAsia="Arial" w:hAnsi="Arial"/>
                <w:sz w:val="11"/>
                <w:szCs w:val="11"/>
                <w:b w:val="1"/>
                <w:bCs w:val="1"/>
                <w:color w:val="auto"/>
                <w:w w:val="87"/>
              </w:rPr>
              <w:t>June 30</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76"/>
              <w:spacing w:after="0" w:line="99" w:lineRule="exact"/>
              <w:rPr>
                <w:sz w:val="20"/>
                <w:szCs w:val="20"/>
                <w:color w:val="auto"/>
              </w:rPr>
            </w:pPr>
            <w:r>
              <w:rPr>
                <w:rFonts w:ascii="Arial" w:cs="Arial" w:eastAsia="Arial" w:hAnsi="Arial"/>
                <w:sz w:val="11"/>
                <w:szCs w:val="11"/>
                <w:b w:val="1"/>
                <w:bCs w:val="1"/>
                <w:color w:val="auto"/>
                <w:w w:val="85"/>
              </w:rPr>
              <w:t>September 30</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36"/>
              <w:spacing w:after="0" w:line="99" w:lineRule="exact"/>
              <w:rPr>
                <w:sz w:val="20"/>
                <w:szCs w:val="20"/>
                <w:color w:val="auto"/>
              </w:rPr>
            </w:pPr>
            <w:r>
              <w:rPr>
                <w:rFonts w:ascii="Arial" w:cs="Arial" w:eastAsia="Arial" w:hAnsi="Arial"/>
                <w:sz w:val="11"/>
                <w:szCs w:val="11"/>
                <w:b w:val="1"/>
                <w:bCs w:val="1"/>
                <w:color w:val="auto"/>
                <w:w w:val="84"/>
              </w:rPr>
              <w:t>December 31</w:t>
            </w:r>
          </w:p>
        </w:tc>
        <w:tc>
          <w:tcPr>
            <w:tcW w:w="100" w:type="dxa"/>
            <w:vAlign w:val="bottom"/>
          </w:tcPr>
          <w:p>
            <w:pPr>
              <w:spacing w:after="0"/>
              <w:rPr>
                <w:sz w:val="8"/>
                <w:szCs w:val="8"/>
                <w:color w:val="auto"/>
              </w:rPr>
            </w:pPr>
          </w:p>
        </w:tc>
      </w:tr>
      <w:tr>
        <w:trPr>
          <w:trHeight w:val="126"/>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4"/>
          </w:tcPr>
          <w:p>
            <w:pPr>
              <w:jc w:val="center"/>
              <w:ind w:left="18"/>
              <w:spacing w:after="0"/>
              <w:rPr>
                <w:sz w:val="20"/>
                <w:szCs w:val="20"/>
                <w:color w:val="auto"/>
              </w:rPr>
            </w:pPr>
            <w:r>
              <w:rPr>
                <w:rFonts w:ascii="Arial" w:cs="Arial" w:eastAsia="Arial" w:hAnsi="Arial"/>
                <w:sz w:val="11"/>
                <w:szCs w:val="11"/>
                <w:b w:val="1"/>
                <w:bCs w:val="1"/>
                <w:color w:val="auto"/>
                <w:w w:val="85"/>
              </w:rPr>
              <w:t>(In thousands, except per share data)</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1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8"/>
        </w:trPr>
        <w:tc>
          <w:tcPr>
            <w:tcW w:w="20" w:type="dxa"/>
            <w:vAlign w:val="bottom"/>
          </w:tcPr>
          <w:p>
            <w:pPr>
              <w:spacing w:after="0"/>
              <w:rPr>
                <w:sz w:val="13"/>
                <w:szCs w:val="13"/>
                <w:color w:val="auto"/>
              </w:rPr>
            </w:pPr>
          </w:p>
        </w:tc>
        <w:tc>
          <w:tcPr>
            <w:tcW w:w="4060" w:type="dxa"/>
            <w:vAlign w:val="bottom"/>
          </w:tcPr>
          <w:p>
            <w:pPr>
              <w:spacing w:after="0"/>
              <w:rPr>
                <w:sz w:val="20"/>
                <w:szCs w:val="20"/>
                <w:color w:val="auto"/>
              </w:rPr>
            </w:pPr>
            <w:r>
              <w:rPr>
                <w:rFonts w:ascii="Arial" w:cs="Arial" w:eastAsia="Arial" w:hAnsi="Arial"/>
                <w:sz w:val="13"/>
                <w:szCs w:val="13"/>
                <w:color w:val="auto"/>
              </w:rPr>
              <w:t>Net revenues</w:t>
            </w:r>
          </w:p>
        </w:tc>
        <w:tc>
          <w:tcPr>
            <w:tcW w:w="18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21,329</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31,321</w:t>
            </w:r>
          </w:p>
        </w:tc>
        <w:tc>
          <w:tcPr>
            <w:tcW w:w="500" w:type="dxa"/>
            <w:vAlign w:val="bottom"/>
            <w:gridSpan w:val="2"/>
          </w:tcPr>
          <w:p>
            <w:pPr>
              <w:jc w:val="center"/>
              <w:ind w:left="281"/>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34,477</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36,411</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3"/>
                <w:szCs w:val="13"/>
                <w:color w:val="auto"/>
              </w:rPr>
              <w:t>Gross profit(2)</w:t>
            </w: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11,687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16,816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18,876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20,854</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4060" w:type="dxa"/>
            <w:vAlign w:val="bottom"/>
          </w:tcPr>
          <w:p>
            <w:pPr>
              <w:spacing w:after="0"/>
              <w:rPr>
                <w:sz w:val="20"/>
                <w:szCs w:val="20"/>
                <w:color w:val="auto"/>
              </w:rPr>
            </w:pPr>
            <w:r>
              <w:rPr>
                <w:rFonts w:ascii="Arial" w:cs="Arial" w:eastAsia="Arial" w:hAnsi="Arial"/>
                <w:sz w:val="13"/>
                <w:szCs w:val="13"/>
                <w:color w:val="auto"/>
              </w:rPr>
              <w:t>Net income(3)</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3,694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5,436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8,008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6,618</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3"/>
                <w:szCs w:val="13"/>
                <w:color w:val="auto"/>
              </w:rPr>
              <w:t>Basic net income per common share(1)(3)</w:t>
            </w: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0.20</w:t>
            </w:r>
          </w:p>
        </w:tc>
        <w:tc>
          <w:tcPr>
            <w:tcW w:w="100" w:type="dxa"/>
            <w:vAlign w:val="bottom"/>
            <w:shd w:val="clear" w:color="auto" w:fill="CCEEFF"/>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4060" w:type="dxa"/>
            <w:vAlign w:val="bottom"/>
          </w:tcPr>
          <w:p>
            <w:pPr>
              <w:spacing w:after="0"/>
              <w:rPr>
                <w:sz w:val="20"/>
                <w:szCs w:val="20"/>
                <w:color w:val="auto"/>
              </w:rPr>
            </w:pPr>
            <w:r>
              <w:rPr>
                <w:rFonts w:ascii="Arial" w:cs="Arial" w:eastAsia="Arial" w:hAnsi="Arial"/>
                <w:sz w:val="13"/>
                <w:szCs w:val="13"/>
                <w:color w:val="auto"/>
              </w:rPr>
              <w:t>Diluted net income per common share(1)(3)</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0.11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0.16</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0.24</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0.20</w:t>
            </w:r>
          </w:p>
        </w:tc>
        <w:tc>
          <w:tcPr>
            <w:tcW w:w="100" w:type="dxa"/>
            <w:vAlign w:val="bottom"/>
          </w:tcPr>
          <w:p>
            <w:pPr>
              <w:spacing w:after="0"/>
              <w:rPr>
                <w:sz w:val="14"/>
                <w:szCs w:val="14"/>
                <w:color w:val="auto"/>
              </w:rPr>
            </w:pPr>
          </w:p>
        </w:tc>
      </w:tr>
      <w:tr>
        <w:trPr>
          <w:trHeight w:val="280"/>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center"/>
              <w:ind w:right="356"/>
              <w:spacing w:after="0"/>
              <w:rPr>
                <w:sz w:val="20"/>
                <w:szCs w:val="20"/>
                <w:color w:val="auto"/>
              </w:rPr>
            </w:pPr>
            <w:r>
              <w:rPr>
                <w:rFonts w:ascii="Arial" w:cs="Arial" w:eastAsia="Arial" w:hAnsi="Arial"/>
                <w:sz w:val="11"/>
                <w:szCs w:val="11"/>
                <w:b w:val="1"/>
                <w:bCs w:val="1"/>
                <w:color w:val="auto"/>
                <w:w w:val="91"/>
              </w:rPr>
              <w:t>Quarter Ended</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99"/>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6"/>
              <w:spacing w:after="0" w:line="99" w:lineRule="exact"/>
              <w:rPr>
                <w:sz w:val="20"/>
                <w:szCs w:val="20"/>
                <w:color w:val="auto"/>
              </w:rPr>
            </w:pPr>
            <w:r>
              <w:rPr>
                <w:rFonts w:ascii="Arial" w:cs="Arial" w:eastAsia="Arial" w:hAnsi="Arial"/>
                <w:sz w:val="11"/>
                <w:szCs w:val="11"/>
                <w:b w:val="1"/>
                <w:bCs w:val="1"/>
                <w:color w:val="auto"/>
                <w:w w:val="87"/>
              </w:rPr>
              <w:t>March 31</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58"/>
              <w:spacing w:after="0" w:line="99" w:lineRule="exact"/>
              <w:rPr>
                <w:sz w:val="20"/>
                <w:szCs w:val="20"/>
                <w:color w:val="auto"/>
              </w:rPr>
            </w:pPr>
            <w:r>
              <w:rPr>
                <w:rFonts w:ascii="Arial" w:cs="Arial" w:eastAsia="Arial" w:hAnsi="Arial"/>
                <w:sz w:val="11"/>
                <w:szCs w:val="11"/>
                <w:b w:val="1"/>
                <w:bCs w:val="1"/>
                <w:color w:val="auto"/>
                <w:w w:val="87"/>
              </w:rPr>
              <w:t>June 30</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76"/>
              <w:spacing w:after="0" w:line="99" w:lineRule="exact"/>
              <w:rPr>
                <w:sz w:val="20"/>
                <w:szCs w:val="20"/>
                <w:color w:val="auto"/>
              </w:rPr>
            </w:pPr>
            <w:r>
              <w:rPr>
                <w:rFonts w:ascii="Arial" w:cs="Arial" w:eastAsia="Arial" w:hAnsi="Arial"/>
                <w:sz w:val="11"/>
                <w:szCs w:val="11"/>
                <w:b w:val="1"/>
                <w:bCs w:val="1"/>
                <w:color w:val="auto"/>
                <w:w w:val="85"/>
              </w:rPr>
              <w:t>September 30</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36"/>
              <w:spacing w:after="0" w:line="99" w:lineRule="exact"/>
              <w:rPr>
                <w:sz w:val="20"/>
                <w:szCs w:val="20"/>
                <w:color w:val="auto"/>
              </w:rPr>
            </w:pPr>
            <w:r>
              <w:rPr>
                <w:rFonts w:ascii="Arial" w:cs="Arial" w:eastAsia="Arial" w:hAnsi="Arial"/>
                <w:sz w:val="11"/>
                <w:szCs w:val="11"/>
                <w:b w:val="1"/>
                <w:bCs w:val="1"/>
                <w:color w:val="auto"/>
                <w:w w:val="84"/>
              </w:rPr>
              <w:t>December 31</w:t>
            </w:r>
          </w:p>
        </w:tc>
        <w:tc>
          <w:tcPr>
            <w:tcW w:w="100" w:type="dxa"/>
            <w:vAlign w:val="bottom"/>
          </w:tcPr>
          <w:p>
            <w:pPr>
              <w:spacing w:after="0"/>
              <w:rPr>
                <w:sz w:val="8"/>
                <w:szCs w:val="8"/>
                <w:color w:val="auto"/>
              </w:rPr>
            </w:pPr>
          </w:p>
        </w:tc>
      </w:tr>
      <w:tr>
        <w:trPr>
          <w:trHeight w:val="126"/>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4"/>
          </w:tcPr>
          <w:p>
            <w:pPr>
              <w:jc w:val="center"/>
              <w:ind w:left="18"/>
              <w:spacing w:after="0"/>
              <w:rPr>
                <w:sz w:val="20"/>
                <w:szCs w:val="20"/>
                <w:color w:val="auto"/>
              </w:rPr>
            </w:pPr>
            <w:r>
              <w:rPr>
                <w:rFonts w:ascii="Arial" w:cs="Arial" w:eastAsia="Arial" w:hAnsi="Arial"/>
                <w:sz w:val="11"/>
                <w:szCs w:val="11"/>
                <w:b w:val="1"/>
                <w:bCs w:val="1"/>
                <w:color w:val="auto"/>
                <w:w w:val="85"/>
              </w:rPr>
              <w:t>(In thousands, except per share data)</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1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8"/>
        </w:trPr>
        <w:tc>
          <w:tcPr>
            <w:tcW w:w="20" w:type="dxa"/>
            <w:vAlign w:val="bottom"/>
          </w:tcPr>
          <w:p>
            <w:pPr>
              <w:spacing w:after="0"/>
              <w:rPr>
                <w:sz w:val="13"/>
                <w:szCs w:val="13"/>
                <w:color w:val="auto"/>
              </w:rPr>
            </w:pPr>
          </w:p>
        </w:tc>
        <w:tc>
          <w:tcPr>
            <w:tcW w:w="4060" w:type="dxa"/>
            <w:vAlign w:val="bottom"/>
          </w:tcPr>
          <w:p>
            <w:pPr>
              <w:spacing w:after="0"/>
              <w:rPr>
                <w:sz w:val="20"/>
                <w:szCs w:val="20"/>
                <w:color w:val="auto"/>
              </w:rPr>
            </w:pPr>
            <w:r>
              <w:rPr>
                <w:rFonts w:ascii="Arial" w:cs="Arial" w:eastAsia="Arial" w:hAnsi="Arial"/>
                <w:sz w:val="13"/>
                <w:szCs w:val="13"/>
                <w:color w:val="auto"/>
              </w:rPr>
              <w:t>Net revenues</w:t>
            </w:r>
          </w:p>
        </w:tc>
        <w:tc>
          <w:tcPr>
            <w:tcW w:w="18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15,724</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17,442</w:t>
            </w:r>
          </w:p>
        </w:tc>
        <w:tc>
          <w:tcPr>
            <w:tcW w:w="500" w:type="dxa"/>
            <w:vAlign w:val="bottom"/>
            <w:gridSpan w:val="2"/>
          </w:tcPr>
          <w:p>
            <w:pPr>
              <w:jc w:val="center"/>
              <w:ind w:left="281"/>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18,909</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20,331</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3"/>
                <w:szCs w:val="13"/>
                <w:color w:val="auto"/>
              </w:rPr>
              <w:t>Gross profit(2)</w:t>
            </w: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10,224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11,779</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4060" w:type="dxa"/>
            <w:vAlign w:val="bottom"/>
          </w:tcPr>
          <w:p>
            <w:pPr>
              <w:spacing w:after="0"/>
              <w:rPr>
                <w:sz w:val="20"/>
                <w:szCs w:val="20"/>
                <w:color w:val="auto"/>
              </w:rPr>
            </w:pPr>
            <w:r>
              <w:rPr>
                <w:rFonts w:ascii="Arial" w:cs="Arial" w:eastAsia="Arial" w:hAnsi="Arial"/>
                <w:sz w:val="13"/>
                <w:szCs w:val="13"/>
                <w:color w:val="auto"/>
              </w:rPr>
              <w:t>Net income</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1,529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1,428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3,136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4,049</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3"/>
                <w:szCs w:val="13"/>
                <w:color w:val="auto"/>
              </w:rPr>
              <w:t>Basic net income per common share(1)</w:t>
            </w:r>
          </w:p>
        </w:tc>
        <w:tc>
          <w:tcPr>
            <w:tcW w:w="1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0.13</w:t>
            </w:r>
          </w:p>
        </w:tc>
        <w:tc>
          <w:tcPr>
            <w:tcW w:w="100" w:type="dxa"/>
            <w:vAlign w:val="bottom"/>
            <w:shd w:val="clear" w:color="auto" w:fill="CCEEFF"/>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4060" w:type="dxa"/>
            <w:vAlign w:val="bottom"/>
          </w:tcPr>
          <w:p>
            <w:pPr>
              <w:spacing w:after="0"/>
              <w:rPr>
                <w:sz w:val="20"/>
                <w:szCs w:val="20"/>
                <w:color w:val="auto"/>
              </w:rPr>
            </w:pPr>
            <w:r>
              <w:rPr>
                <w:rFonts w:ascii="Arial" w:cs="Arial" w:eastAsia="Arial" w:hAnsi="Arial"/>
                <w:sz w:val="13"/>
                <w:szCs w:val="13"/>
                <w:color w:val="auto"/>
              </w:rPr>
              <w:t>Diluted net income per common share(1)</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0.06</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0.05</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0.10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0.12</w:t>
            </w:r>
          </w:p>
        </w:tc>
        <w:tc>
          <w:tcPr>
            <w:tcW w:w="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58420</wp:posOffset>
            </wp:positionV>
            <wp:extent cx="82232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2325" cy="6350"/>
                    </a:xfrm>
                    <a:prstGeom prst="rect">
                      <a:avLst/>
                    </a:prstGeom>
                    <a:noFill/>
                  </pic:spPr>
                </pic:pic>
              </a:graphicData>
            </a:graphic>
          </wp:anchor>
        </w:drawing>
      </w:r>
    </w:p>
    <w:p>
      <w:pPr>
        <w:spacing w:after="0" w:line="122" w:lineRule="exact"/>
        <w:rPr>
          <w:sz w:val="20"/>
          <w:szCs w:val="20"/>
          <w:color w:val="auto"/>
        </w:rPr>
      </w:pPr>
    </w:p>
    <w:p>
      <w:pPr>
        <w:jc w:val="both"/>
        <w:ind w:left="1200" w:right="100" w:hanging="261"/>
        <w:spacing w:after="0" w:line="266" w:lineRule="auto"/>
        <w:tabs>
          <w:tab w:leader="none" w:pos="12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Per common share amounts for the quarters and full year have been calculated separately. Accordingly, quarterly amounts do not add to the annual amount because of differences in the weighted-average common shares outstanding during each period principally due to the effect of the Company’s issuing shares of its common stock and options during the year.</w:t>
      </w:r>
    </w:p>
    <w:p>
      <w:pPr>
        <w:spacing w:after="0" w:line="17" w:lineRule="exact"/>
        <w:rPr>
          <w:rFonts w:ascii="Arial" w:cs="Arial" w:eastAsia="Arial" w:hAnsi="Arial"/>
          <w:sz w:val="13"/>
          <w:szCs w:val="13"/>
          <w:color w:val="auto"/>
        </w:rPr>
      </w:pPr>
    </w:p>
    <w:p>
      <w:pPr>
        <w:ind w:left="1200" w:hanging="261"/>
        <w:spacing w:after="0"/>
        <w:tabs>
          <w:tab w:leader="none" w:pos="12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Gross profit excludes depreciation.</w:t>
      </w:r>
    </w:p>
    <w:p>
      <w:pPr>
        <w:spacing w:after="0" w:line="48" w:lineRule="exact"/>
        <w:rPr>
          <w:rFonts w:ascii="Arial" w:cs="Arial" w:eastAsia="Arial" w:hAnsi="Arial"/>
          <w:sz w:val="13"/>
          <w:szCs w:val="13"/>
          <w:color w:val="auto"/>
        </w:rPr>
      </w:pPr>
    </w:p>
    <w:p>
      <w:pPr>
        <w:ind w:left="1200" w:hanging="261"/>
        <w:spacing w:after="0"/>
        <w:tabs>
          <w:tab w:leader="none" w:pos="12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Net income for the quarter ended September 30, 2007 included a discrete tax credit that increased net income by $1.1 million and basic and diluted earnings per share by $0.03.</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2"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Our principal source of liquidity has been cash provided by operations and by cash provided from our initial public offering (“IPO”) which was completed on June 20, 2006. The net proceeds from our offering and the exercise of the over-allotment option by our IPO underwriters were approximately $52.8 million, which enabled us to strengthen our balance sheet. Our cash, cash equivalents and marketable securities balance was $95.9 million at December 31, 2007, an increase of $16.9 million as compared to the end of 2006. We anticipate that our principal uses of cash in the future will be to fund the expansion of our business and to expand our customer base internationally. Uses of cash will include facility expansion, capital expenditures and working capital.</w:t>
      </w:r>
    </w:p>
    <w:p>
      <w:pPr>
        <w:spacing w:after="0" w:line="70" w:lineRule="exact"/>
        <w:rPr>
          <w:sz w:val="20"/>
          <w:szCs w:val="20"/>
          <w:color w:val="auto"/>
        </w:rPr>
      </w:pPr>
    </w:p>
    <w:p>
      <w:pPr>
        <w:ind w:left="680" w:right="140" w:firstLine="399"/>
        <w:spacing w:after="0" w:line="262" w:lineRule="auto"/>
        <w:rPr>
          <w:sz w:val="20"/>
          <w:szCs w:val="20"/>
          <w:color w:val="auto"/>
        </w:rPr>
      </w:pPr>
      <w:r>
        <w:rPr>
          <w:rFonts w:ascii="Arial" w:cs="Arial" w:eastAsia="Arial" w:hAnsi="Arial"/>
          <w:sz w:val="13"/>
          <w:szCs w:val="13"/>
          <w:color w:val="auto"/>
        </w:rPr>
        <w:t>Upon the consummation of our IPO on June 20, 2006, all of our Series A and Series 1 convertible preferred stock were converted into shares of common stock on a one-for-one basis. As a result, no dividends are currently accruing. In connection with our IPO and the exercise of the over-allotment option by our IPO underwriters, we paid offering costs, including underwriting discounts and commissions, and other related expenses totaling $7.2 million. These offering costs were offset against the gross proceeds of our IPO and the exercise of the over-allotment option.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Discussion of Cash Flows</w:t>
      </w:r>
    </w:p>
    <w:p>
      <w:pPr>
        <w:spacing w:after="0" w:line="102" w:lineRule="exact"/>
        <w:rPr>
          <w:sz w:val="20"/>
          <w:szCs w:val="20"/>
          <w:color w:val="auto"/>
        </w:rPr>
      </w:pPr>
    </w:p>
    <w:p>
      <w:pPr>
        <w:ind w:left="680" w:right="220" w:firstLine="399"/>
        <w:spacing w:after="0" w:line="291" w:lineRule="auto"/>
        <w:rPr>
          <w:sz w:val="20"/>
          <w:szCs w:val="20"/>
          <w:color w:val="auto"/>
        </w:rPr>
      </w:pPr>
      <w:r>
        <w:rPr>
          <w:rFonts w:ascii="Arial" w:cs="Arial" w:eastAsia="Arial" w:hAnsi="Arial"/>
          <w:sz w:val="12"/>
          <w:szCs w:val="12"/>
          <w:i w:val="1"/>
          <w:iCs w:val="1"/>
          <w:color w:val="auto"/>
        </w:rPr>
        <w:t xml:space="preserve">Cash flows from operations. </w:t>
      </w:r>
      <w:r>
        <w:rPr>
          <w:rFonts w:ascii="Arial" w:cs="Arial" w:eastAsia="Arial" w:hAnsi="Arial"/>
          <w:sz w:val="12"/>
          <w:szCs w:val="12"/>
          <w:color w:val="auto"/>
        </w:rPr>
        <w:t>Net cash provided by operating activities for the year ended December 31, 2007 was $23.5 million, compared to $14.0 million for the year ended</w:t>
      </w:r>
      <w:r>
        <w:rPr>
          <w:rFonts w:ascii="Arial" w:cs="Arial" w:eastAsia="Arial" w:hAnsi="Arial"/>
          <w:sz w:val="12"/>
          <w:szCs w:val="12"/>
          <w:i w:val="1"/>
          <w:iCs w:val="1"/>
          <w:color w:val="auto"/>
        </w:rPr>
        <w:t xml:space="preserve"> </w:t>
      </w:r>
      <w:r>
        <w:rPr>
          <w:rFonts w:ascii="Arial" w:cs="Arial" w:eastAsia="Arial" w:hAnsi="Arial"/>
          <w:sz w:val="12"/>
          <w:szCs w:val="12"/>
          <w:color w:val="auto"/>
        </w:rPr>
        <w:t>December 31, 2006. The increase of $9.5 million is primarily due to income derived from increased volume from transactions and increased accounts payable and accrued expenses balances partially offset by an increase to accounts receivable and prepaid expenses and other current assets as well as an increase to tax benefit from stock option exercises. Income and accounts receivable grew primarily due to increased volume from transactions and timing of collections of customer accounts. The accounts</w:t>
      </w:r>
    </w:p>
    <w:p>
      <w:pPr>
        <w:spacing w:after="0" w:line="25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300"/>
        <w:spacing w:after="0" w:line="279" w:lineRule="auto"/>
        <w:rPr>
          <w:sz w:val="20"/>
          <w:szCs w:val="20"/>
          <w:color w:val="auto"/>
        </w:rPr>
      </w:pPr>
      <w:r>
        <w:rPr>
          <w:rFonts w:ascii="Arial" w:cs="Arial" w:eastAsia="Arial" w:hAnsi="Arial"/>
          <w:sz w:val="13"/>
          <w:szCs w:val="13"/>
          <w:color w:val="auto"/>
        </w:rPr>
        <w:t>payable and accrued expenses accounts grew partially due to increased expenses necessary to support higher revenues as well as capital expenditures necessary to continue to grow our business.</w:t>
      </w:r>
    </w:p>
    <w:p>
      <w:pPr>
        <w:spacing w:after="0" w:line="58" w:lineRule="exact"/>
        <w:rPr>
          <w:sz w:val="20"/>
          <w:szCs w:val="20"/>
          <w:color w:val="auto"/>
        </w:rPr>
      </w:pPr>
    </w:p>
    <w:p>
      <w:pPr>
        <w:ind w:left="680" w:right="20" w:firstLine="399"/>
        <w:spacing w:after="0" w:line="322" w:lineRule="auto"/>
        <w:rPr>
          <w:sz w:val="20"/>
          <w:szCs w:val="20"/>
          <w:color w:val="auto"/>
        </w:rPr>
      </w:pPr>
      <w:r>
        <w:rPr>
          <w:rFonts w:ascii="Arial" w:cs="Arial" w:eastAsia="Arial" w:hAnsi="Arial"/>
          <w:sz w:val="12"/>
          <w:szCs w:val="12"/>
          <w:i w:val="1"/>
          <w:iCs w:val="1"/>
          <w:color w:val="auto"/>
        </w:rPr>
        <w:t xml:space="preserve">Cash flows from investing. </w:t>
      </w:r>
      <w:r>
        <w:rPr>
          <w:rFonts w:ascii="Arial" w:cs="Arial" w:eastAsia="Arial" w:hAnsi="Arial"/>
          <w:sz w:val="12"/>
          <w:szCs w:val="12"/>
          <w:color w:val="auto"/>
        </w:rPr>
        <w:t>Net cash used in investing activities for the year ended December 31, 2007 was $8.5 million compared to net cash used of $2.0 million for the year ended</w:t>
      </w:r>
      <w:r>
        <w:rPr>
          <w:rFonts w:ascii="Arial" w:cs="Arial" w:eastAsia="Arial" w:hAnsi="Arial"/>
          <w:sz w:val="12"/>
          <w:szCs w:val="12"/>
          <w:i w:val="1"/>
          <w:iCs w:val="1"/>
          <w:color w:val="auto"/>
        </w:rPr>
        <w:t xml:space="preserve"> </w:t>
      </w:r>
      <w:r>
        <w:rPr>
          <w:rFonts w:ascii="Arial" w:cs="Arial" w:eastAsia="Arial" w:hAnsi="Arial"/>
          <w:sz w:val="12"/>
          <w:szCs w:val="12"/>
          <w:color w:val="auto"/>
        </w:rPr>
        <w:t>December 31, 2006. The increase of $6.5 million was due to the increased purchase of fixed assets of $6.1 million and net maturities of marketable securities.</w:t>
      </w:r>
    </w:p>
    <w:p>
      <w:pPr>
        <w:spacing w:after="0" w:line="35" w:lineRule="exact"/>
        <w:rPr>
          <w:sz w:val="20"/>
          <w:szCs w:val="20"/>
          <w:color w:val="auto"/>
        </w:rPr>
      </w:pPr>
    </w:p>
    <w:p>
      <w:pPr>
        <w:jc w:val="both"/>
        <w:ind w:left="680" w:right="40" w:firstLine="399"/>
        <w:spacing w:after="0" w:line="266" w:lineRule="auto"/>
        <w:rPr>
          <w:sz w:val="20"/>
          <w:szCs w:val="20"/>
          <w:color w:val="auto"/>
        </w:rPr>
      </w:pPr>
      <w:r>
        <w:rPr>
          <w:rFonts w:ascii="Arial" w:cs="Arial" w:eastAsia="Arial" w:hAnsi="Arial"/>
          <w:sz w:val="13"/>
          <w:szCs w:val="13"/>
          <w:i w:val="1"/>
          <w:iCs w:val="1"/>
          <w:color w:val="auto"/>
        </w:rPr>
        <w:t xml:space="preserve">Cash flows from financing. </w:t>
      </w:r>
      <w:r>
        <w:rPr>
          <w:rFonts w:ascii="Arial" w:cs="Arial" w:eastAsia="Arial" w:hAnsi="Arial"/>
          <w:sz w:val="13"/>
          <w:szCs w:val="13"/>
          <w:color w:val="auto"/>
        </w:rPr>
        <w:t>Net cash provided by financing activities for the year ended December 31, 2007 was $3.9 million compared to net cash provided of $53.2 million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 ended December 31, 2006. The difference of $49.3 million was primarily due to net proceeds received from the issuance of common stock sold in our initial public offering completed last year with no corresponding equity sale in 2007.</w:t>
      </w:r>
    </w:p>
    <w:p>
      <w:pPr>
        <w:spacing w:after="0" w:line="67" w:lineRule="exact"/>
        <w:rPr>
          <w:sz w:val="20"/>
          <w:szCs w:val="20"/>
          <w:color w:val="auto"/>
        </w:rPr>
      </w:pPr>
    </w:p>
    <w:p>
      <w:pPr>
        <w:ind w:left="680" w:right="360" w:firstLine="399"/>
        <w:spacing w:after="0" w:line="279" w:lineRule="auto"/>
        <w:rPr>
          <w:sz w:val="20"/>
          <w:szCs w:val="20"/>
          <w:color w:val="auto"/>
        </w:rPr>
      </w:pPr>
      <w:r>
        <w:rPr>
          <w:rFonts w:ascii="Arial" w:cs="Arial" w:eastAsia="Arial" w:hAnsi="Arial"/>
          <w:sz w:val="13"/>
          <w:szCs w:val="13"/>
          <w:color w:val="auto"/>
        </w:rPr>
        <w:t>We believe that our existing cash and cash equivalents, the cash generated from our initial public offering and cash generated from our operations will be sufficient to fund our operations for the next twelve months.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Effect of Inflation</w:t>
      </w:r>
    </w:p>
    <w:p>
      <w:pPr>
        <w:spacing w:after="0" w:line="102"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3"/>
          <w:szCs w:val="13"/>
          <w:color w:val="auto"/>
        </w:rPr>
        <w:t>Although inflation generally affects us by increasing our cost of labor and equipment, we do not believe that inflation has had any material effect on our results of operations during 2007, 2006 and 2005.</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02" w:lineRule="exact"/>
        <w:rPr>
          <w:sz w:val="20"/>
          <w:szCs w:val="20"/>
          <w:color w:val="auto"/>
        </w:rPr>
      </w:pPr>
    </w:p>
    <w:p>
      <w:pPr>
        <w:ind w:left="680" w:right="160" w:firstLine="399"/>
        <w:spacing w:after="0" w:line="279" w:lineRule="auto"/>
        <w:rPr>
          <w:sz w:val="20"/>
          <w:szCs w:val="20"/>
          <w:color w:val="auto"/>
        </w:rPr>
      </w:pPr>
      <w:r>
        <w:rPr>
          <w:rFonts w:ascii="Arial" w:cs="Arial" w:eastAsia="Arial" w:hAnsi="Arial"/>
          <w:sz w:val="13"/>
          <w:szCs w:val="13"/>
          <w:color w:val="auto"/>
        </w:rPr>
        <w:t>Our commitments consist of obligations under leases for office space, automobiles, computer equipment and furniture and fixtures. The following table summarizes our long-term contractual obligations as of December 31, 2007 (in thousands).</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86"/>
              </w:rPr>
              <w:t>Payments Due by Period</w:t>
            </w: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right"/>
              <w:ind w:right="60"/>
              <w:spacing w:after="0" w:line="82" w:lineRule="exact"/>
              <w:rPr>
                <w:sz w:val="20"/>
                <w:szCs w:val="20"/>
                <w:color w:val="auto"/>
              </w:rPr>
            </w:pPr>
            <w:r>
              <w:rPr>
                <w:rFonts w:ascii="Arial" w:cs="Arial" w:eastAsia="Arial" w:hAnsi="Arial"/>
                <w:sz w:val="9"/>
                <w:szCs w:val="9"/>
                <w:b w:val="1"/>
                <w:bCs w:val="1"/>
                <w:color w:val="auto"/>
              </w:rPr>
              <w:t>Less Than</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center"/>
              <w:ind w:right="40"/>
              <w:spacing w:after="0" w:line="82" w:lineRule="exact"/>
              <w:rPr>
                <w:sz w:val="20"/>
                <w:szCs w:val="20"/>
                <w:color w:val="auto"/>
              </w:rPr>
            </w:pPr>
            <w:r>
              <w:rPr>
                <w:rFonts w:ascii="Arial" w:cs="Arial" w:eastAsia="Arial" w:hAnsi="Arial"/>
                <w:sz w:val="9"/>
                <w:szCs w:val="9"/>
                <w:b w:val="1"/>
                <w:bCs w:val="1"/>
                <w:color w:val="auto"/>
              </w:rPr>
              <w:t>More Than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77"/>
              <w:spacing w:after="0"/>
              <w:rPr>
                <w:sz w:val="20"/>
                <w:szCs w:val="20"/>
                <w:color w:val="auto"/>
              </w:rPr>
            </w:pPr>
            <w:r>
              <w:rPr>
                <w:rFonts w:ascii="Arial" w:cs="Arial" w:eastAsia="Arial" w:hAnsi="Arial"/>
                <w:sz w:val="11"/>
                <w:szCs w:val="11"/>
                <w:b w:val="1"/>
                <w:bCs w:val="1"/>
                <w:color w:val="auto"/>
                <w:w w:val="91"/>
              </w:rPr>
              <w:t>Total</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160"/>
              <w:spacing w:after="0"/>
              <w:rPr>
                <w:sz w:val="20"/>
                <w:szCs w:val="20"/>
                <w:color w:val="auto"/>
              </w:rPr>
            </w:pPr>
            <w:r>
              <w:rPr>
                <w:rFonts w:ascii="Arial" w:cs="Arial" w:eastAsia="Arial" w:hAnsi="Arial"/>
                <w:sz w:val="11"/>
                <w:szCs w:val="11"/>
                <w:b w:val="1"/>
                <w:bCs w:val="1"/>
                <w:color w:val="auto"/>
              </w:rPr>
              <w:t>1 Year</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1 3 Years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77"/>
              <w:spacing w:after="0"/>
              <w:rPr>
                <w:sz w:val="20"/>
                <w:szCs w:val="20"/>
                <w:color w:val="auto"/>
              </w:rPr>
            </w:pPr>
            <w:r>
              <w:rPr>
                <w:rFonts w:ascii="Arial" w:cs="Arial" w:eastAsia="Arial" w:hAnsi="Arial"/>
                <w:sz w:val="11"/>
                <w:szCs w:val="11"/>
                <w:b w:val="1"/>
                <w:bCs w:val="1"/>
                <w:color w:val="auto"/>
                <w:w w:val="99"/>
              </w:rPr>
              <w:t>4 5 Years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5 Years</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lease obligations</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4,302</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1,917</w:t>
            </w:r>
          </w:p>
        </w:tc>
        <w:tc>
          <w:tcPr>
            <w:tcW w:w="3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854</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00" w:type="dxa"/>
            <w:vAlign w:val="bottom"/>
            <w:gridSpan w:val="2"/>
          </w:tcPr>
          <w:p>
            <w:pPr>
              <w:spacing w:after="0"/>
              <w:rPr>
                <w:sz w:val="20"/>
                <w:szCs w:val="20"/>
                <w:color w:val="auto"/>
              </w:rPr>
            </w:pPr>
            <w:r>
              <w:rPr>
                <w:rFonts w:ascii="Arial" w:cs="Arial" w:eastAsia="Arial" w:hAnsi="Arial"/>
                <w:sz w:val="13"/>
                <w:szCs w:val="13"/>
                <w:color w:val="auto"/>
              </w:rPr>
              <w:t>Other long-term liabilities(1)</w:t>
            </w: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678</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678</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4,980</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2,595</w:t>
            </w:r>
          </w:p>
        </w:tc>
        <w:tc>
          <w:tcPr>
            <w:tcW w:w="3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854</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0" w:right="340" w:hanging="261"/>
        <w:spacing w:after="0" w:line="279" w:lineRule="auto"/>
        <w:tabs>
          <w:tab w:leader="none" w:pos="12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Amount represents unrecognized tax positions recorded in our balance sheet. Although the timing of the settlement is uncertain, we believe this amount will be settled within 3 years.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Impact of Recently Issued Accounting Standards</w:t>
      </w:r>
    </w:p>
    <w:p>
      <w:pPr>
        <w:spacing w:after="0" w:line="102"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 xml:space="preserve">In September 2006, the FASB issued Statement 157, </w:t>
      </w:r>
      <w:r>
        <w:rPr>
          <w:rFonts w:ascii="Arial" w:cs="Arial" w:eastAsia="Arial" w:hAnsi="Arial"/>
          <w:sz w:val="13"/>
          <w:szCs w:val="13"/>
          <w:i w:val="1"/>
          <w:iCs w:val="1"/>
          <w:color w:val="auto"/>
        </w:rPr>
        <w:t>Fair Value Measurement</w:t>
      </w:r>
      <w:r>
        <w:rPr>
          <w:rFonts w:ascii="Arial" w:cs="Arial" w:eastAsia="Arial" w:hAnsi="Arial"/>
          <w:sz w:val="13"/>
          <w:szCs w:val="13"/>
          <w:color w:val="auto"/>
        </w:rPr>
        <w:t xml:space="preserve"> (“Statement 157”). Statement 157 defines fair value, establishes a framework for measuring fair value in generally accepted accounting principles and establishes a hierarchy that categorizes and prioritizes the sources to be used to estimate fair value. Statement 157 also expands financial statement disclosures about fair value measurements. On February 6, 2008, the FASB issued FASB Staff Position (FSP) 157-b which delays the effective date of Statement 157 for one year for all nonfinancial assets and nonfinancial liabilities, except those that are recognized or disclosed at fair value in the financial statements on a recurring basis (at least annually). Statement 157 and FSP 157-b are effective for financial statements issued for fiscal years beginning after November 15, 2007. We have elected a partial deferral of Statement 157 under the provisions of FSP 157-b related to the measurement of fair value used when evaluating goodwill, other intangible assets and other long-lived assets for impairment and valuing asset retirement obligations and liabilities for exit or disposal activities. The impact of partially adopting Statement 157 effective January 1, 2008 is not expected to be material to our consolidated financial statements.</w:t>
      </w:r>
    </w:p>
    <w:p>
      <w:pPr>
        <w:spacing w:after="0" w:line="74"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 xml:space="preserve">In February 2007, the FASB issued Statement 159, </w:t>
      </w:r>
      <w:r>
        <w:rPr>
          <w:rFonts w:ascii="Arial" w:cs="Arial" w:eastAsia="Arial" w:hAnsi="Arial"/>
          <w:sz w:val="13"/>
          <w:szCs w:val="13"/>
          <w:i w:val="1"/>
          <w:iCs w:val="1"/>
          <w:color w:val="auto"/>
        </w:rPr>
        <w:t>The Fair Value Option for Financial Assets and Financial Liabilities — Including an Amendment of SFAS 115</w:t>
      </w:r>
      <w:r>
        <w:rPr>
          <w:rFonts w:ascii="Arial" w:cs="Arial" w:eastAsia="Arial" w:hAnsi="Arial"/>
          <w:sz w:val="13"/>
          <w:szCs w:val="13"/>
          <w:color w:val="auto"/>
        </w:rPr>
        <w:t xml:space="preserve"> (“Statement 159”), which permits but does not require us to measure financial instruments and certain other items at fair value. Unrealized gains and losses on items for which the fair value option has been elected are reported in earnings. This statement is effective for financial statements issued for fiscal years beginning after November 15, 2007. As we have not elected to fair value any of our financial</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6" w:name="page37"/>
    <w:bookmarkEnd w:id="36"/>
    <w:p>
      <w:pPr>
        <w:ind w:left="680"/>
        <w:spacing w:after="0"/>
        <w:rPr>
          <w:sz w:val="20"/>
          <w:szCs w:val="20"/>
          <w:color w:val="auto"/>
        </w:rPr>
      </w:pPr>
      <w:r>
        <w:rPr>
          <w:rFonts w:ascii="Arial" w:cs="Arial" w:eastAsia="Arial" w:hAnsi="Arial"/>
          <w:sz w:val="13"/>
          <w:szCs w:val="13"/>
          <w:color w:val="auto"/>
        </w:rPr>
        <w:t>instruments under the provisions of Statement 159, the adoption of this statement will not have any impact to our financial statements.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had no off-balance sheet arrangements as of December 31, 2007 and December 31, 2006.</w:t>
      </w:r>
    </w:p>
    <w:p>
      <w:pPr>
        <w:spacing w:after="0" w:line="173"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 Risk</w:t>
      </w:r>
    </w:p>
    <w:p>
      <w:pPr>
        <w:spacing w:after="0" w:line="102" w:lineRule="exact"/>
        <w:rPr>
          <w:sz w:val="20"/>
          <w:szCs w:val="20"/>
          <w:color w:val="auto"/>
        </w:rPr>
      </w:pPr>
    </w:p>
    <w:p>
      <w:pPr>
        <w:ind w:left="680" w:right="880" w:firstLine="399"/>
        <w:spacing w:after="0" w:line="262" w:lineRule="auto"/>
        <w:rPr>
          <w:sz w:val="20"/>
          <w:szCs w:val="20"/>
          <w:color w:val="auto"/>
        </w:rPr>
      </w:pPr>
      <w:r>
        <w:rPr>
          <w:rFonts w:ascii="Arial" w:cs="Arial" w:eastAsia="Arial" w:hAnsi="Arial"/>
          <w:sz w:val="13"/>
          <w:szCs w:val="13"/>
          <w:color w:val="auto"/>
        </w:rPr>
        <w:t>The following discussion about market risk disclosures involves forward-looking statements. Actual results could differ materially from those projected in the forward-looking statements. We deposit our excess cash in high-quality financial instruments, primarily money market funds and, we may be exposed to market risks related to changes in interest rates. We do not actively manage the risk of interest rate fluctuations on our short-term investments; however, such risk is mitigated by the relatively short-term nature of these investments. These investments are denominated in United States dollars.</w:t>
      </w:r>
    </w:p>
    <w:p>
      <w:pPr>
        <w:spacing w:after="0" w:line="69" w:lineRule="exact"/>
        <w:rPr>
          <w:sz w:val="20"/>
          <w:szCs w:val="20"/>
          <w:color w:val="auto"/>
        </w:rPr>
      </w:pPr>
    </w:p>
    <w:p>
      <w:pPr>
        <w:ind w:left="680" w:right="960" w:firstLine="399"/>
        <w:spacing w:after="0" w:line="260" w:lineRule="auto"/>
        <w:rPr>
          <w:sz w:val="20"/>
          <w:szCs w:val="20"/>
          <w:color w:val="auto"/>
        </w:rPr>
      </w:pPr>
      <w:r>
        <w:rPr>
          <w:rFonts w:ascii="Arial" w:cs="Arial" w:eastAsia="Arial" w:hAnsi="Arial"/>
          <w:sz w:val="13"/>
          <w:szCs w:val="13"/>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debt securities. Our cash and cash equivalents at December 31, 2007 and 2006 included liquid money market accounts. All market-risk sensitive instruments were entered into for non-trading purposes. We do not expect the current rate of inflation to have a material impact on our business.</w:t>
      </w:r>
    </w:p>
    <w:p>
      <w:pPr>
        <w:spacing w:after="0" w:line="70" w:lineRule="exact"/>
        <w:rPr>
          <w:sz w:val="20"/>
          <w:szCs w:val="20"/>
          <w:color w:val="auto"/>
        </w:rPr>
      </w:pPr>
    </w:p>
    <w:p>
      <w:pPr>
        <w:ind w:left="680" w:right="860" w:firstLine="399"/>
        <w:spacing w:after="0" w:line="262" w:lineRule="auto"/>
        <w:rPr>
          <w:sz w:val="20"/>
          <w:szCs w:val="20"/>
          <w:color w:val="auto"/>
        </w:rPr>
      </w:pPr>
      <w:r>
        <w:rPr>
          <w:rFonts w:ascii="Arial" w:cs="Arial" w:eastAsia="Arial" w:hAnsi="Arial"/>
          <w:sz w:val="13"/>
          <w:szCs w:val="13"/>
          <w:color w:val="auto"/>
        </w:rPr>
        <w:t>The recent decline in the market value of certain securities backed by residential mortgage loans has led to a large liquidity crisis effecting the broader U.S. housing market, the financial services industry and global financial markets. Investors in many industry sectors have experienced substantial decreases in asset valuations and uncertain market liquidity. Furthermore, credit rating authorities have, in many cases, been slow to respond to the rapid changes in the underlying value of certain securities and pervasive market illiquidity, regarding these securities.</w:t>
      </w:r>
    </w:p>
    <w:p>
      <w:pPr>
        <w:spacing w:after="0" w:line="69" w:lineRule="exact"/>
        <w:rPr>
          <w:sz w:val="20"/>
          <w:szCs w:val="20"/>
          <w:color w:val="auto"/>
        </w:rPr>
      </w:pPr>
    </w:p>
    <w:p>
      <w:pPr>
        <w:ind w:left="680" w:right="900" w:firstLine="399"/>
        <w:spacing w:after="0" w:line="266" w:lineRule="auto"/>
        <w:rPr>
          <w:sz w:val="20"/>
          <w:szCs w:val="20"/>
          <w:color w:val="auto"/>
        </w:rPr>
      </w:pPr>
      <w:r>
        <w:rPr>
          <w:rFonts w:ascii="Arial" w:cs="Arial" w:eastAsia="Arial" w:hAnsi="Arial"/>
          <w:sz w:val="13"/>
          <w:szCs w:val="13"/>
          <w:color w:val="auto"/>
        </w:rPr>
        <w:t>As a result, this “credit crisis” may have a potential impact on the determination of the fair value of financial instruments or possibly require impairments in the future should the value of certain investments suffer a decline in value which is determined to be other than temporary. We currently do not believe that any change in the market value of our money market funds to be material or warrant a determination of an other than temporary write down.</w:t>
      </w:r>
    </w:p>
    <w:p>
      <w:pPr>
        <w:spacing w:after="0" w:line="142"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2"/>
          <w:szCs w:val="12"/>
          <w:b w:val="1"/>
          <w:bCs w:val="1"/>
          <w:i w:val="1"/>
          <w:iCs w:val="1"/>
          <w:color w:val="auto"/>
        </w:rPr>
        <w:t>FINANCIAL STATEMENTS AND SUPPLEMENTARY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80" w:type="dxa"/>
            <w:vAlign w:val="bottom"/>
            <w:gridSpan w:val="4"/>
          </w:tcPr>
          <w:p>
            <w:pPr>
              <w:jc w:val="center"/>
              <w:ind w:right="1100"/>
              <w:spacing w:after="0"/>
              <w:rPr>
                <w:sz w:val="20"/>
                <w:szCs w:val="20"/>
                <w:color w:val="auto"/>
              </w:rPr>
            </w:pPr>
            <w:r>
              <w:rPr>
                <w:rFonts w:ascii="Arial" w:cs="Arial" w:eastAsia="Arial" w:hAnsi="Arial"/>
                <w:sz w:val="13"/>
                <w:szCs w:val="13"/>
                <w:b w:val="1"/>
                <w:bCs w:val="1"/>
                <w:color w:val="auto"/>
              </w:rPr>
              <w:t>INDEX TO FINANCIAL STATEMENTS</w:t>
            </w:r>
          </w:p>
        </w:tc>
        <w:tc>
          <w:tcPr>
            <w:tcW w:w="2800" w:type="dxa"/>
            <w:vAlign w:val="bottom"/>
          </w:tcPr>
          <w:p>
            <w:pPr>
              <w:spacing w:after="0"/>
              <w:rPr>
                <w:sz w:val="14"/>
                <w:szCs w:val="14"/>
                <w:color w:val="auto"/>
              </w:rPr>
            </w:pPr>
          </w:p>
        </w:tc>
      </w:tr>
      <w:tr>
        <w:trPr>
          <w:trHeight w:val="308"/>
        </w:trPr>
        <w:tc>
          <w:tcPr>
            <w:tcW w:w="680" w:type="dxa"/>
            <w:vAlign w:val="bottom"/>
          </w:tcPr>
          <w:p>
            <w:pPr>
              <w:spacing w:after="0"/>
              <w:rPr>
                <w:sz w:val="24"/>
                <w:szCs w:val="24"/>
                <w:color w:val="auto"/>
              </w:rPr>
            </w:pPr>
          </w:p>
        </w:tc>
        <w:tc>
          <w:tcPr>
            <w:tcW w:w="3100" w:type="dxa"/>
            <w:vAlign w:val="bottom"/>
            <w:tcBorders>
              <w:bottom w:val="single" w:sz="8" w:color="0000EE"/>
            </w:tcBorders>
            <w:gridSpan w:val="5"/>
          </w:tcPr>
          <w:p>
            <w:pPr>
              <w:spacing w:after="0"/>
              <w:rPr>
                <w:rFonts w:ascii="Arial" w:cs="Arial" w:eastAsia="Arial" w:hAnsi="Arial"/>
                <w:sz w:val="13"/>
                <w:szCs w:val="13"/>
                <w:color w:val="0000EE"/>
                <w:w w:val="92"/>
              </w:rPr>
            </w:pPr>
            <w:hyperlink w:anchor="page38">
              <w:r>
                <w:rPr>
                  <w:rFonts w:ascii="Arial" w:cs="Arial" w:eastAsia="Arial" w:hAnsi="Arial"/>
                  <w:sz w:val="13"/>
                  <w:szCs w:val="13"/>
                  <w:color w:val="0000EE"/>
                  <w:w w:val="92"/>
                </w:rPr>
                <w:t>Report of Independent Registered Public Accounting Firm</w:t>
              </w:r>
            </w:hyperlink>
          </w:p>
        </w:tc>
        <w:tc>
          <w:tcPr>
            <w:tcW w:w="4880" w:type="dxa"/>
            <w:vAlign w:val="bottom"/>
            <w:gridSpan w:val="4"/>
          </w:tcPr>
          <w:p>
            <w:pPr>
              <w:spacing w:after="0"/>
              <w:rPr>
                <w:sz w:val="24"/>
                <w:szCs w:val="24"/>
                <w:color w:val="auto"/>
              </w:rPr>
            </w:pPr>
          </w:p>
        </w:tc>
        <w:tc>
          <w:tcPr>
            <w:tcW w:w="2800" w:type="dxa"/>
            <w:vAlign w:val="bottom"/>
          </w:tcPr>
          <w:p>
            <w:pPr>
              <w:jc w:val="right"/>
              <w:ind w:right="794"/>
              <w:spacing w:after="0"/>
              <w:rPr>
                <w:sz w:val="20"/>
                <w:szCs w:val="20"/>
                <w:color w:val="auto"/>
              </w:rPr>
            </w:pPr>
            <w:r>
              <w:rPr>
                <w:rFonts w:ascii="Arial" w:cs="Arial" w:eastAsia="Arial" w:hAnsi="Arial"/>
                <w:sz w:val="13"/>
                <w:szCs w:val="13"/>
                <w:color w:val="auto"/>
              </w:rPr>
              <w:t>37</w:t>
            </w:r>
          </w:p>
        </w:tc>
      </w:tr>
      <w:tr>
        <w:trPr>
          <w:trHeight w:val="138"/>
        </w:trPr>
        <w:tc>
          <w:tcPr>
            <w:tcW w:w="680" w:type="dxa"/>
            <w:vAlign w:val="bottom"/>
          </w:tcPr>
          <w:p>
            <w:pPr>
              <w:spacing w:after="0"/>
              <w:rPr>
                <w:sz w:val="12"/>
                <w:szCs w:val="12"/>
                <w:color w:val="auto"/>
              </w:rPr>
            </w:pPr>
          </w:p>
        </w:tc>
        <w:tc>
          <w:tcPr>
            <w:tcW w:w="7980" w:type="dxa"/>
            <w:vAlign w:val="bottom"/>
            <w:gridSpan w:val="9"/>
          </w:tcPr>
          <w:p>
            <w:pPr>
              <w:spacing w:after="0" w:line="138" w:lineRule="exact"/>
              <w:rPr>
                <w:rFonts w:ascii="Arial" w:cs="Arial" w:eastAsia="Arial" w:hAnsi="Arial"/>
                <w:sz w:val="13"/>
                <w:szCs w:val="13"/>
                <w:color w:val="0000EE"/>
              </w:rPr>
            </w:pPr>
            <w:hyperlink w:anchor="page39">
              <w:r>
                <w:rPr>
                  <w:rFonts w:ascii="Arial" w:cs="Arial" w:eastAsia="Arial" w:hAnsi="Arial"/>
                  <w:sz w:val="13"/>
                  <w:szCs w:val="13"/>
                  <w:color w:val="0000EE"/>
                </w:rPr>
                <w:t>Balance Sheets as of December 31, 2007 and 2006</w:t>
              </w:r>
            </w:hyperlink>
          </w:p>
        </w:tc>
        <w:tc>
          <w:tcPr>
            <w:tcW w:w="2800" w:type="dxa"/>
            <w:vAlign w:val="bottom"/>
          </w:tcPr>
          <w:p>
            <w:pPr>
              <w:jc w:val="right"/>
              <w:ind w:right="794"/>
              <w:spacing w:after="0" w:line="138" w:lineRule="exact"/>
              <w:rPr>
                <w:sz w:val="20"/>
                <w:szCs w:val="20"/>
                <w:color w:val="auto"/>
              </w:rPr>
            </w:pPr>
            <w:r>
              <w:rPr>
                <w:rFonts w:ascii="Arial" w:cs="Arial" w:eastAsia="Arial" w:hAnsi="Arial"/>
                <w:sz w:val="13"/>
                <w:szCs w:val="13"/>
                <w:color w:val="auto"/>
              </w:rPr>
              <w:t>38</w:t>
            </w:r>
          </w:p>
        </w:tc>
      </w:tr>
      <w:tr>
        <w:trPr>
          <w:trHeight w:val="20"/>
        </w:trPr>
        <w:tc>
          <w:tcPr>
            <w:tcW w:w="6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38"/>
        </w:trPr>
        <w:tc>
          <w:tcPr>
            <w:tcW w:w="680" w:type="dxa"/>
            <w:vAlign w:val="bottom"/>
          </w:tcPr>
          <w:p>
            <w:pPr>
              <w:spacing w:after="0"/>
              <w:rPr>
                <w:sz w:val="12"/>
                <w:szCs w:val="12"/>
                <w:color w:val="auto"/>
              </w:rPr>
            </w:pPr>
          </w:p>
        </w:tc>
        <w:tc>
          <w:tcPr>
            <w:tcW w:w="4300" w:type="dxa"/>
            <w:vAlign w:val="bottom"/>
            <w:tcBorders>
              <w:bottom w:val="single" w:sz="8" w:color="0000EE"/>
            </w:tcBorders>
            <w:gridSpan w:val="6"/>
          </w:tcPr>
          <w:p>
            <w:pPr>
              <w:spacing w:after="0" w:line="138" w:lineRule="exact"/>
              <w:rPr>
                <w:rFonts w:ascii="Arial" w:cs="Arial" w:eastAsia="Arial" w:hAnsi="Arial"/>
                <w:sz w:val="13"/>
                <w:szCs w:val="13"/>
                <w:color w:val="0000EE"/>
                <w:w w:val="90"/>
              </w:rPr>
            </w:pPr>
            <w:hyperlink w:anchor="page40">
              <w:r>
                <w:rPr>
                  <w:rFonts w:ascii="Arial" w:cs="Arial" w:eastAsia="Arial" w:hAnsi="Arial"/>
                  <w:sz w:val="13"/>
                  <w:szCs w:val="13"/>
                  <w:color w:val="0000EE"/>
                  <w:w w:val="90"/>
                </w:rPr>
                <w:t>Statements of Operations for the years ended December 31, 2007, 2006 and 2005</w:t>
              </w:r>
            </w:hyperlink>
          </w:p>
        </w:tc>
        <w:tc>
          <w:tcPr>
            <w:tcW w:w="3680" w:type="dxa"/>
            <w:vAlign w:val="bottom"/>
            <w:gridSpan w:val="3"/>
          </w:tcPr>
          <w:p>
            <w:pPr>
              <w:spacing w:after="0"/>
              <w:rPr>
                <w:sz w:val="12"/>
                <w:szCs w:val="12"/>
                <w:color w:val="auto"/>
              </w:rPr>
            </w:pPr>
          </w:p>
        </w:tc>
        <w:tc>
          <w:tcPr>
            <w:tcW w:w="2800" w:type="dxa"/>
            <w:vAlign w:val="bottom"/>
          </w:tcPr>
          <w:p>
            <w:pPr>
              <w:jc w:val="right"/>
              <w:ind w:right="794"/>
              <w:spacing w:after="0" w:line="138" w:lineRule="exact"/>
              <w:rPr>
                <w:sz w:val="20"/>
                <w:szCs w:val="20"/>
                <w:color w:val="auto"/>
              </w:rPr>
            </w:pPr>
            <w:r>
              <w:rPr>
                <w:rFonts w:ascii="Arial" w:cs="Arial" w:eastAsia="Arial" w:hAnsi="Arial"/>
                <w:sz w:val="13"/>
                <w:szCs w:val="13"/>
                <w:color w:val="auto"/>
              </w:rPr>
              <w:t>39</w:t>
            </w:r>
          </w:p>
        </w:tc>
      </w:tr>
      <w:tr>
        <w:trPr>
          <w:trHeight w:val="138"/>
        </w:trPr>
        <w:tc>
          <w:tcPr>
            <w:tcW w:w="680" w:type="dxa"/>
            <w:vAlign w:val="bottom"/>
          </w:tcPr>
          <w:p>
            <w:pPr>
              <w:spacing w:after="0"/>
              <w:rPr>
                <w:sz w:val="12"/>
                <w:szCs w:val="12"/>
                <w:color w:val="auto"/>
              </w:rPr>
            </w:pPr>
          </w:p>
        </w:tc>
        <w:tc>
          <w:tcPr>
            <w:tcW w:w="5020" w:type="dxa"/>
            <w:vAlign w:val="bottom"/>
            <w:tcBorders>
              <w:bottom w:val="single" w:sz="8" w:color="0000EE"/>
            </w:tcBorders>
            <w:gridSpan w:val="8"/>
          </w:tcPr>
          <w:p>
            <w:pPr>
              <w:spacing w:after="0" w:line="138" w:lineRule="exact"/>
              <w:rPr>
                <w:rFonts w:ascii="Arial" w:cs="Arial" w:eastAsia="Arial" w:hAnsi="Arial"/>
                <w:sz w:val="13"/>
                <w:szCs w:val="13"/>
                <w:color w:val="0000EE"/>
                <w:w w:val="92"/>
              </w:rPr>
            </w:pPr>
            <w:hyperlink w:anchor="page41">
              <w:r>
                <w:rPr>
                  <w:rFonts w:ascii="Arial" w:cs="Arial" w:eastAsia="Arial" w:hAnsi="Arial"/>
                  <w:sz w:val="13"/>
                  <w:szCs w:val="13"/>
                  <w:color w:val="0000EE"/>
                  <w:w w:val="92"/>
                </w:rPr>
                <w:t>Statements of Stockholders’ Equity (Deficiency) for the years ended December 31, 2007, 2006</w:t>
              </w:r>
            </w:hyperlink>
          </w:p>
        </w:tc>
        <w:tc>
          <w:tcPr>
            <w:tcW w:w="2960" w:type="dxa"/>
            <w:vAlign w:val="bottom"/>
          </w:tcPr>
          <w:p>
            <w:pPr>
              <w:spacing w:after="0"/>
              <w:rPr>
                <w:sz w:val="12"/>
                <w:szCs w:val="12"/>
                <w:color w:val="auto"/>
              </w:rPr>
            </w:pPr>
          </w:p>
        </w:tc>
        <w:tc>
          <w:tcPr>
            <w:tcW w:w="2800" w:type="dxa"/>
            <w:vAlign w:val="bottom"/>
          </w:tcPr>
          <w:p>
            <w:pPr>
              <w:spacing w:after="0"/>
              <w:rPr>
                <w:sz w:val="12"/>
                <w:szCs w:val="12"/>
                <w:color w:val="auto"/>
              </w:rPr>
            </w:pPr>
          </w:p>
        </w:tc>
      </w:tr>
      <w:tr>
        <w:trPr>
          <w:trHeight w:val="138"/>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40" w:type="dxa"/>
            <w:vAlign w:val="bottom"/>
            <w:gridSpan w:val="8"/>
          </w:tcPr>
          <w:p>
            <w:pPr>
              <w:spacing w:after="0" w:line="138" w:lineRule="exact"/>
              <w:rPr>
                <w:rFonts w:ascii="Arial" w:cs="Arial" w:eastAsia="Arial" w:hAnsi="Arial"/>
                <w:sz w:val="13"/>
                <w:szCs w:val="13"/>
                <w:color w:val="0000EE"/>
              </w:rPr>
            </w:pPr>
            <w:hyperlink w:anchor="page41">
              <w:r>
                <w:rPr>
                  <w:rFonts w:ascii="Arial" w:cs="Arial" w:eastAsia="Arial" w:hAnsi="Arial"/>
                  <w:sz w:val="13"/>
                  <w:szCs w:val="13"/>
                  <w:color w:val="0000EE"/>
                </w:rPr>
                <w:t>and 2005</w:t>
              </w:r>
            </w:hyperlink>
          </w:p>
        </w:tc>
        <w:tc>
          <w:tcPr>
            <w:tcW w:w="2800" w:type="dxa"/>
            <w:vAlign w:val="bottom"/>
          </w:tcPr>
          <w:p>
            <w:pPr>
              <w:jc w:val="right"/>
              <w:ind w:right="794"/>
              <w:spacing w:after="0" w:line="138" w:lineRule="exact"/>
              <w:rPr>
                <w:sz w:val="20"/>
                <w:szCs w:val="20"/>
                <w:color w:val="auto"/>
              </w:rPr>
            </w:pPr>
            <w:r>
              <w:rPr>
                <w:rFonts w:ascii="Arial" w:cs="Arial" w:eastAsia="Arial" w:hAnsi="Arial"/>
                <w:sz w:val="13"/>
                <w:szCs w:val="13"/>
                <w:color w:val="auto"/>
              </w:rPr>
              <w:t>40</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38"/>
        </w:trPr>
        <w:tc>
          <w:tcPr>
            <w:tcW w:w="680" w:type="dxa"/>
            <w:vAlign w:val="bottom"/>
          </w:tcPr>
          <w:p>
            <w:pPr>
              <w:spacing w:after="0"/>
              <w:rPr>
                <w:sz w:val="12"/>
                <w:szCs w:val="12"/>
                <w:color w:val="auto"/>
              </w:rPr>
            </w:pPr>
          </w:p>
        </w:tc>
        <w:tc>
          <w:tcPr>
            <w:tcW w:w="4340" w:type="dxa"/>
            <w:vAlign w:val="bottom"/>
            <w:tcBorders>
              <w:bottom w:val="single" w:sz="8" w:color="0000EE"/>
            </w:tcBorders>
            <w:gridSpan w:val="7"/>
          </w:tcPr>
          <w:p>
            <w:pPr>
              <w:spacing w:after="0" w:line="138" w:lineRule="exact"/>
              <w:rPr>
                <w:rFonts w:ascii="Arial" w:cs="Arial" w:eastAsia="Arial" w:hAnsi="Arial"/>
                <w:sz w:val="13"/>
                <w:szCs w:val="13"/>
                <w:color w:val="0000EE"/>
                <w:w w:val="90"/>
              </w:rPr>
            </w:pPr>
            <w:hyperlink w:anchor="page42">
              <w:r>
                <w:rPr>
                  <w:rFonts w:ascii="Arial" w:cs="Arial" w:eastAsia="Arial" w:hAnsi="Arial"/>
                  <w:sz w:val="13"/>
                  <w:szCs w:val="13"/>
                  <w:color w:val="0000EE"/>
                  <w:w w:val="90"/>
                </w:rPr>
                <w:t>Statements of Cash Flows for the years ended December 31, 2007, 2006 and 2005</w:t>
              </w:r>
            </w:hyperlink>
          </w:p>
        </w:tc>
        <w:tc>
          <w:tcPr>
            <w:tcW w:w="3640" w:type="dxa"/>
            <w:vAlign w:val="bottom"/>
            <w:gridSpan w:val="2"/>
          </w:tcPr>
          <w:p>
            <w:pPr>
              <w:spacing w:after="0"/>
              <w:rPr>
                <w:sz w:val="12"/>
                <w:szCs w:val="12"/>
                <w:color w:val="auto"/>
              </w:rPr>
            </w:pPr>
          </w:p>
        </w:tc>
        <w:tc>
          <w:tcPr>
            <w:tcW w:w="2800" w:type="dxa"/>
            <w:vAlign w:val="bottom"/>
          </w:tcPr>
          <w:p>
            <w:pPr>
              <w:jc w:val="right"/>
              <w:ind w:right="794"/>
              <w:spacing w:after="0" w:line="138" w:lineRule="exact"/>
              <w:rPr>
                <w:sz w:val="20"/>
                <w:szCs w:val="20"/>
                <w:color w:val="auto"/>
              </w:rPr>
            </w:pPr>
            <w:r>
              <w:rPr>
                <w:rFonts w:ascii="Arial" w:cs="Arial" w:eastAsia="Arial" w:hAnsi="Arial"/>
                <w:sz w:val="13"/>
                <w:szCs w:val="13"/>
                <w:color w:val="auto"/>
              </w:rPr>
              <w:t>41</w:t>
            </w:r>
          </w:p>
        </w:tc>
      </w:tr>
      <w:tr>
        <w:trPr>
          <w:trHeight w:val="138"/>
        </w:trPr>
        <w:tc>
          <w:tcPr>
            <w:tcW w:w="680" w:type="dxa"/>
            <w:vAlign w:val="bottom"/>
          </w:tcPr>
          <w:p>
            <w:pPr>
              <w:spacing w:after="0"/>
              <w:rPr>
                <w:sz w:val="12"/>
                <w:szCs w:val="12"/>
                <w:color w:val="auto"/>
              </w:rPr>
            </w:pPr>
          </w:p>
        </w:tc>
        <w:tc>
          <w:tcPr>
            <w:tcW w:w="7980" w:type="dxa"/>
            <w:vAlign w:val="bottom"/>
            <w:gridSpan w:val="9"/>
          </w:tcPr>
          <w:p>
            <w:pPr>
              <w:spacing w:after="0" w:line="138" w:lineRule="exact"/>
              <w:rPr>
                <w:rFonts w:ascii="Arial" w:cs="Arial" w:eastAsia="Arial" w:hAnsi="Arial"/>
                <w:sz w:val="13"/>
                <w:szCs w:val="13"/>
                <w:color w:val="0000EE"/>
              </w:rPr>
            </w:pPr>
            <w:hyperlink w:anchor="page43">
              <w:r>
                <w:rPr>
                  <w:rFonts w:ascii="Arial" w:cs="Arial" w:eastAsia="Arial" w:hAnsi="Arial"/>
                  <w:sz w:val="13"/>
                  <w:szCs w:val="13"/>
                  <w:color w:val="0000EE"/>
                </w:rPr>
                <w:t>Notes to Financial Statements</w:t>
              </w:r>
            </w:hyperlink>
          </w:p>
        </w:tc>
        <w:tc>
          <w:tcPr>
            <w:tcW w:w="2800" w:type="dxa"/>
            <w:vAlign w:val="bottom"/>
          </w:tcPr>
          <w:p>
            <w:pPr>
              <w:jc w:val="right"/>
              <w:ind w:right="794"/>
              <w:spacing w:after="0" w:line="138" w:lineRule="exact"/>
              <w:rPr>
                <w:sz w:val="20"/>
                <w:szCs w:val="20"/>
                <w:color w:val="auto"/>
              </w:rPr>
            </w:pPr>
            <w:r>
              <w:rPr>
                <w:rFonts w:ascii="Arial" w:cs="Arial" w:eastAsia="Arial" w:hAnsi="Arial"/>
                <w:sz w:val="13"/>
                <w:szCs w:val="13"/>
                <w:color w:val="auto"/>
              </w:rPr>
              <w:t>42</w:t>
            </w:r>
          </w:p>
        </w:tc>
      </w:tr>
      <w:tr>
        <w:trPr>
          <w:trHeight w:val="463"/>
        </w:trPr>
        <w:tc>
          <w:tcPr>
            <w:tcW w:w="680" w:type="dxa"/>
            <w:vAlign w:val="bottom"/>
          </w:tcPr>
          <w:p>
            <w:pPr>
              <w:spacing w:after="0"/>
              <w:rPr>
                <w:sz w:val="24"/>
                <w:szCs w:val="24"/>
                <w:color w:val="auto"/>
              </w:rPr>
            </w:pPr>
          </w:p>
        </w:tc>
        <w:tc>
          <w:tcPr>
            <w:tcW w:w="1580" w:type="dxa"/>
            <w:vAlign w:val="bottom"/>
            <w:tcBorders>
              <w:top w:val="single" w:sz="8" w:color="0000EE"/>
            </w:tcBorders>
            <w:gridSpan w:val="3"/>
          </w:tcPr>
          <w:p>
            <w:pPr>
              <w:spacing w:after="0"/>
              <w:rPr>
                <w:sz w:val="24"/>
                <w:szCs w:val="24"/>
                <w:color w:val="auto"/>
              </w:rPr>
            </w:pPr>
          </w:p>
        </w:tc>
        <w:tc>
          <w:tcPr>
            <w:tcW w:w="6400" w:type="dxa"/>
            <w:vAlign w:val="bottom"/>
            <w:gridSpan w:val="6"/>
          </w:tcPr>
          <w:p>
            <w:pPr>
              <w:jc w:val="right"/>
              <w:ind w:right="2920"/>
              <w:spacing w:after="0"/>
              <w:rPr>
                <w:sz w:val="20"/>
                <w:szCs w:val="20"/>
                <w:color w:val="auto"/>
              </w:rPr>
            </w:pPr>
            <w:r>
              <w:rPr>
                <w:rFonts w:ascii="Arial" w:cs="Arial" w:eastAsia="Arial" w:hAnsi="Arial"/>
                <w:sz w:val="13"/>
                <w:szCs w:val="13"/>
                <w:color w:val="auto"/>
              </w:rPr>
              <w:t>36</w:t>
            </w:r>
          </w:p>
        </w:tc>
        <w:tc>
          <w:tcPr>
            <w:tcW w:w="2800" w:type="dxa"/>
            <w:vAlign w:val="bottom"/>
          </w:tcPr>
          <w:p>
            <w:pPr>
              <w:spacing w:after="0"/>
              <w:rPr>
                <w:sz w:val="24"/>
                <w:szCs w:val="24"/>
                <w:color w:val="auto"/>
              </w:rPr>
            </w:pPr>
          </w:p>
        </w:tc>
      </w:tr>
      <w:tr>
        <w:trPr>
          <w:trHeight w:val="165"/>
        </w:trPr>
        <w:tc>
          <w:tcPr>
            <w:tcW w:w="6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11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960" w:type="dxa"/>
            <w:vAlign w:val="bottom"/>
            <w:tcBorders>
              <w:bottom w:val="single" w:sz="8" w:color="808080"/>
            </w:tcBorders>
          </w:tcPr>
          <w:p>
            <w:pPr>
              <w:spacing w:after="0"/>
              <w:rPr>
                <w:sz w:val="14"/>
                <w:szCs w:val="14"/>
                <w:color w:val="auto"/>
              </w:rPr>
            </w:pPr>
          </w:p>
        </w:tc>
        <w:tc>
          <w:tcPr>
            <w:tcW w:w="2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4" w:right="2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Synchronoss Technologies, Inc.</w:t>
      </w:r>
    </w:p>
    <w:p>
      <w:pPr>
        <w:spacing w:after="0" w:line="90" w:lineRule="exact"/>
        <w:rPr>
          <w:sz w:val="20"/>
          <w:szCs w:val="20"/>
          <w:color w:val="auto"/>
        </w:rPr>
      </w:pPr>
    </w:p>
    <w:p>
      <w:pPr>
        <w:ind w:left="680" w:right="100" w:firstLine="399"/>
        <w:spacing w:after="0" w:line="337" w:lineRule="auto"/>
        <w:rPr>
          <w:sz w:val="20"/>
          <w:szCs w:val="20"/>
          <w:color w:val="auto"/>
        </w:rPr>
      </w:pPr>
      <w:r>
        <w:rPr>
          <w:rFonts w:ascii="Arial" w:cs="Arial" w:eastAsia="Arial" w:hAnsi="Arial"/>
          <w:sz w:val="11"/>
          <w:szCs w:val="11"/>
          <w:color w:val="auto"/>
        </w:rPr>
        <w:t>We have audited the accompanying balance sheets of Synchronoss Technologies, Inc. as of December 31, 2007 and 2006, and the related statements of operations, stockholders’ equity (deficiency), and cash flows for each of the three years in the period ended December 31, 2007. Our audits also included the financial statement schedule included in Item 15(a)(2). These financial statements and schedule are the responsibility of the Company’s management. Our responsibility is to express an opinion on these financial statements based on our audits.</w:t>
      </w:r>
    </w:p>
    <w:p>
      <w:pPr>
        <w:spacing w:after="0" w:line="31"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9" w:lineRule="exact"/>
        <w:rPr>
          <w:sz w:val="20"/>
          <w:szCs w:val="20"/>
          <w:color w:val="auto"/>
        </w:rPr>
      </w:pPr>
    </w:p>
    <w:p>
      <w:pPr>
        <w:ind w:left="680" w:right="140" w:firstLine="399"/>
        <w:spacing w:after="0" w:line="262"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financial position of Synchronoss Technologies, Inc. at December 31, 2007 and 2006, and the results of its operations and its cash flows for each of the three years in the period ended December 31, 2007,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69" w:lineRule="exact"/>
        <w:rPr>
          <w:sz w:val="20"/>
          <w:szCs w:val="20"/>
          <w:color w:val="auto"/>
        </w:rPr>
      </w:pPr>
    </w:p>
    <w:p>
      <w:pPr>
        <w:ind w:left="680" w:right="240" w:firstLine="399"/>
        <w:spacing w:after="0" w:line="279" w:lineRule="auto"/>
        <w:rPr>
          <w:sz w:val="20"/>
          <w:szCs w:val="20"/>
          <w:color w:val="auto"/>
        </w:rPr>
      </w:pPr>
      <w:r>
        <w:rPr>
          <w:rFonts w:ascii="Arial" w:cs="Arial" w:eastAsia="Arial" w:hAnsi="Arial"/>
          <w:sz w:val="13"/>
          <w:szCs w:val="13"/>
          <w:color w:val="auto"/>
        </w:rPr>
        <w:t>As discussed in Note 2 to the financial statements, effective January 1, 2006, the Company adopted SFAS No. 123(R), “</w:t>
      </w:r>
      <w:r>
        <w:rPr>
          <w:rFonts w:ascii="Arial" w:cs="Arial" w:eastAsia="Arial" w:hAnsi="Arial"/>
          <w:sz w:val="13"/>
          <w:szCs w:val="13"/>
          <w:i w:val="1"/>
          <w:iCs w:val="1"/>
          <w:color w:val="auto"/>
        </w:rPr>
        <w:t>Share-Based Payments</w:t>
      </w:r>
      <w:r>
        <w:rPr>
          <w:rFonts w:ascii="Arial" w:cs="Arial" w:eastAsia="Arial" w:hAnsi="Arial"/>
          <w:sz w:val="13"/>
          <w:szCs w:val="13"/>
          <w:color w:val="auto"/>
        </w:rPr>
        <w:t xml:space="preserve">” using the prospective method of adoption, and FIN 48, </w:t>
      </w:r>
      <w:r>
        <w:rPr>
          <w:rFonts w:ascii="Arial" w:cs="Arial" w:eastAsia="Arial" w:hAnsi="Arial"/>
          <w:sz w:val="13"/>
          <w:szCs w:val="13"/>
          <w:i w:val="1"/>
          <w:iCs w:val="1"/>
          <w:color w:val="auto"/>
        </w:rPr>
        <w:t>“Accounting for Uncertainty in Income Taxes — an Interpretation of FASB Statement No. 109”</w:t>
      </w:r>
      <w:r>
        <w:rPr>
          <w:rFonts w:ascii="Arial" w:cs="Arial" w:eastAsia="Arial" w:hAnsi="Arial"/>
          <w:sz w:val="13"/>
          <w:szCs w:val="13"/>
          <w:color w:val="auto"/>
        </w:rPr>
        <w:t xml:space="preserve"> effective January 1, 2007.</w:t>
      </w:r>
    </w:p>
    <w:p>
      <w:pPr>
        <w:spacing w:after="0" w:line="58" w:lineRule="exact"/>
        <w:rPr>
          <w:sz w:val="20"/>
          <w:szCs w:val="20"/>
          <w:color w:val="auto"/>
        </w:rPr>
      </w:pPr>
    </w:p>
    <w:p>
      <w:pPr>
        <w:ind w:left="680" w:right="100" w:firstLine="399"/>
        <w:spacing w:after="0" w:line="266" w:lineRule="auto"/>
        <w:rPr>
          <w:sz w:val="20"/>
          <w:szCs w:val="20"/>
          <w:color w:val="auto"/>
        </w:rPr>
      </w:pPr>
      <w:r>
        <w:rPr>
          <w:rFonts w:ascii="Arial" w:cs="Arial" w:eastAsia="Arial" w:hAnsi="Arial"/>
          <w:sz w:val="13"/>
          <w:szCs w:val="13"/>
          <w:color w:val="auto"/>
        </w:rPr>
        <w:t xml:space="preserve">We also have audited, in accordance with the standards of the Public Company Accounting Oversight Board (United States), Synchronoss Technologies, Inc.’s internal control over financial reporting as of December 31, 2007,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and our report dated February 22, 2008 expressed an unqualified opinion thereon.</w:t>
      </w:r>
    </w:p>
    <w:p>
      <w:pPr>
        <w:spacing w:after="0" w:line="304" w:lineRule="exact"/>
        <w:rPr>
          <w:sz w:val="20"/>
          <w:szCs w:val="20"/>
          <w:color w:val="auto"/>
        </w:rPr>
      </w:pPr>
    </w:p>
    <w:p>
      <w:pPr>
        <w:ind w:left="7500"/>
        <w:spacing w:after="0"/>
        <w:rPr>
          <w:sz w:val="20"/>
          <w:szCs w:val="20"/>
          <w:color w:val="auto"/>
        </w:rPr>
      </w:pPr>
      <w:r>
        <w:rPr>
          <w:rFonts w:ascii="Arial" w:cs="Arial" w:eastAsia="Arial" w:hAnsi="Arial"/>
          <w:sz w:val="13"/>
          <w:szCs w:val="13"/>
          <w:color w:val="auto"/>
        </w:rPr>
        <w:t>/s/ Ernst &amp; Young LLP</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MetroPark, New Jersey</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22, 2008</w:t>
      </w:r>
    </w:p>
    <w:p>
      <w:pPr>
        <w:spacing w:after="0" w:line="29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BALANCE SHEETS</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w w:val="89"/>
              </w:rPr>
              <w:t>December 31,</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86"/>
              </w:rPr>
              <w:t>December 31,</w:t>
            </w:r>
          </w:p>
        </w:tc>
      </w:tr>
      <w:tr>
        <w:trPr>
          <w:trHeight w:val="126"/>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1"/>
                <w:szCs w:val="11"/>
                <w:b w:val="1"/>
                <w:bCs w:val="1"/>
                <w:color w:val="auto"/>
              </w:rPr>
              <w:t>2007</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1"/>
                <w:szCs w:val="11"/>
                <w:b w:val="1"/>
                <w:bCs w:val="1"/>
                <w:color w:val="auto"/>
              </w:rPr>
              <w:t>2006</w:t>
            </w:r>
          </w:p>
        </w:tc>
        <w:tc>
          <w:tcPr>
            <w:tcW w:w="100" w:type="dxa"/>
            <w:vAlign w:val="bottom"/>
          </w:tcPr>
          <w:p>
            <w:pPr>
              <w:spacing w:after="0"/>
              <w:rPr>
                <w:sz w:val="10"/>
                <w:szCs w:val="10"/>
                <w:color w:val="auto"/>
              </w:rPr>
            </w:pPr>
          </w:p>
        </w:tc>
      </w:tr>
      <w:tr>
        <w:trPr>
          <w:trHeight w:val="132"/>
        </w:trPr>
        <w:tc>
          <w:tcPr>
            <w:tcW w:w="2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gridSpan w:val="6"/>
          </w:tcPr>
          <w:p>
            <w:pPr>
              <w:jc w:val="right"/>
              <w:ind w:right="500"/>
              <w:spacing w:after="0"/>
              <w:rPr>
                <w:sz w:val="20"/>
                <w:szCs w:val="20"/>
                <w:color w:val="auto"/>
              </w:rPr>
            </w:pPr>
            <w:r>
              <w:rPr>
                <w:rFonts w:ascii="Arial" w:cs="Arial" w:eastAsia="Arial" w:hAnsi="Arial"/>
                <w:sz w:val="11"/>
                <w:szCs w:val="11"/>
                <w:b w:val="1"/>
                <w:bCs w:val="1"/>
                <w:color w:val="auto"/>
              </w:rPr>
              <w:t>(In thousands, except per share data)</w:t>
            </w:r>
          </w:p>
        </w:tc>
      </w:tr>
      <w:tr>
        <w:trPr>
          <w:trHeight w:val="164"/>
        </w:trPr>
        <w:tc>
          <w:tcPr>
            <w:tcW w:w="20" w:type="dxa"/>
            <w:vAlign w:val="bottom"/>
          </w:tcPr>
          <w:p>
            <w:pPr>
              <w:spacing w:after="0"/>
              <w:rPr>
                <w:sz w:val="14"/>
                <w:szCs w:val="14"/>
                <w:color w:val="auto"/>
              </w:rPr>
            </w:pPr>
          </w:p>
        </w:tc>
        <w:tc>
          <w:tcPr>
            <w:tcW w:w="7380" w:type="dxa"/>
            <w:vAlign w:val="bottom"/>
            <w:shd w:val="clear" w:color="auto" w:fill="CCEEFF"/>
          </w:tcPr>
          <w:p>
            <w:pPr>
              <w:ind w:left="4740"/>
              <w:spacing w:after="0"/>
              <w:rPr>
                <w:sz w:val="20"/>
                <w:szCs w:val="20"/>
                <w:color w:val="auto"/>
              </w:rPr>
            </w:pPr>
            <w:r>
              <w:rPr>
                <w:rFonts w:ascii="Arial" w:cs="Arial" w:eastAsia="Arial" w:hAnsi="Arial"/>
                <w:sz w:val="13"/>
                <w:szCs w:val="13"/>
                <w:b w:val="1"/>
                <w:bCs w:val="1"/>
                <w:color w:val="auto"/>
              </w:rPr>
              <w:t>ASSETS</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8"/>
        </w:trPr>
        <w:tc>
          <w:tcPr>
            <w:tcW w:w="20" w:type="dxa"/>
            <w:vAlign w:val="bottom"/>
          </w:tcPr>
          <w:p>
            <w:pPr>
              <w:spacing w:after="0"/>
              <w:rPr>
                <w:sz w:val="13"/>
                <w:szCs w:val="13"/>
                <w:color w:val="auto"/>
              </w:rPr>
            </w:pPr>
          </w:p>
        </w:tc>
        <w:tc>
          <w:tcPr>
            <w:tcW w:w="7380" w:type="dxa"/>
            <w:vAlign w:val="bottom"/>
          </w:tcPr>
          <w:p>
            <w:pPr>
              <w:spacing w:after="0"/>
              <w:rPr>
                <w:sz w:val="20"/>
                <w:szCs w:val="20"/>
                <w:color w:val="auto"/>
              </w:rPr>
            </w:pPr>
            <w:r>
              <w:rPr>
                <w:rFonts w:ascii="Arial" w:cs="Arial" w:eastAsia="Arial" w:hAnsi="Arial"/>
                <w:sz w:val="13"/>
                <w:szCs w:val="13"/>
                <w:color w:val="auto"/>
              </w:rPr>
              <w:t>Current assets: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92,756</w:t>
            </w:r>
          </w:p>
        </w:tc>
        <w:tc>
          <w:tcPr>
            <w:tcW w:w="3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73,905</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380" w:type="dxa"/>
            <w:vAlign w:val="bottom"/>
          </w:tcPr>
          <w:p>
            <w:pPr>
              <w:ind w:left="120"/>
              <w:spacing w:after="0"/>
              <w:rPr>
                <w:sz w:val="20"/>
                <w:szCs w:val="20"/>
                <w:color w:val="auto"/>
              </w:rPr>
            </w:pPr>
            <w:r>
              <w:rPr>
                <w:rFonts w:ascii="Arial" w:cs="Arial" w:eastAsia="Arial" w:hAnsi="Arial"/>
                <w:sz w:val="13"/>
                <w:szCs w:val="13"/>
                <w:color w:val="auto"/>
              </w:rPr>
              <w:t>Marketable securities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1,891</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3,780</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Accounts receivable, net of allowance for doubtful accounts of $448 and $171 at December 31, 2007 and 2006, respectively</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26,710</w:t>
            </w: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16,917</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380" w:type="dxa"/>
            <w:vAlign w:val="bottom"/>
          </w:tcPr>
          <w:p>
            <w:pPr>
              <w:ind w:left="120"/>
              <w:spacing w:after="0"/>
              <w:rPr>
                <w:sz w:val="20"/>
                <w:szCs w:val="20"/>
                <w:color w:val="auto"/>
              </w:rPr>
            </w:pPr>
            <w:r>
              <w:rPr>
                <w:rFonts w:ascii="Arial" w:cs="Arial" w:eastAsia="Arial" w:hAnsi="Arial"/>
                <w:sz w:val="13"/>
                <w:szCs w:val="13"/>
                <w:color w:val="auto"/>
              </w:rPr>
              <w:t>Prepaid expenses and other assets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2,949</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1,653</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tax assets</w:t>
            </w: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100" w:type="dxa"/>
            <w:vAlign w:val="bottom"/>
            <w:shd w:val="clear" w:color="auto" w:fill="CCEEFF"/>
          </w:tcPr>
          <w:p>
            <w:pPr>
              <w:spacing w:after="0"/>
              <w:rPr>
                <w:sz w:val="13"/>
                <w:szCs w:val="13"/>
                <w:color w:val="auto"/>
              </w:rPr>
            </w:pPr>
          </w:p>
        </w:tc>
      </w:tr>
      <w:tr>
        <w:trPr>
          <w:trHeight w:val="156"/>
        </w:trPr>
        <w:tc>
          <w:tcPr>
            <w:tcW w:w="7400" w:type="dxa"/>
            <w:vAlign w:val="bottom"/>
            <w:gridSpan w:val="2"/>
          </w:tcPr>
          <w:p>
            <w:pPr>
              <w:spacing w:after="0"/>
              <w:rPr>
                <w:sz w:val="20"/>
                <w:szCs w:val="20"/>
                <w:color w:val="auto"/>
              </w:rPr>
            </w:pPr>
            <w:r>
              <w:rPr>
                <w:rFonts w:ascii="Arial" w:cs="Arial" w:eastAsia="Arial" w:hAnsi="Arial"/>
                <w:sz w:val="13"/>
                <w:szCs w:val="13"/>
                <w:color w:val="auto"/>
              </w:rPr>
              <w:t>Total current assets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124,553</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96,567</w:t>
            </w:r>
          </w:p>
        </w:tc>
        <w:tc>
          <w:tcPr>
            <w:tcW w:w="1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3"/>
                <w:szCs w:val="13"/>
                <w:color w:val="auto"/>
              </w:rPr>
              <w:t>Marketable securities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1,210</w:t>
            </w: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1,267</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38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10,467</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5,262</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2,498</w:t>
            </w: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1,643</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380" w:type="dxa"/>
            <w:vAlign w:val="bottom"/>
          </w:tcPr>
          <w:p>
            <w:pPr>
              <w:spacing w:after="0"/>
              <w:rPr>
                <w:sz w:val="20"/>
                <w:szCs w:val="20"/>
                <w:color w:val="auto"/>
              </w:rPr>
            </w:pPr>
            <w:r>
              <w:rPr>
                <w:rFonts w:ascii="Arial" w:cs="Arial" w:eastAsia="Arial" w:hAnsi="Arial"/>
                <w:sz w:val="13"/>
                <w:szCs w:val="13"/>
                <w:color w:val="auto"/>
              </w:rPr>
              <w:t>Other assets</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w:t>
            </w:r>
          </w:p>
        </w:tc>
        <w:tc>
          <w:tcPr>
            <w:tcW w:w="100" w:type="dxa"/>
            <w:vAlign w:val="bottom"/>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139,018</w:t>
            </w:r>
          </w:p>
        </w:tc>
        <w:tc>
          <w:tcPr>
            <w:tcW w:w="3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104,925</w:t>
            </w:r>
          </w:p>
        </w:tc>
        <w:tc>
          <w:tcPr>
            <w:tcW w:w="100" w:type="dxa"/>
            <w:vAlign w:val="bottom"/>
            <w:shd w:val="clear" w:color="auto" w:fill="CCEEFF"/>
          </w:tcPr>
          <w:p>
            <w:pPr>
              <w:spacing w:after="0"/>
              <w:rPr>
                <w:sz w:val="14"/>
                <w:szCs w:val="14"/>
                <w:color w:val="auto"/>
              </w:rPr>
            </w:pPr>
          </w:p>
        </w:tc>
      </w:tr>
      <w:tr>
        <w:trPr>
          <w:trHeight w:val="285"/>
        </w:trPr>
        <w:tc>
          <w:tcPr>
            <w:tcW w:w="20" w:type="dxa"/>
            <w:vAlign w:val="bottom"/>
          </w:tcPr>
          <w:p>
            <w:pPr>
              <w:spacing w:after="0"/>
              <w:rPr>
                <w:sz w:val="24"/>
                <w:szCs w:val="24"/>
                <w:color w:val="auto"/>
              </w:rPr>
            </w:pPr>
          </w:p>
        </w:tc>
        <w:tc>
          <w:tcPr>
            <w:tcW w:w="7380" w:type="dxa"/>
            <w:vAlign w:val="bottom"/>
          </w:tcPr>
          <w:p>
            <w:pPr>
              <w:ind w:left="3540"/>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380" w:type="dxa"/>
            <w:vAlign w:val="bottom"/>
          </w:tcPr>
          <w:p>
            <w:pPr>
              <w:ind w:left="120"/>
              <w:spacing w:after="0"/>
              <w:rPr>
                <w:sz w:val="20"/>
                <w:szCs w:val="20"/>
                <w:color w:val="auto"/>
              </w:rPr>
            </w:pPr>
            <w:r>
              <w:rPr>
                <w:rFonts w:ascii="Arial" w:cs="Arial" w:eastAsia="Arial" w:hAnsi="Arial"/>
                <w:sz w:val="13"/>
                <w:szCs w:val="13"/>
                <w:color w:val="auto"/>
              </w:rPr>
              <w:t>Accounts payable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1,681</w:t>
            </w:r>
          </w:p>
        </w:tc>
        <w:tc>
          <w:tcPr>
            <w:tcW w:w="38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728</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Accrued expenses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9,495</w:t>
            </w: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7,807</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380" w:type="dxa"/>
            <w:vAlign w:val="bottom"/>
          </w:tcPr>
          <w:p>
            <w:pPr>
              <w:ind w:left="120"/>
              <w:spacing w:after="0"/>
              <w:rPr>
                <w:sz w:val="20"/>
                <w:szCs w:val="20"/>
                <w:color w:val="auto"/>
              </w:rPr>
            </w:pPr>
            <w:r>
              <w:rPr>
                <w:rFonts w:ascii="Arial" w:cs="Arial" w:eastAsia="Arial" w:hAnsi="Arial"/>
                <w:sz w:val="13"/>
                <w:szCs w:val="13"/>
                <w:color w:val="auto"/>
              </w:rPr>
              <w:t>Short-term portion of equipment loan payable</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666</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revenues</w:t>
            </w: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451</w:t>
            </w:r>
          </w:p>
        </w:tc>
        <w:tc>
          <w:tcPr>
            <w:tcW w:w="100" w:type="dxa"/>
            <w:vAlign w:val="bottom"/>
            <w:shd w:val="clear" w:color="auto" w:fill="CCEEFF"/>
          </w:tcPr>
          <w:p>
            <w:pPr>
              <w:spacing w:after="0"/>
              <w:rPr>
                <w:sz w:val="13"/>
                <w:szCs w:val="13"/>
                <w:color w:val="auto"/>
              </w:rPr>
            </w:pPr>
          </w:p>
        </w:tc>
      </w:tr>
      <w:tr>
        <w:trPr>
          <w:trHeight w:val="156"/>
        </w:trPr>
        <w:tc>
          <w:tcPr>
            <w:tcW w:w="7400" w:type="dxa"/>
            <w:vAlign w:val="bottom"/>
            <w:gridSpan w:val="2"/>
          </w:tcPr>
          <w:p>
            <w:pPr>
              <w:spacing w:after="0"/>
              <w:rPr>
                <w:sz w:val="20"/>
                <w:szCs w:val="20"/>
                <w:color w:val="auto"/>
              </w:rPr>
            </w:pPr>
            <w:r>
              <w:rPr>
                <w:rFonts w:ascii="Arial" w:cs="Arial" w:eastAsia="Arial" w:hAnsi="Arial"/>
                <w:sz w:val="13"/>
                <w:szCs w:val="13"/>
                <w:color w:val="auto"/>
              </w:rPr>
              <w:t>Total current liabilities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11,549</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9,652</w:t>
            </w:r>
          </w:p>
        </w:tc>
        <w:tc>
          <w:tcPr>
            <w:tcW w:w="1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w:t>
            </w: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8"/>
        </w:trPr>
        <w:tc>
          <w:tcPr>
            <w:tcW w:w="20" w:type="dxa"/>
            <w:vAlign w:val="bottom"/>
          </w:tcPr>
          <w:p>
            <w:pPr>
              <w:spacing w:after="0"/>
              <w:rPr>
                <w:sz w:val="13"/>
                <w:szCs w:val="13"/>
                <w:color w:val="auto"/>
              </w:rPr>
            </w:pPr>
          </w:p>
        </w:tc>
        <w:tc>
          <w:tcPr>
            <w:tcW w:w="7380" w:type="dxa"/>
            <w:vAlign w:val="bottom"/>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3"/>
                <w:szCs w:val="13"/>
                <w:color w:val="auto"/>
                <w:w w:val="99"/>
              </w:rPr>
              <w:t>Preferred stock, $0.0001 par value; 10,000 shares authorized, 0 shares issued and outstanding at December 31, 2007 and 2006</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20"/>
                <w:szCs w:val="20"/>
                <w:color w:val="auto"/>
              </w:rPr>
            </w:pPr>
            <w:r>
              <w:rPr>
                <w:rFonts w:ascii="Arial" w:cs="Arial" w:eastAsia="Arial" w:hAnsi="Arial"/>
                <w:sz w:val="13"/>
                <w:szCs w:val="13"/>
                <w:color w:val="auto"/>
                <w:w w:val="96"/>
              </w:rPr>
              <w:t>Common stock, $0.0001 par value; 100,000 shares authorized, 32,726 and 32,250 shares issued; 32,630 and 32,154 outstanding at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7380" w:type="dxa"/>
            <w:vAlign w:val="bottom"/>
          </w:tcPr>
          <w:p>
            <w:pPr>
              <w:ind w:left="120"/>
              <w:spacing w:after="0"/>
              <w:rPr>
                <w:sz w:val="20"/>
                <w:szCs w:val="20"/>
                <w:color w:val="auto"/>
              </w:rPr>
            </w:pPr>
            <w:r>
              <w:rPr>
                <w:rFonts w:ascii="Arial" w:cs="Arial" w:eastAsia="Arial" w:hAnsi="Arial"/>
                <w:sz w:val="13"/>
                <w:szCs w:val="13"/>
                <w:color w:val="auto"/>
              </w:rPr>
              <w:t>December 31, 2007 and 2006, respectively</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7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Treasury stock, at cost (96 shares at December 31, 2007 and 2006)</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w:t>
            </w:r>
          </w:p>
        </w:tc>
      </w:tr>
      <w:tr>
        <w:trPr>
          <w:trHeight w:val="158"/>
        </w:trPr>
        <w:tc>
          <w:tcPr>
            <w:tcW w:w="20" w:type="dxa"/>
            <w:vAlign w:val="bottom"/>
          </w:tcPr>
          <w:p>
            <w:pPr>
              <w:spacing w:after="0"/>
              <w:rPr>
                <w:sz w:val="13"/>
                <w:szCs w:val="13"/>
                <w:color w:val="auto"/>
              </w:rPr>
            </w:pPr>
          </w:p>
        </w:tc>
        <w:tc>
          <w:tcPr>
            <w:tcW w:w="7380" w:type="dxa"/>
            <w:vAlign w:val="bottom"/>
          </w:tcPr>
          <w:p>
            <w:pPr>
              <w:ind w:left="120"/>
              <w:spacing w:after="0"/>
              <w:rPr>
                <w:sz w:val="20"/>
                <w:szCs w:val="20"/>
                <w:color w:val="auto"/>
              </w:rPr>
            </w:pPr>
            <w:r>
              <w:rPr>
                <w:rFonts w:ascii="Arial" w:cs="Arial" w:eastAsia="Arial" w:hAnsi="Arial"/>
                <w:sz w:val="13"/>
                <w:szCs w:val="13"/>
                <w:color w:val="auto"/>
              </w:rPr>
              <w:t>Additional paid-in capital</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98,596</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90,844</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Accumulated other comprehensive income (loss)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w:t>
            </w:r>
          </w:p>
        </w:tc>
      </w:tr>
      <w:tr>
        <w:trPr>
          <w:trHeight w:val="158"/>
        </w:trPr>
        <w:tc>
          <w:tcPr>
            <w:tcW w:w="20" w:type="dxa"/>
            <w:vAlign w:val="bottom"/>
          </w:tcPr>
          <w:p>
            <w:pPr>
              <w:spacing w:after="0"/>
              <w:rPr>
                <w:sz w:val="13"/>
                <w:szCs w:val="13"/>
                <w:color w:val="auto"/>
              </w:rPr>
            </w:pPr>
          </w:p>
        </w:tc>
        <w:tc>
          <w:tcPr>
            <w:tcW w:w="7380" w:type="dxa"/>
            <w:vAlign w:val="bottom"/>
          </w:tcPr>
          <w:p>
            <w:pPr>
              <w:ind w:left="120"/>
              <w:spacing w:after="0"/>
              <w:rPr>
                <w:sz w:val="20"/>
                <w:szCs w:val="20"/>
                <w:color w:val="auto"/>
              </w:rPr>
            </w:pPr>
            <w:r>
              <w:rPr>
                <w:rFonts w:ascii="Arial" w:cs="Arial" w:eastAsia="Arial" w:hAnsi="Arial"/>
                <w:sz w:val="13"/>
                <w:szCs w:val="13"/>
                <w:color w:val="auto"/>
              </w:rPr>
              <w:t>Retained earnings</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28,207</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4,451</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3"/>
                <w:szCs w:val="13"/>
                <w:color w:val="auto"/>
              </w:rPr>
              <w:t>Total stockholders’ equity</w:t>
            </w: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126,791</w:t>
            </w: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95,273</w:t>
            </w:r>
          </w:p>
        </w:tc>
        <w:tc>
          <w:tcPr>
            <w:tcW w:w="100" w:type="dxa"/>
            <w:vAlign w:val="bottom"/>
            <w:shd w:val="clear" w:color="auto" w:fill="CCEEFF"/>
          </w:tcPr>
          <w:p>
            <w:pPr>
              <w:spacing w:after="0"/>
              <w:rPr>
                <w:sz w:val="13"/>
                <w:szCs w:val="13"/>
                <w:color w:val="auto"/>
              </w:rPr>
            </w:pPr>
          </w:p>
        </w:tc>
      </w:tr>
      <w:tr>
        <w:trPr>
          <w:trHeight w:val="157"/>
        </w:trPr>
        <w:tc>
          <w:tcPr>
            <w:tcW w:w="7400" w:type="dxa"/>
            <w:vAlign w:val="bottom"/>
            <w:gridSpan w:val="2"/>
          </w:tcPr>
          <w:p>
            <w:pPr>
              <w:spacing w:after="0"/>
              <w:rPr>
                <w:sz w:val="20"/>
                <w:szCs w:val="20"/>
                <w:color w:val="auto"/>
              </w:rPr>
            </w:pPr>
            <w:r>
              <w:rPr>
                <w:rFonts w:ascii="Arial" w:cs="Arial" w:eastAsia="Arial" w:hAnsi="Arial"/>
                <w:sz w:val="13"/>
                <w:szCs w:val="13"/>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139,018</w:t>
            </w:r>
          </w:p>
        </w:tc>
        <w:tc>
          <w:tcPr>
            <w:tcW w:w="38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104,925</w:t>
            </w:r>
          </w:p>
        </w:tc>
        <w:tc>
          <w:tcPr>
            <w:tcW w:w="100" w:type="dxa"/>
            <w:vAlign w:val="bottom"/>
          </w:tcPr>
          <w:p>
            <w:pPr>
              <w:spacing w:after="0"/>
              <w:rPr>
                <w:sz w:val="13"/>
                <w:szCs w:val="13"/>
                <w:color w:val="auto"/>
              </w:rPr>
            </w:pPr>
          </w:p>
        </w:tc>
      </w:tr>
      <w:tr>
        <w:trPr>
          <w:trHeight w:val="30"/>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1"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See accompanying notes.</w:t>
      </w: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STATEMENTS OF OPERATIONS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1"/>
                <w:szCs w:val="11"/>
                <w:b w:val="1"/>
                <w:bCs w:val="1"/>
                <w:color w:val="auto"/>
                <w:w w:val="85"/>
              </w:rPr>
              <w:t>Year Ended December 31,</w:t>
            </w: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5"/>
              <w:spacing w:after="0" w:line="99" w:lineRule="exact"/>
              <w:rPr>
                <w:sz w:val="20"/>
                <w:szCs w:val="20"/>
                <w:color w:val="auto"/>
              </w:rPr>
            </w:pPr>
            <w:r>
              <w:rPr>
                <w:rFonts w:ascii="Arial" w:cs="Arial" w:eastAsia="Arial" w:hAnsi="Arial"/>
                <w:sz w:val="11"/>
                <w:szCs w:val="11"/>
                <w:b w:val="1"/>
                <w:bCs w:val="1"/>
                <w:color w:val="auto"/>
              </w:rPr>
              <w:t>2007</w:t>
            </w:r>
          </w:p>
        </w:tc>
        <w:tc>
          <w:tcPr>
            <w:tcW w:w="380" w:type="dxa"/>
            <w:vAlign w:val="bottom"/>
            <w:gridSpan w:val="2"/>
            <w:vMerge w:val="restart"/>
          </w:tcPr>
          <w:p>
            <w:pPr>
              <w:spacing w:after="0"/>
              <w:rPr>
                <w:sz w:val="20"/>
                <w:szCs w:val="20"/>
                <w:color w:val="auto"/>
              </w:rPr>
            </w:pPr>
            <w:r>
              <w:rPr>
                <w:rFonts w:ascii="Arial" w:cs="Arial" w:eastAsia="Arial" w:hAnsi="Arial"/>
                <w:sz w:val="9"/>
                <w:szCs w:val="9"/>
                <w:b w:val="1"/>
                <w:bCs w:val="1"/>
                <w:color w:val="auto"/>
                <w:w w:val="74"/>
              </w:rPr>
              <w:t>thousands,</w:t>
            </w: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5"/>
              <w:spacing w:after="0" w:line="99" w:lineRule="exact"/>
              <w:rPr>
                <w:sz w:val="20"/>
                <w:szCs w:val="20"/>
                <w:color w:val="auto"/>
              </w:rPr>
            </w:pPr>
            <w:r>
              <w:rPr>
                <w:rFonts w:ascii="Arial" w:cs="Arial" w:eastAsia="Arial" w:hAnsi="Arial"/>
                <w:sz w:val="11"/>
                <w:szCs w:val="11"/>
                <w:b w:val="1"/>
                <w:bCs w:val="1"/>
                <w:color w:val="auto"/>
                <w:w w:val="97"/>
              </w:rPr>
              <w:t>2006</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5"/>
              <w:spacing w:after="0" w:line="99" w:lineRule="exact"/>
              <w:rPr>
                <w:sz w:val="20"/>
                <w:szCs w:val="20"/>
                <w:color w:val="auto"/>
              </w:rPr>
            </w:pPr>
            <w:r>
              <w:rPr>
                <w:rFonts w:ascii="Arial" w:cs="Arial" w:eastAsia="Arial" w:hAnsi="Arial"/>
                <w:sz w:val="11"/>
                <w:szCs w:val="11"/>
                <w:b w:val="1"/>
                <w:bCs w:val="1"/>
                <w:color w:val="auto"/>
                <w:w w:val="97"/>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ind w:right="15"/>
              <w:spacing w:after="0"/>
              <w:rPr>
                <w:sz w:val="20"/>
                <w:szCs w:val="20"/>
                <w:color w:val="auto"/>
              </w:rPr>
            </w:pPr>
            <w:r>
              <w:rPr>
                <w:rFonts w:ascii="Arial" w:cs="Arial" w:eastAsia="Arial" w:hAnsi="Arial"/>
                <w:sz w:val="11"/>
                <w:szCs w:val="11"/>
                <w:b w:val="1"/>
                <w:bCs w:val="1"/>
                <w:color w:val="auto"/>
              </w:rPr>
              <w:t>(In</w:t>
            </w:r>
          </w:p>
        </w:tc>
        <w:tc>
          <w:tcPr>
            <w:tcW w:w="380" w:type="dxa"/>
            <w:vAlign w:val="bottom"/>
            <w:gridSpan w:val="2"/>
            <w:vMerge w:val="continue"/>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b w:val="1"/>
                <w:bCs w:val="1"/>
                <w:color w:val="auto"/>
                <w:w w:val="94"/>
              </w:rPr>
              <w:t>except per</w:t>
            </w:r>
          </w:p>
        </w:tc>
        <w:tc>
          <w:tcPr>
            <w:tcW w:w="540" w:type="dxa"/>
            <w:vAlign w:val="bottom"/>
            <w:gridSpan w:val="3"/>
          </w:tcPr>
          <w:p>
            <w:pPr>
              <w:jc w:val="right"/>
              <w:ind w:right="60"/>
              <w:spacing w:after="0"/>
              <w:rPr>
                <w:sz w:val="20"/>
                <w:szCs w:val="20"/>
                <w:color w:val="auto"/>
              </w:rPr>
            </w:pPr>
            <w:r>
              <w:rPr>
                <w:rFonts w:ascii="Arial" w:cs="Arial" w:eastAsia="Arial" w:hAnsi="Arial"/>
                <w:sz w:val="11"/>
                <w:szCs w:val="11"/>
                <w:b w:val="1"/>
                <w:bCs w:val="1"/>
                <w:color w:val="auto"/>
                <w:w w:val="78"/>
              </w:rPr>
              <w:t>share data)</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revenues</w:t>
            </w:r>
          </w:p>
        </w:tc>
        <w:tc>
          <w:tcPr>
            <w:tcW w:w="48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123,538</w:t>
            </w:r>
          </w:p>
        </w:tc>
        <w:tc>
          <w:tcPr>
            <w:tcW w:w="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3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72,406</w:t>
            </w:r>
          </w:p>
        </w:tc>
        <w:tc>
          <w:tcPr>
            <w:tcW w:w="3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54,218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60" w:type="dxa"/>
            <w:vAlign w:val="bottom"/>
            <w:gridSpan w:val="2"/>
          </w:tcPr>
          <w:p>
            <w:pPr>
              <w:spacing w:after="0"/>
              <w:rPr>
                <w:sz w:val="20"/>
                <w:szCs w:val="20"/>
                <w:color w:val="auto"/>
              </w:rPr>
            </w:pPr>
            <w:r>
              <w:rPr>
                <w:rFonts w:ascii="Arial" w:cs="Arial" w:eastAsia="Arial" w:hAnsi="Arial"/>
                <w:sz w:val="13"/>
                <w:szCs w:val="13"/>
                <w:color w:val="auto"/>
              </w:rPr>
              <w:t>Costs and expenses:</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96"/>
              </w:rPr>
              <w:t>Cost of services ($0, $3,714, and $8,089 were purchased from a related party during 2007, 2006 and 2005, respectively)*</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55,305</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35,643</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30,205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60" w:type="dxa"/>
            <w:vAlign w:val="bottom"/>
            <w:gridSpan w:val="2"/>
          </w:tcPr>
          <w:p>
            <w:pPr>
              <w:ind w:left="120"/>
              <w:spacing w:after="0"/>
              <w:rPr>
                <w:sz w:val="20"/>
                <w:szCs w:val="20"/>
                <w:color w:val="auto"/>
              </w:rPr>
            </w:pPr>
            <w:r>
              <w:rPr>
                <w:rFonts w:ascii="Arial" w:cs="Arial" w:eastAsia="Arial" w:hAnsi="Arial"/>
                <w:sz w:val="13"/>
                <w:szCs w:val="13"/>
                <w:color w:val="auto"/>
              </w:rPr>
              <w:t>Research and development</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10,629</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7,726</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5,689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Selling, general and administrative</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18,531</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10,474</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7,544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60" w:type="dxa"/>
            <w:vAlign w:val="bottom"/>
            <w:gridSpan w:val="2"/>
          </w:tcPr>
          <w:p>
            <w:pPr>
              <w:ind w:left="120"/>
              <w:spacing w:after="0"/>
              <w:rPr>
                <w:sz w:val="20"/>
                <w:szCs w:val="20"/>
                <w:color w:val="auto"/>
              </w:rPr>
            </w:pPr>
            <w:r>
              <w:rPr>
                <w:rFonts w:ascii="Arial" w:cs="Arial" w:eastAsia="Arial" w:hAnsi="Arial"/>
                <w:sz w:val="13"/>
                <w:szCs w:val="13"/>
                <w:color w:val="auto"/>
              </w:rPr>
              <w:t>Depreciation</w:t>
            </w:r>
          </w:p>
        </w:tc>
        <w:tc>
          <w:tcPr>
            <w:tcW w:w="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5,237</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3,267</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costs and expenses</w:t>
            </w:r>
          </w:p>
        </w:tc>
        <w:tc>
          <w:tcPr>
            <w:tcW w:w="3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89,702</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57,110</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45,743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80" w:type="dxa"/>
            <w:vAlign w:val="bottom"/>
            <w:gridSpan w:val="3"/>
          </w:tcPr>
          <w:p>
            <w:pPr>
              <w:spacing w:after="0"/>
              <w:rPr>
                <w:sz w:val="20"/>
                <w:szCs w:val="20"/>
                <w:color w:val="auto"/>
              </w:rPr>
            </w:pPr>
            <w:r>
              <w:rPr>
                <w:rFonts w:ascii="Arial" w:cs="Arial" w:eastAsia="Arial" w:hAnsi="Arial"/>
                <w:sz w:val="13"/>
                <w:szCs w:val="13"/>
                <w:color w:val="auto"/>
              </w:rPr>
              <w:t>Income from operations</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33,836</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15,296</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8,475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Interest and other income</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3,974</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2,256</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60" w:type="dxa"/>
            <w:vAlign w:val="bottom"/>
            <w:gridSpan w:val="2"/>
          </w:tcPr>
          <w:p>
            <w:pPr>
              <w:ind w:left="120"/>
              <w:spacing w:after="0"/>
              <w:rPr>
                <w:sz w:val="20"/>
                <w:szCs w:val="20"/>
                <w:color w:val="auto"/>
              </w:rPr>
            </w:pPr>
            <w:r>
              <w:rPr>
                <w:rFonts w:ascii="Arial" w:cs="Arial" w:eastAsia="Arial" w:hAnsi="Arial"/>
                <w:sz w:val="13"/>
                <w:szCs w:val="13"/>
                <w:color w:val="auto"/>
              </w:rPr>
              <w:t>Interest expense</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(66)</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27"/>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before income tax expense</w:t>
            </w:r>
          </w:p>
        </w:tc>
        <w:tc>
          <w:tcPr>
            <w:tcW w:w="32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37,744</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17,452</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60" w:type="dxa"/>
            <w:vAlign w:val="bottom"/>
            <w:gridSpan w:val="2"/>
          </w:tcPr>
          <w:p>
            <w:pPr>
              <w:ind w:left="120"/>
              <w:spacing w:after="0"/>
              <w:rPr>
                <w:sz w:val="20"/>
                <w:szCs w:val="20"/>
                <w:color w:val="auto"/>
              </w:rPr>
            </w:pPr>
            <w:r>
              <w:rPr>
                <w:rFonts w:ascii="Arial" w:cs="Arial" w:eastAsia="Arial" w:hAnsi="Arial"/>
                <w:sz w:val="13"/>
                <w:szCs w:val="13"/>
                <w:color w:val="auto"/>
              </w:rPr>
              <w:t>Income tax (expense) benefit</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(13,988)</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27"/>
              <w:spacing w:after="0"/>
              <w:rPr>
                <w:sz w:val="20"/>
                <w:szCs w:val="20"/>
                <w:color w:val="auto"/>
              </w:rPr>
            </w:pPr>
            <w:r>
              <w:rPr>
                <w:rFonts w:ascii="Arial" w:cs="Arial" w:eastAsia="Arial" w:hAnsi="Arial"/>
                <w:sz w:val="13"/>
                <w:szCs w:val="13"/>
                <w:color w:val="auto"/>
              </w:rPr>
              <w:t>(7,310)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3,829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32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23,756</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10,142</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12,429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60" w:type="dxa"/>
            <w:vAlign w:val="bottom"/>
            <w:gridSpan w:val="2"/>
          </w:tcPr>
          <w:p>
            <w:pPr>
              <w:ind w:left="120"/>
              <w:spacing w:after="0"/>
              <w:rPr>
                <w:sz w:val="20"/>
                <w:szCs w:val="20"/>
                <w:color w:val="auto"/>
              </w:rPr>
            </w:pPr>
            <w:r>
              <w:rPr>
                <w:rFonts w:ascii="Arial" w:cs="Arial" w:eastAsia="Arial" w:hAnsi="Arial"/>
                <w:sz w:val="13"/>
                <w:szCs w:val="13"/>
                <w:color w:val="auto"/>
              </w:rPr>
              <w:t>Preferred stock accretion</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attributable to common stockholders</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23,756</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10,142</w:t>
            </w:r>
          </w:p>
        </w:tc>
        <w:tc>
          <w:tcPr>
            <w:tcW w:w="3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12,395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80" w:type="dxa"/>
            <w:vAlign w:val="bottom"/>
            <w:gridSpan w:val="3"/>
          </w:tcPr>
          <w:p>
            <w:pPr>
              <w:spacing w:after="0"/>
              <w:rPr>
                <w:sz w:val="20"/>
                <w:szCs w:val="20"/>
                <w:color w:val="auto"/>
              </w:rPr>
            </w:pPr>
            <w:r>
              <w:rPr>
                <w:rFonts w:ascii="Arial" w:cs="Arial" w:eastAsia="Arial" w:hAnsi="Arial"/>
                <w:sz w:val="13"/>
                <w:szCs w:val="13"/>
                <w:color w:val="auto"/>
              </w:rPr>
              <w:t>Net income attributable to common stockholders per Common share:</w:t>
            </w:r>
          </w:p>
        </w:tc>
        <w:tc>
          <w:tcPr>
            <w:tcW w:w="3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0.74</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0.37</w:t>
            </w:r>
          </w:p>
        </w:tc>
        <w:tc>
          <w:tcPr>
            <w:tcW w:w="3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860" w:type="dxa"/>
            <w:vAlign w:val="bottom"/>
            <w:gridSpan w:val="2"/>
            <w:vMerge w:val="restart"/>
          </w:tcPr>
          <w:p>
            <w:pPr>
              <w:ind w:left="120"/>
              <w:spacing w:after="0"/>
              <w:rPr>
                <w:sz w:val="20"/>
                <w:szCs w:val="20"/>
                <w:color w:val="auto"/>
              </w:rPr>
            </w:pPr>
            <w:r>
              <w:rPr>
                <w:rFonts w:ascii="Arial" w:cs="Arial" w:eastAsia="Arial" w:hAnsi="Arial"/>
                <w:sz w:val="13"/>
                <w:szCs w:val="13"/>
                <w:color w:val="auto"/>
              </w:rPr>
              <w:t>Diluted</w:t>
            </w: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68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0.71</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0.35</w:t>
            </w:r>
          </w:p>
        </w:tc>
        <w:tc>
          <w:tcPr>
            <w:tcW w:w="320" w:type="dxa"/>
            <w:vAlign w:val="bottom"/>
          </w:tcPr>
          <w:p>
            <w:pPr>
              <w:spacing w:after="0"/>
              <w:rPr>
                <w:sz w:val="15"/>
                <w:szCs w:val="15"/>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0.50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Weighted-average common shares outstanding:</w:t>
            </w:r>
          </w:p>
        </w:tc>
        <w:tc>
          <w:tcPr>
            <w:tcW w:w="3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60" w:type="dxa"/>
            <w:vAlign w:val="bottom"/>
            <w:gridSpan w:val="2"/>
          </w:tcPr>
          <w:p>
            <w:pPr>
              <w:ind w:left="120"/>
              <w:spacing w:after="0"/>
              <w:rPr>
                <w:sz w:val="20"/>
                <w:szCs w:val="20"/>
                <w:color w:val="auto"/>
              </w:rPr>
            </w:pPr>
            <w:r>
              <w:rPr>
                <w:rFonts w:ascii="Arial" w:cs="Arial" w:eastAsia="Arial" w:hAnsi="Arial"/>
                <w:sz w:val="13"/>
                <w:szCs w:val="13"/>
                <w:color w:val="auto"/>
              </w:rPr>
              <w:t>Basic</w:t>
            </w: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32,215</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27,248</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3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33,375</w:t>
            </w: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29,196</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24,921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5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680"/>
        <w:spacing w:after="0"/>
        <w:tabs>
          <w:tab w:leader="none" w:pos="880" w:val="left"/>
        </w:tabs>
        <w:rPr>
          <w:sz w:val="20"/>
          <w:szCs w:val="20"/>
          <w:color w:val="auto"/>
        </w:rPr>
      </w:pPr>
      <w:r>
        <w:rPr>
          <w:rFonts w:ascii="Arial" w:cs="Arial" w:eastAsia="Arial" w:hAnsi="Arial"/>
          <w:sz w:val="13"/>
          <w:szCs w:val="13"/>
          <w:color w:val="auto"/>
        </w:rPr>
        <w:t>*</w:t>
        <w:tab/>
        <w:t>Cost of services excludes depreciation which is shown separately.</w:t>
      </w:r>
    </w:p>
    <w:p>
      <w:pPr>
        <w:spacing w:after="0" w:line="58"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See accompanying notes.</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STATEMENTS OF STOCKHOLDERS’ EQUITY (DEFICIENCY)</w:t>
      </w:r>
    </w:p>
    <w:p>
      <w:pPr>
        <w:spacing w:after="0" w:line="187"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87"/>
              </w:rPr>
              <w:t>Accumulated</w:t>
            </w:r>
          </w:p>
        </w:tc>
        <w:tc>
          <w:tcPr>
            <w:tcW w:w="80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w w:val="88"/>
              </w:rPr>
              <w:t>Retained</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720" w:type="dxa"/>
            <w:vAlign w:val="bottom"/>
            <w:gridSpan w:val="3"/>
            <w:vMerge w:val="restart"/>
          </w:tcPr>
          <w:p>
            <w:pPr>
              <w:ind w:left="160"/>
              <w:spacing w:after="0"/>
              <w:rPr>
                <w:sz w:val="20"/>
                <w:szCs w:val="20"/>
                <w:color w:val="auto"/>
              </w:rPr>
            </w:pPr>
            <w:r>
              <w:rPr>
                <w:rFonts w:ascii="Arial" w:cs="Arial" w:eastAsia="Arial" w:hAnsi="Arial"/>
                <w:sz w:val="8"/>
                <w:szCs w:val="8"/>
                <w:b w:val="1"/>
                <w:bCs w:val="1"/>
                <w:color w:val="auto"/>
                <w:w w:val="91"/>
              </w:rPr>
              <w:t>Common Stock</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6"/>
            <w:vMerge w:val="restart"/>
          </w:tcPr>
          <w:p>
            <w:pPr>
              <w:jc w:val="right"/>
              <w:ind w:right="180"/>
              <w:spacing w:after="0"/>
              <w:rPr>
                <w:sz w:val="20"/>
                <w:szCs w:val="20"/>
                <w:color w:val="auto"/>
              </w:rPr>
            </w:pPr>
            <w:r>
              <w:rPr>
                <w:rFonts w:ascii="Arial" w:cs="Arial" w:eastAsia="Arial" w:hAnsi="Arial"/>
                <w:sz w:val="8"/>
                <w:szCs w:val="8"/>
                <w:b w:val="1"/>
                <w:bCs w:val="1"/>
                <w:color w:val="auto"/>
              </w:rPr>
              <w:t>Treasury Stock</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8"/>
                <w:szCs w:val="8"/>
                <w:b w:val="1"/>
                <w:bCs w:val="1"/>
                <w:color w:val="auto"/>
                <w:w w:val="86"/>
              </w:rPr>
              <w:t>Additional</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8"/>
                <w:szCs w:val="8"/>
                <w:b w:val="1"/>
                <w:bCs w:val="1"/>
                <w:color w:val="auto"/>
                <w:w w:val="85"/>
              </w:rPr>
              <w:t>Subscription</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1"/>
              </w:rPr>
              <w:t>Deferred</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93"/>
              </w:rPr>
              <w:t>Other</w:t>
            </w:r>
          </w:p>
        </w:tc>
        <w:tc>
          <w:tcPr>
            <w:tcW w:w="80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w w:val="87"/>
              </w:rPr>
              <w:t>Earnings</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8"/>
                <w:szCs w:val="8"/>
                <w:b w:val="1"/>
                <w:bCs w:val="1"/>
                <w:color w:val="auto"/>
                <w:w w:val="86"/>
              </w:rPr>
              <w:t>Stockholders’</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tcPr>
          <w:p>
            <w:pPr>
              <w:jc w:val="right"/>
              <w:ind w:right="220"/>
              <w:spacing w:after="0" w:line="89" w:lineRule="exact"/>
              <w:rPr>
                <w:sz w:val="20"/>
                <w:szCs w:val="20"/>
                <w:color w:val="auto"/>
              </w:rPr>
            </w:pPr>
            <w:r>
              <w:rPr>
                <w:rFonts w:ascii="Arial" w:cs="Arial" w:eastAsia="Arial" w:hAnsi="Arial"/>
                <w:sz w:val="8"/>
                <w:szCs w:val="8"/>
                <w:b w:val="1"/>
                <w:bCs w:val="1"/>
                <w:color w:val="auto"/>
              </w:rPr>
              <w:t>Paid-In</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tcPr>
          <w:p>
            <w:pPr>
              <w:jc w:val="center"/>
              <w:ind w:right="140"/>
              <w:spacing w:after="0" w:line="89" w:lineRule="exact"/>
              <w:rPr>
                <w:sz w:val="20"/>
                <w:szCs w:val="20"/>
                <w:color w:val="auto"/>
              </w:rPr>
            </w:pPr>
            <w:r>
              <w:rPr>
                <w:rFonts w:ascii="Arial" w:cs="Arial" w:eastAsia="Arial" w:hAnsi="Arial"/>
                <w:sz w:val="8"/>
                <w:szCs w:val="8"/>
                <w:b w:val="1"/>
                <w:bCs w:val="1"/>
                <w:color w:val="auto"/>
                <w:w w:val="89"/>
              </w:rPr>
              <w:t>Notes from</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6"/>
              </w:rPr>
              <w:t>Stock-Based</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86"/>
              </w:rPr>
              <w:t>Comprehensive</w:t>
            </w:r>
          </w:p>
        </w:tc>
        <w:tc>
          <w:tcPr>
            <w:tcW w:w="800" w:type="dxa"/>
            <w:vAlign w:val="bottom"/>
            <w:gridSpan w:val="2"/>
          </w:tcPr>
          <w:p>
            <w:pPr>
              <w:jc w:val="center"/>
              <w:ind w:right="100"/>
              <w:spacing w:after="0" w:line="89" w:lineRule="exact"/>
              <w:rPr>
                <w:sz w:val="20"/>
                <w:szCs w:val="20"/>
                <w:color w:val="auto"/>
              </w:rPr>
            </w:pPr>
            <w:r>
              <w:rPr>
                <w:rFonts w:ascii="Arial" w:cs="Arial" w:eastAsia="Arial" w:hAnsi="Arial"/>
                <w:sz w:val="8"/>
                <w:szCs w:val="8"/>
                <w:b w:val="1"/>
                <w:bCs w:val="1"/>
                <w:color w:val="auto"/>
                <w:w w:val="86"/>
              </w:rPr>
              <w:t>(Accumulated</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gridSpan w:val="2"/>
          </w:tcPr>
          <w:p>
            <w:pPr>
              <w:jc w:val="center"/>
              <w:ind w:right="140"/>
              <w:spacing w:after="0" w:line="89" w:lineRule="exact"/>
              <w:rPr>
                <w:sz w:val="20"/>
                <w:szCs w:val="20"/>
                <w:color w:val="auto"/>
              </w:rPr>
            </w:pPr>
            <w:r>
              <w:rPr>
                <w:rFonts w:ascii="Arial" w:cs="Arial" w:eastAsia="Arial" w:hAnsi="Arial"/>
                <w:sz w:val="8"/>
                <w:szCs w:val="8"/>
                <w:b w:val="1"/>
                <w:bCs w:val="1"/>
                <w:color w:val="auto"/>
                <w:w w:val="89"/>
              </w:rPr>
              <w:t>Equity</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360" w:type="dxa"/>
            <w:vAlign w:val="bottom"/>
            <w:tcBorders>
              <w:top w:val="single" w:sz="8" w:color="auto"/>
              <w:bottom w:val="single" w:sz="8" w:color="auto"/>
            </w:tcBorders>
          </w:tcPr>
          <w:p>
            <w:pPr>
              <w:jc w:val="right"/>
              <w:ind w:right="14"/>
              <w:spacing w:after="0" w:line="79" w:lineRule="exact"/>
              <w:rPr>
                <w:sz w:val="20"/>
                <w:szCs w:val="20"/>
                <w:color w:val="auto"/>
              </w:rPr>
            </w:pPr>
            <w:r>
              <w:rPr>
                <w:rFonts w:ascii="Arial" w:cs="Arial" w:eastAsia="Arial" w:hAnsi="Arial"/>
                <w:sz w:val="8"/>
                <w:szCs w:val="8"/>
                <w:b w:val="1"/>
                <w:bCs w:val="1"/>
                <w:color w:val="auto"/>
              </w:rPr>
              <w:t>Shares</w:t>
            </w:r>
          </w:p>
        </w:tc>
        <w:tc>
          <w:tcPr>
            <w:tcW w:w="200" w:type="dxa"/>
            <w:vAlign w:val="bottom"/>
            <w:tcBorders>
              <w:top w:val="single" w:sz="8" w:color="auto"/>
            </w:tcBorders>
          </w:tcPr>
          <w:p>
            <w:pPr>
              <w:spacing w:after="0"/>
              <w:rPr>
                <w:sz w:val="6"/>
                <w:szCs w:val="6"/>
                <w:color w:val="auto"/>
              </w:rPr>
            </w:pPr>
          </w:p>
        </w:tc>
        <w:tc>
          <w:tcPr>
            <w:tcW w:w="300" w:type="dxa"/>
            <w:vAlign w:val="bottom"/>
            <w:tcBorders>
              <w:top w:val="single" w:sz="8" w:color="auto"/>
              <w:bottom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w w:val="92"/>
              </w:rPr>
              <w:t>Amount</w:t>
            </w:r>
          </w:p>
        </w:tc>
        <w:tc>
          <w:tcPr>
            <w:tcW w:w="200" w:type="dxa"/>
            <w:vAlign w:val="bottom"/>
          </w:tcPr>
          <w:p>
            <w:pPr>
              <w:spacing w:after="0"/>
              <w:rPr>
                <w:sz w:val="6"/>
                <w:szCs w:val="6"/>
                <w:color w:val="auto"/>
              </w:rPr>
            </w:pPr>
          </w:p>
        </w:tc>
        <w:tc>
          <w:tcPr>
            <w:tcW w:w="240" w:type="dxa"/>
            <w:vAlign w:val="bottom"/>
            <w:tcBorders>
              <w:top w:val="single" w:sz="8" w:color="auto"/>
              <w:bottom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w w:val="74"/>
              </w:rPr>
              <w:t>Shares</w:t>
            </w:r>
          </w:p>
        </w:tc>
        <w:tc>
          <w:tcPr>
            <w:tcW w:w="1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00" w:type="dxa"/>
            <w:vAlign w:val="bottom"/>
            <w:tcBorders>
              <w:top w:val="single" w:sz="8" w:color="auto"/>
              <w:bottom w:val="single" w:sz="8" w:color="auto"/>
            </w:tcBorders>
            <w:gridSpan w:val="2"/>
          </w:tcPr>
          <w:p>
            <w:pPr>
              <w:ind w:left="20"/>
              <w:spacing w:after="0" w:line="79" w:lineRule="exact"/>
              <w:rPr>
                <w:sz w:val="20"/>
                <w:szCs w:val="20"/>
                <w:color w:val="auto"/>
              </w:rPr>
            </w:pPr>
            <w:r>
              <w:rPr>
                <w:rFonts w:ascii="Arial" w:cs="Arial" w:eastAsia="Arial" w:hAnsi="Arial"/>
                <w:sz w:val="8"/>
                <w:szCs w:val="8"/>
                <w:b w:val="1"/>
                <w:bCs w:val="1"/>
                <w:color w:val="auto"/>
                <w:w w:val="85"/>
              </w:rPr>
              <w:t>Amount</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jc w:val="right"/>
              <w:ind w:right="74"/>
              <w:spacing w:after="0" w:line="79" w:lineRule="exact"/>
              <w:rPr>
                <w:sz w:val="20"/>
                <w:szCs w:val="20"/>
                <w:color w:val="auto"/>
              </w:rPr>
            </w:pPr>
            <w:r>
              <w:rPr>
                <w:rFonts w:ascii="Arial" w:cs="Arial" w:eastAsia="Arial" w:hAnsi="Arial"/>
                <w:sz w:val="8"/>
                <w:szCs w:val="8"/>
                <w:b w:val="1"/>
                <w:bCs w:val="1"/>
                <w:color w:val="auto"/>
              </w:rPr>
              <w:t>Capital</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jc w:val="center"/>
              <w:ind w:right="35"/>
              <w:spacing w:after="0" w:line="79" w:lineRule="exact"/>
              <w:rPr>
                <w:sz w:val="20"/>
                <w:szCs w:val="20"/>
                <w:color w:val="auto"/>
              </w:rPr>
            </w:pPr>
            <w:r>
              <w:rPr>
                <w:rFonts w:ascii="Arial" w:cs="Arial" w:eastAsia="Arial" w:hAnsi="Arial"/>
                <w:sz w:val="8"/>
                <w:szCs w:val="8"/>
                <w:b w:val="1"/>
                <w:bCs w:val="1"/>
                <w:color w:val="auto"/>
                <w:w w:val="86"/>
              </w:rPr>
              <w:t>Stockholders</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center"/>
              <w:ind w:right="34"/>
              <w:spacing w:after="0" w:line="79" w:lineRule="exact"/>
              <w:rPr>
                <w:sz w:val="20"/>
                <w:szCs w:val="20"/>
                <w:color w:val="auto"/>
              </w:rPr>
            </w:pPr>
            <w:r>
              <w:rPr>
                <w:rFonts w:ascii="Arial" w:cs="Arial" w:eastAsia="Arial" w:hAnsi="Arial"/>
                <w:sz w:val="8"/>
                <w:szCs w:val="8"/>
                <w:b w:val="1"/>
                <w:bCs w:val="1"/>
                <w:color w:val="auto"/>
                <w:w w:val="89"/>
              </w:rPr>
              <w:t>Compensation</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center"/>
              <w:ind w:right="15"/>
              <w:spacing w:after="0" w:line="79" w:lineRule="exact"/>
              <w:rPr>
                <w:sz w:val="20"/>
                <w:szCs w:val="20"/>
                <w:color w:val="auto"/>
              </w:rPr>
            </w:pPr>
            <w:r>
              <w:rPr>
                <w:rFonts w:ascii="Arial" w:cs="Arial" w:eastAsia="Arial" w:hAnsi="Arial"/>
                <w:sz w:val="8"/>
                <w:szCs w:val="8"/>
                <w:b w:val="1"/>
                <w:bCs w:val="1"/>
                <w:color w:val="auto"/>
                <w:w w:val="88"/>
              </w:rPr>
              <w:t>Income (Loss)</w:t>
            </w:r>
          </w:p>
        </w:tc>
        <w:tc>
          <w:tcPr>
            <w:tcW w:w="200" w:type="dxa"/>
            <w:vAlign w:val="bottom"/>
          </w:tcPr>
          <w:p>
            <w:pPr>
              <w:spacing w:after="0"/>
              <w:rPr>
                <w:sz w:val="6"/>
                <w:szCs w:val="6"/>
                <w:color w:val="auto"/>
              </w:rPr>
            </w:pPr>
          </w:p>
        </w:tc>
        <w:tc>
          <w:tcPr>
            <w:tcW w:w="700" w:type="dxa"/>
            <w:vAlign w:val="bottom"/>
            <w:tcBorders>
              <w:bottom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5"/>
              </w:rPr>
              <w:t>Deficit)</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2"/>
              </w:rPr>
              <w:t>(Deficiency)</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jc w:val="right"/>
              <w:spacing w:after="0" w:line="91" w:lineRule="exact"/>
              <w:rPr>
                <w:sz w:val="20"/>
                <w:szCs w:val="20"/>
                <w:color w:val="auto"/>
              </w:rPr>
            </w:pPr>
            <w:r>
              <w:rPr>
                <w:rFonts w:ascii="Arial" w:cs="Arial" w:eastAsia="Arial" w:hAnsi="Arial"/>
                <w:sz w:val="8"/>
                <w:szCs w:val="8"/>
                <w:b w:val="1"/>
                <w:bCs w:val="1"/>
                <w:color w:val="auto"/>
              </w:rPr>
              <w:t>(In</w:t>
            </w:r>
          </w:p>
        </w:tc>
        <w:tc>
          <w:tcPr>
            <w:tcW w:w="900" w:type="dxa"/>
            <w:vAlign w:val="bottom"/>
            <w:gridSpan w:val="4"/>
          </w:tcPr>
          <w:p>
            <w:pPr>
              <w:jc w:val="right"/>
              <w:ind w:right="514"/>
              <w:spacing w:after="0" w:line="91" w:lineRule="exact"/>
              <w:rPr>
                <w:sz w:val="20"/>
                <w:szCs w:val="20"/>
                <w:color w:val="auto"/>
              </w:rPr>
            </w:pPr>
            <w:r>
              <w:rPr>
                <w:rFonts w:ascii="Arial" w:cs="Arial" w:eastAsia="Arial" w:hAnsi="Arial"/>
                <w:sz w:val="8"/>
                <w:szCs w:val="8"/>
                <w:b w:val="1"/>
                <w:bCs w:val="1"/>
                <w:color w:val="auto"/>
                <w:w w:val="74"/>
              </w:rPr>
              <w:t>thousands)</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vMerge w:val="continue"/>
          </w:tcPr>
          <w:p>
            <w:pPr>
              <w:spacing w:after="0"/>
              <w:rPr>
                <w:sz w:val="8"/>
                <w:szCs w:val="8"/>
                <w:color w:val="auto"/>
              </w:rPr>
            </w:pPr>
          </w:p>
        </w:tc>
        <w:tc>
          <w:tcPr>
            <w:tcW w:w="3140" w:type="dxa"/>
            <w:vAlign w:val="bottom"/>
            <w:shd w:val="clear" w:color="auto" w:fill="CCEEFF"/>
          </w:tcPr>
          <w:p>
            <w:pPr>
              <w:jc w:val="right"/>
              <w:ind w:right="2054"/>
              <w:spacing w:after="0" w:line="99" w:lineRule="exact"/>
              <w:rPr>
                <w:sz w:val="20"/>
                <w:szCs w:val="20"/>
                <w:color w:val="auto"/>
              </w:rPr>
            </w:pPr>
            <w:r>
              <w:rPr>
                <w:rFonts w:ascii="Arial" w:cs="Arial" w:eastAsia="Arial" w:hAnsi="Arial"/>
                <w:sz w:val="9"/>
                <w:szCs w:val="9"/>
                <w:color w:val="auto"/>
                <w:w w:val="89"/>
              </w:rPr>
              <w:t>Balance December 31, 2004</w:t>
            </w: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10,503</w:t>
            </w: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w:t>
            </w:r>
          </w:p>
        </w:tc>
        <w:tc>
          <w:tcPr>
            <w:tcW w:w="540" w:type="dxa"/>
            <w:vAlign w:val="bottom"/>
            <w:gridSpan w:val="3"/>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(96)</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(19)</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869</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(536)</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(111)</w:t>
            </w:r>
          </w:p>
        </w:tc>
        <w:tc>
          <w:tcPr>
            <w:tcW w:w="8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(18,120)</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(17,916)</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tcPr>
          <w:p>
            <w:pPr>
              <w:ind w:left="80"/>
              <w:spacing w:after="0" w:line="99" w:lineRule="exact"/>
              <w:rPr>
                <w:sz w:val="20"/>
                <w:szCs w:val="20"/>
                <w:color w:val="auto"/>
              </w:rPr>
            </w:pPr>
            <w:r>
              <w:rPr>
                <w:rFonts w:ascii="Arial" w:cs="Arial" w:eastAsia="Arial" w:hAnsi="Arial"/>
                <w:sz w:val="9"/>
                <w:szCs w:val="9"/>
                <w:color w:val="auto"/>
              </w:rPr>
              <w:t>Interest on notes</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(9)</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(9)</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shd w:val="clear" w:color="auto" w:fill="CCEEFF"/>
          </w:tcPr>
          <w:p>
            <w:pPr>
              <w:ind w:left="80"/>
              <w:spacing w:after="0" w:line="99" w:lineRule="exact"/>
              <w:rPr>
                <w:sz w:val="20"/>
                <w:szCs w:val="20"/>
                <w:color w:val="auto"/>
              </w:rPr>
            </w:pPr>
            <w:r>
              <w:rPr>
                <w:rFonts w:ascii="Arial" w:cs="Arial" w:eastAsia="Arial" w:hAnsi="Arial"/>
                <w:sz w:val="9"/>
                <w:szCs w:val="9"/>
                <w:color w:val="auto"/>
              </w:rPr>
              <w:t>Deferred stock-based compensation</w:t>
            </w: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847</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(847)</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tcPr>
          <w:p>
            <w:pPr>
              <w:ind w:left="80"/>
              <w:spacing w:after="0" w:line="99" w:lineRule="exact"/>
              <w:rPr>
                <w:sz w:val="20"/>
                <w:szCs w:val="20"/>
                <w:color w:val="auto"/>
              </w:rPr>
            </w:pPr>
            <w:r>
              <w:rPr>
                <w:rFonts w:ascii="Arial" w:cs="Arial" w:eastAsia="Arial" w:hAnsi="Arial"/>
                <w:sz w:val="9"/>
                <w:szCs w:val="9"/>
                <w:color w:val="auto"/>
              </w:rPr>
              <w:t>Amortization of deferred compensation</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Arial" w:cs="Arial" w:eastAsia="Arial" w:hAnsi="Arial"/>
                <w:sz w:val="9"/>
                <w:szCs w:val="9"/>
                <w:color w:val="auto"/>
              </w:rPr>
              <w:t>120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120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shd w:val="clear" w:color="auto" w:fill="CCEEFF"/>
          </w:tcPr>
          <w:p>
            <w:pPr>
              <w:ind w:left="80"/>
              <w:spacing w:after="0" w:line="99" w:lineRule="exact"/>
              <w:rPr>
                <w:sz w:val="20"/>
                <w:szCs w:val="20"/>
                <w:color w:val="auto"/>
              </w:rPr>
            </w:pPr>
            <w:r>
              <w:rPr>
                <w:rFonts w:ascii="Arial" w:cs="Arial" w:eastAsia="Arial" w:hAnsi="Arial"/>
                <w:sz w:val="9"/>
                <w:szCs w:val="9"/>
                <w:color w:val="auto"/>
              </w:rPr>
              <w:t>Reversal of deferred compensation due to employee termination</w:t>
            </w: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(25)</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25</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tcPr>
          <w:p>
            <w:pPr>
              <w:ind w:left="80"/>
              <w:spacing w:after="0" w:line="99" w:lineRule="exact"/>
              <w:rPr>
                <w:sz w:val="20"/>
                <w:szCs w:val="20"/>
                <w:color w:val="auto"/>
              </w:rPr>
            </w:pPr>
            <w:r>
              <w:rPr>
                <w:rFonts w:ascii="Arial" w:cs="Arial" w:eastAsia="Arial" w:hAnsi="Arial"/>
                <w:sz w:val="9"/>
                <w:szCs w:val="9"/>
                <w:color w:val="auto"/>
              </w:rPr>
              <w:t>Accretion of Series A redeemable convertible preferred stock</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(34)</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(34)</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shd w:val="clear" w:color="auto" w:fill="CCEEFF"/>
          </w:tcPr>
          <w:p>
            <w:pPr>
              <w:ind w:left="80"/>
              <w:spacing w:after="0" w:line="99" w:lineRule="exact"/>
              <w:rPr>
                <w:sz w:val="20"/>
                <w:szCs w:val="20"/>
                <w:color w:val="auto"/>
              </w:rPr>
            </w:pPr>
            <w:r>
              <w:rPr>
                <w:rFonts w:ascii="Arial" w:cs="Arial" w:eastAsia="Arial" w:hAnsi="Arial"/>
                <w:sz w:val="9"/>
                <w:szCs w:val="9"/>
                <w:color w:val="auto"/>
              </w:rPr>
              <w:t>Employee’s repayment of notes and interest</w:t>
            </w: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545</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545</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tcPr>
          <w:p>
            <w:pPr>
              <w:ind w:left="80"/>
              <w:spacing w:after="0" w:line="99" w:lineRule="exact"/>
              <w:rPr>
                <w:sz w:val="20"/>
                <w:szCs w:val="20"/>
                <w:color w:val="auto"/>
              </w:rPr>
            </w:pPr>
            <w:r>
              <w:rPr>
                <w:rFonts w:ascii="Arial" w:cs="Arial" w:eastAsia="Arial" w:hAnsi="Arial"/>
                <w:sz w:val="9"/>
                <w:szCs w:val="9"/>
                <w:color w:val="auto"/>
              </w:rPr>
              <w:t>Issuance of common stock on exercise of employee options</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15</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9" w:lineRule="exact"/>
              <w:rPr>
                <w:sz w:val="20"/>
                <w:szCs w:val="20"/>
                <w:color w:val="auto"/>
              </w:rPr>
            </w:pPr>
            <w:r>
              <w:rPr>
                <w:rFonts w:ascii="Arial" w:cs="Arial" w:eastAsia="Arial" w:hAnsi="Arial"/>
                <w:sz w:val="9"/>
                <w:szCs w:val="9"/>
                <w:color w:val="auto"/>
              </w:rPr>
              <w:t>4</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shd w:val="clear" w:color="auto" w:fill="CCEEFF"/>
          </w:tcPr>
          <w:p>
            <w:pPr>
              <w:ind w:left="80"/>
              <w:spacing w:after="0" w:line="99" w:lineRule="exact"/>
              <w:rPr>
                <w:sz w:val="20"/>
                <w:szCs w:val="20"/>
                <w:color w:val="auto"/>
              </w:rPr>
            </w:pPr>
            <w:r>
              <w:rPr>
                <w:rFonts w:ascii="Arial" w:cs="Arial" w:eastAsia="Arial" w:hAnsi="Arial"/>
                <w:sz w:val="9"/>
                <w:szCs w:val="9"/>
                <w:color w:val="auto"/>
              </w:rPr>
              <w:t>Comprehensive income:</w:t>
            </w:r>
          </w:p>
        </w:tc>
        <w:tc>
          <w:tcPr>
            <w:tcW w:w="3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tcPr>
          <w:p>
            <w:pPr>
              <w:ind w:left="80"/>
              <w:spacing w:after="0" w:line="99" w:lineRule="exact"/>
              <w:rPr>
                <w:sz w:val="20"/>
                <w:szCs w:val="20"/>
                <w:color w:val="auto"/>
              </w:rPr>
            </w:pPr>
            <w:r>
              <w:rPr>
                <w:rFonts w:ascii="Arial" w:cs="Arial" w:eastAsia="Arial" w:hAnsi="Arial"/>
                <w:sz w:val="9"/>
                <w:szCs w:val="9"/>
                <w:color w:val="auto"/>
              </w:rPr>
              <w:t>Net income</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700" w:type="dxa"/>
            <w:vAlign w:val="bottom"/>
          </w:tcPr>
          <w:p>
            <w:pPr>
              <w:jc w:val="right"/>
              <w:spacing w:after="0" w:line="99" w:lineRule="exact"/>
              <w:rPr>
                <w:sz w:val="20"/>
                <w:szCs w:val="20"/>
                <w:color w:val="auto"/>
              </w:rPr>
            </w:pPr>
            <w:r>
              <w:rPr>
                <w:rFonts w:ascii="Arial" w:cs="Arial" w:eastAsia="Arial" w:hAnsi="Arial"/>
                <w:sz w:val="9"/>
                <w:szCs w:val="9"/>
                <w:color w:val="auto"/>
              </w:rPr>
              <w:t>12,429</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12,429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shd w:val="clear" w:color="auto" w:fill="CCEEFF"/>
          </w:tcPr>
          <w:p>
            <w:pPr>
              <w:ind w:left="80"/>
              <w:spacing w:after="0" w:line="99" w:lineRule="exact"/>
              <w:rPr>
                <w:sz w:val="20"/>
                <w:szCs w:val="20"/>
                <w:color w:val="auto"/>
              </w:rPr>
            </w:pPr>
            <w:r>
              <w:rPr>
                <w:rFonts w:ascii="Arial" w:cs="Arial" w:eastAsia="Arial" w:hAnsi="Arial"/>
                <w:sz w:val="9"/>
                <w:szCs w:val="9"/>
                <w:color w:val="auto"/>
              </w:rPr>
              <w:t>Unrealized loss on investments in marketable securities</w:t>
            </w: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(3)</w:t>
            </w:r>
          </w:p>
        </w:tc>
        <w:tc>
          <w:tcPr>
            <w:tcW w:w="80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tcPr>
          <w:p>
            <w:pPr>
              <w:ind w:left="80"/>
              <w:spacing w:after="0" w:line="99" w:lineRule="exact"/>
              <w:rPr>
                <w:sz w:val="20"/>
                <w:szCs w:val="20"/>
                <w:color w:val="auto"/>
              </w:rPr>
            </w:pPr>
            <w:r>
              <w:rPr>
                <w:rFonts w:ascii="Arial" w:cs="Arial" w:eastAsia="Arial" w:hAnsi="Arial"/>
                <w:sz w:val="9"/>
                <w:szCs w:val="9"/>
                <w:color w:val="auto"/>
              </w:rPr>
              <w:t>Net total comprehensive income</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right"/>
              <w:spacing w:after="0" w:line="99" w:lineRule="exact"/>
              <w:rPr>
                <w:sz w:val="20"/>
                <w:szCs w:val="20"/>
                <w:color w:val="auto"/>
              </w:rPr>
            </w:pPr>
            <w:r>
              <w:rPr>
                <w:rFonts w:ascii="Arial" w:cs="Arial" w:eastAsia="Arial" w:hAnsi="Arial"/>
                <w:sz w:val="9"/>
                <w:szCs w:val="9"/>
                <w:color w:val="auto"/>
              </w:rPr>
              <w:t>12,426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vMerge w:val="continue"/>
          </w:tcPr>
          <w:p>
            <w:pPr>
              <w:spacing w:after="0"/>
              <w:rPr>
                <w:sz w:val="8"/>
                <w:szCs w:val="8"/>
                <w:color w:val="auto"/>
              </w:rPr>
            </w:pPr>
          </w:p>
        </w:tc>
        <w:tc>
          <w:tcPr>
            <w:tcW w:w="3140" w:type="dxa"/>
            <w:vAlign w:val="bottom"/>
            <w:shd w:val="clear" w:color="auto" w:fill="CCEEFF"/>
          </w:tcPr>
          <w:p>
            <w:pPr>
              <w:jc w:val="right"/>
              <w:ind w:right="2054"/>
              <w:spacing w:after="0" w:line="99" w:lineRule="exact"/>
              <w:rPr>
                <w:sz w:val="20"/>
                <w:szCs w:val="20"/>
                <w:color w:val="auto"/>
              </w:rPr>
            </w:pPr>
            <w:r>
              <w:rPr>
                <w:rFonts w:ascii="Arial" w:cs="Arial" w:eastAsia="Arial" w:hAnsi="Arial"/>
                <w:sz w:val="9"/>
                <w:szCs w:val="9"/>
                <w:color w:val="auto"/>
                <w:w w:val="89"/>
              </w:rPr>
              <w:t>Balance December 31, 2005</w:t>
            </w: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10,518</w:t>
            </w: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w:t>
            </w: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(96)</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(19)</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1,661</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(702)</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(114)</w:t>
            </w:r>
          </w:p>
        </w:tc>
        <w:tc>
          <w:tcPr>
            <w:tcW w:w="8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(5,691)</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(4,864)</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tcPr>
          <w:p>
            <w:pPr>
              <w:ind w:left="80"/>
              <w:spacing w:after="0" w:line="99" w:lineRule="exact"/>
              <w:rPr>
                <w:sz w:val="20"/>
                <w:szCs w:val="20"/>
                <w:color w:val="auto"/>
              </w:rPr>
            </w:pPr>
            <w:r>
              <w:rPr>
                <w:rFonts w:ascii="Arial" w:cs="Arial" w:eastAsia="Arial" w:hAnsi="Arial"/>
                <w:sz w:val="9"/>
                <w:szCs w:val="9"/>
                <w:color w:val="auto"/>
              </w:rPr>
              <w:t>Stock-based compensation</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256</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9" w:lineRule="exact"/>
              <w:rPr>
                <w:sz w:val="20"/>
                <w:szCs w:val="20"/>
                <w:color w:val="auto"/>
              </w:rPr>
            </w:pPr>
            <w:r>
              <w:rPr>
                <w:rFonts w:ascii="Arial" w:cs="Arial" w:eastAsia="Arial" w:hAnsi="Arial"/>
                <w:sz w:val="9"/>
                <w:szCs w:val="9"/>
                <w:color w:val="auto"/>
              </w:rPr>
              <w:t>1,075</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1,075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shd w:val="clear" w:color="auto" w:fill="CCEEFF"/>
          </w:tcPr>
          <w:p>
            <w:pPr>
              <w:ind w:left="80"/>
              <w:spacing w:after="0" w:line="99" w:lineRule="exact"/>
              <w:rPr>
                <w:sz w:val="20"/>
                <w:szCs w:val="20"/>
                <w:color w:val="auto"/>
              </w:rPr>
            </w:pPr>
            <w:r>
              <w:rPr>
                <w:rFonts w:ascii="Arial" w:cs="Arial" w:eastAsia="Arial" w:hAnsi="Arial"/>
                <w:sz w:val="9"/>
                <w:szCs w:val="9"/>
                <w:color w:val="auto"/>
              </w:rPr>
              <w:t>Reversal of deferred compensation in accordance with SFAS 123(R)</w:t>
            </w: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(702)</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702</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tcPr>
          <w:p>
            <w:pPr>
              <w:ind w:left="80"/>
              <w:spacing w:after="0" w:line="99" w:lineRule="exact"/>
              <w:rPr>
                <w:sz w:val="20"/>
                <w:szCs w:val="20"/>
                <w:color w:val="auto"/>
              </w:rPr>
            </w:pPr>
            <w:r>
              <w:rPr>
                <w:rFonts w:ascii="Arial" w:cs="Arial" w:eastAsia="Arial" w:hAnsi="Arial"/>
                <w:sz w:val="9"/>
                <w:szCs w:val="9"/>
                <w:color w:val="auto"/>
              </w:rPr>
              <w:t>Conversion of Series A redeemable convertible preferred stock</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11,549</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jc w:val="right"/>
              <w:spacing w:after="0" w:line="99" w:lineRule="exact"/>
              <w:rPr>
                <w:sz w:val="20"/>
                <w:szCs w:val="20"/>
                <w:color w:val="auto"/>
              </w:rPr>
            </w:pPr>
            <w:r>
              <w:rPr>
                <w:rFonts w:ascii="Arial" w:cs="Arial" w:eastAsia="Arial" w:hAnsi="Arial"/>
                <w:sz w:val="9"/>
                <w:szCs w:val="9"/>
                <w:color w:val="auto"/>
              </w:rPr>
              <w:t>1</w:t>
            </w:r>
          </w:p>
        </w:tc>
        <w:tc>
          <w:tcPr>
            <w:tcW w:w="200" w:type="dxa"/>
            <w:vAlign w:val="bottom"/>
          </w:tcPr>
          <w:p>
            <w:pPr>
              <w:spacing w:after="0"/>
              <w:rPr>
                <w:sz w:val="8"/>
                <w:szCs w:val="8"/>
                <w:color w:val="auto"/>
              </w:rPr>
            </w:pPr>
          </w:p>
        </w:tc>
        <w:tc>
          <w:tcPr>
            <w:tcW w:w="3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9" w:lineRule="exact"/>
              <w:rPr>
                <w:sz w:val="20"/>
                <w:szCs w:val="20"/>
                <w:color w:val="auto"/>
              </w:rPr>
            </w:pPr>
            <w:r>
              <w:rPr>
                <w:rFonts w:ascii="Arial" w:cs="Arial" w:eastAsia="Arial" w:hAnsi="Arial"/>
                <w:sz w:val="9"/>
                <w:szCs w:val="9"/>
                <w:color w:val="auto"/>
              </w:rPr>
              <w:t>33,492</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33,493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shd w:val="clear" w:color="auto" w:fill="CCEEFF"/>
          </w:tcPr>
          <w:p>
            <w:pPr>
              <w:ind w:left="80"/>
              <w:spacing w:after="0" w:line="99" w:lineRule="exact"/>
              <w:rPr>
                <w:sz w:val="20"/>
                <w:szCs w:val="20"/>
                <w:color w:val="auto"/>
              </w:rPr>
            </w:pPr>
            <w:r>
              <w:rPr>
                <w:rFonts w:ascii="Arial" w:cs="Arial" w:eastAsia="Arial" w:hAnsi="Arial"/>
                <w:sz w:val="9"/>
                <w:szCs w:val="9"/>
                <w:color w:val="auto"/>
              </w:rPr>
              <w:t>Conversion of Series 1 convertible preferred stock</w:t>
            </w: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2,000</w:t>
            </w: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1,444</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1,444</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tcPr>
          <w:p>
            <w:pPr>
              <w:ind w:left="80"/>
              <w:spacing w:after="0" w:line="99" w:lineRule="exact"/>
              <w:rPr>
                <w:sz w:val="20"/>
                <w:szCs w:val="20"/>
                <w:color w:val="auto"/>
              </w:rPr>
            </w:pPr>
            <w:r>
              <w:rPr>
                <w:rFonts w:ascii="Arial" w:cs="Arial" w:eastAsia="Arial" w:hAnsi="Arial"/>
                <w:sz w:val="9"/>
                <w:szCs w:val="9"/>
                <w:color w:val="auto"/>
              </w:rPr>
              <w:t>Issuance of common stock</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111</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9" w:lineRule="exact"/>
              <w:rPr>
                <w:sz w:val="20"/>
                <w:szCs w:val="20"/>
                <w:color w:val="auto"/>
              </w:rPr>
            </w:pPr>
            <w:r>
              <w:rPr>
                <w:rFonts w:ascii="Arial" w:cs="Arial" w:eastAsia="Arial" w:hAnsi="Arial"/>
                <w:sz w:val="9"/>
                <w:szCs w:val="9"/>
                <w:color w:val="auto"/>
              </w:rPr>
              <w:t>1,000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1,000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140" w:type="dxa"/>
            <w:vAlign w:val="bottom"/>
            <w:shd w:val="clear" w:color="auto" w:fill="CCEEFF"/>
          </w:tcPr>
          <w:p>
            <w:pPr>
              <w:ind w:left="80"/>
              <w:spacing w:after="0" w:line="88" w:lineRule="exact"/>
              <w:rPr>
                <w:sz w:val="20"/>
                <w:szCs w:val="20"/>
                <w:color w:val="auto"/>
              </w:rPr>
            </w:pPr>
            <w:r>
              <w:rPr>
                <w:rFonts w:ascii="Arial" w:cs="Arial" w:eastAsia="Arial" w:hAnsi="Arial"/>
                <w:sz w:val="9"/>
                <w:szCs w:val="9"/>
                <w:color w:val="auto"/>
                <w:w w:val="98"/>
              </w:rPr>
              <w:t>Issuance of common stock from IPO and exercise of over- allotment exercise,</w:t>
            </w:r>
          </w:p>
        </w:tc>
        <w:tc>
          <w:tcPr>
            <w:tcW w:w="3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40" w:type="dxa"/>
            <w:vAlign w:val="bottom"/>
            <w:shd w:val="clear" w:color="auto" w:fill="CCEEFF"/>
          </w:tcPr>
          <w:p>
            <w:pPr>
              <w:ind w:left="180"/>
              <w:spacing w:after="0"/>
              <w:rPr>
                <w:sz w:val="20"/>
                <w:szCs w:val="20"/>
                <w:color w:val="auto"/>
              </w:rPr>
            </w:pPr>
            <w:r>
              <w:rPr>
                <w:rFonts w:ascii="Arial" w:cs="Arial" w:eastAsia="Arial" w:hAnsi="Arial"/>
                <w:sz w:val="9"/>
                <w:szCs w:val="9"/>
                <w:color w:val="auto"/>
              </w:rPr>
              <w:t>net of offering costs</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7,492</w:t>
            </w: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2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52,764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52,765</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tcPr>
          <w:p>
            <w:pPr>
              <w:ind w:left="80"/>
              <w:spacing w:after="0" w:line="99" w:lineRule="exact"/>
              <w:rPr>
                <w:sz w:val="20"/>
                <w:szCs w:val="20"/>
                <w:color w:val="auto"/>
              </w:rPr>
            </w:pPr>
            <w:r>
              <w:rPr>
                <w:rFonts w:ascii="Arial" w:cs="Arial" w:eastAsia="Arial" w:hAnsi="Arial"/>
                <w:sz w:val="9"/>
                <w:szCs w:val="9"/>
                <w:color w:val="auto"/>
              </w:rPr>
              <w:t>Issuance of common stock on exercise of options</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324</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9" w:lineRule="exact"/>
              <w:rPr>
                <w:sz w:val="20"/>
                <w:szCs w:val="20"/>
                <w:color w:val="auto"/>
              </w:rPr>
            </w:pPr>
            <w:r>
              <w:rPr>
                <w:rFonts w:ascii="Arial" w:cs="Arial" w:eastAsia="Arial" w:hAnsi="Arial"/>
                <w:sz w:val="9"/>
                <w:szCs w:val="9"/>
                <w:color w:val="auto"/>
              </w:rPr>
              <w:t>110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110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shd w:val="clear" w:color="auto" w:fill="CCEEFF"/>
          </w:tcPr>
          <w:p>
            <w:pPr>
              <w:ind w:left="80"/>
              <w:spacing w:after="0" w:line="99" w:lineRule="exact"/>
              <w:rPr>
                <w:sz w:val="20"/>
                <w:szCs w:val="20"/>
                <w:color w:val="auto"/>
              </w:rPr>
            </w:pPr>
            <w:r>
              <w:rPr>
                <w:rFonts w:ascii="Arial" w:cs="Arial" w:eastAsia="Arial" w:hAnsi="Arial"/>
                <w:sz w:val="9"/>
                <w:szCs w:val="9"/>
                <w:color w:val="auto"/>
              </w:rPr>
              <w:t>Comprehensive income:</w:t>
            </w:r>
          </w:p>
        </w:tc>
        <w:tc>
          <w:tcPr>
            <w:tcW w:w="3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tcPr>
          <w:p>
            <w:pPr>
              <w:ind w:left="80"/>
              <w:spacing w:after="0" w:line="99" w:lineRule="exact"/>
              <w:rPr>
                <w:sz w:val="20"/>
                <w:szCs w:val="20"/>
                <w:color w:val="auto"/>
              </w:rPr>
            </w:pPr>
            <w:r>
              <w:rPr>
                <w:rFonts w:ascii="Arial" w:cs="Arial" w:eastAsia="Arial" w:hAnsi="Arial"/>
                <w:sz w:val="9"/>
                <w:szCs w:val="9"/>
                <w:color w:val="auto"/>
              </w:rPr>
              <w:t>Net income</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700" w:type="dxa"/>
            <w:vAlign w:val="bottom"/>
          </w:tcPr>
          <w:p>
            <w:pPr>
              <w:jc w:val="right"/>
              <w:spacing w:after="0" w:line="99" w:lineRule="exact"/>
              <w:rPr>
                <w:sz w:val="20"/>
                <w:szCs w:val="20"/>
                <w:color w:val="auto"/>
              </w:rPr>
            </w:pPr>
            <w:r>
              <w:rPr>
                <w:rFonts w:ascii="Arial" w:cs="Arial" w:eastAsia="Arial" w:hAnsi="Arial"/>
                <w:sz w:val="9"/>
                <w:szCs w:val="9"/>
                <w:color w:val="auto"/>
              </w:rPr>
              <w:t>10,142</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10,142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shd w:val="clear" w:color="auto" w:fill="CCEEFF"/>
          </w:tcPr>
          <w:p>
            <w:pPr>
              <w:ind w:left="80"/>
              <w:spacing w:after="0" w:line="99" w:lineRule="exact"/>
              <w:rPr>
                <w:sz w:val="20"/>
                <w:szCs w:val="20"/>
                <w:color w:val="auto"/>
              </w:rPr>
            </w:pPr>
            <w:r>
              <w:rPr>
                <w:rFonts w:ascii="Arial" w:cs="Arial" w:eastAsia="Arial" w:hAnsi="Arial"/>
                <w:sz w:val="9"/>
                <w:szCs w:val="9"/>
                <w:color w:val="auto"/>
              </w:rPr>
              <w:t>Unrealized gain on investments in marketable securities</w:t>
            </w: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108</w:t>
            </w:r>
          </w:p>
        </w:tc>
        <w:tc>
          <w:tcPr>
            <w:tcW w:w="2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108</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tcPr>
          <w:p>
            <w:pPr>
              <w:ind w:left="80"/>
              <w:spacing w:after="0" w:line="99" w:lineRule="exact"/>
              <w:rPr>
                <w:sz w:val="20"/>
                <w:szCs w:val="20"/>
                <w:color w:val="auto"/>
              </w:rPr>
            </w:pPr>
            <w:r>
              <w:rPr>
                <w:rFonts w:ascii="Arial" w:cs="Arial" w:eastAsia="Arial" w:hAnsi="Arial"/>
                <w:sz w:val="9"/>
                <w:szCs w:val="9"/>
                <w:color w:val="auto"/>
              </w:rPr>
              <w:t>Net total comprehensive income</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10,250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vMerge w:val="continue"/>
          </w:tcPr>
          <w:p>
            <w:pPr>
              <w:spacing w:after="0"/>
              <w:rPr>
                <w:sz w:val="8"/>
                <w:szCs w:val="8"/>
                <w:color w:val="auto"/>
              </w:rPr>
            </w:pPr>
          </w:p>
        </w:tc>
        <w:tc>
          <w:tcPr>
            <w:tcW w:w="3140" w:type="dxa"/>
            <w:vAlign w:val="bottom"/>
            <w:shd w:val="clear" w:color="auto" w:fill="CCEEFF"/>
          </w:tcPr>
          <w:p>
            <w:pPr>
              <w:jc w:val="right"/>
              <w:ind w:right="2054"/>
              <w:spacing w:after="0" w:line="99" w:lineRule="exact"/>
              <w:rPr>
                <w:sz w:val="20"/>
                <w:szCs w:val="20"/>
                <w:color w:val="auto"/>
              </w:rPr>
            </w:pPr>
            <w:r>
              <w:rPr>
                <w:rFonts w:ascii="Arial" w:cs="Arial" w:eastAsia="Arial" w:hAnsi="Arial"/>
                <w:sz w:val="9"/>
                <w:szCs w:val="9"/>
                <w:color w:val="auto"/>
                <w:w w:val="89"/>
              </w:rPr>
              <w:t>Balance December 31, 2006</w:t>
            </w: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32,250</w:t>
            </w:r>
          </w:p>
        </w:tc>
        <w:tc>
          <w:tcPr>
            <w:tcW w:w="360" w:type="dxa"/>
            <w:vAlign w:val="bottom"/>
            <w:gridSpan w:val="2"/>
            <w:shd w:val="clear" w:color="auto" w:fill="CCEEFF"/>
          </w:tcPr>
          <w:p>
            <w:pPr>
              <w:ind w:left="200"/>
              <w:spacing w:after="0" w:line="99"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w:t>
            </w:r>
          </w:p>
        </w:tc>
        <w:tc>
          <w:tcPr>
            <w:tcW w:w="540" w:type="dxa"/>
            <w:vAlign w:val="bottom"/>
            <w:gridSpan w:val="3"/>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(96)</w:t>
            </w:r>
          </w:p>
        </w:tc>
        <w:tc>
          <w:tcPr>
            <w:tcW w:w="200" w:type="dxa"/>
            <w:vAlign w:val="bottom"/>
            <w:gridSpan w:val="2"/>
            <w:shd w:val="clear" w:color="auto" w:fill="CCEEFF"/>
          </w:tcPr>
          <w:p>
            <w:pPr>
              <w:ind w:left="80"/>
              <w:spacing w:after="0" w:line="99" w:lineRule="exact"/>
              <w:rPr>
                <w:sz w:val="20"/>
                <w:szCs w:val="20"/>
                <w:color w:val="auto"/>
              </w:rPr>
            </w:pPr>
            <w:r>
              <w:rPr>
                <w:rFonts w:ascii="Arial" w:cs="Arial" w:eastAsia="Arial" w:hAnsi="Arial"/>
                <w:sz w:val="9"/>
                <w:szCs w:val="9"/>
                <w:color w:val="auto"/>
              </w:rPr>
              <w:t>$</w:t>
            </w:r>
          </w:p>
        </w:tc>
        <w:tc>
          <w:tcPr>
            <w:tcW w:w="30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9"/>
                <w:szCs w:val="9"/>
                <w:color w:val="auto"/>
              </w:rPr>
              <w:t>(19)</w:t>
            </w:r>
          </w:p>
        </w:tc>
        <w:tc>
          <w:tcPr>
            <w:tcW w:w="14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90,844</w:t>
            </w:r>
          </w:p>
        </w:tc>
        <w:tc>
          <w:tcPr>
            <w:tcW w:w="100" w:type="dxa"/>
            <w:vAlign w:val="bottom"/>
            <w:shd w:val="clear" w:color="auto" w:fill="CCEEFF"/>
          </w:tcPr>
          <w:p>
            <w:pPr>
              <w:spacing w:after="0"/>
              <w:rPr>
                <w:sz w:val="8"/>
                <w:szCs w:val="8"/>
                <w:color w:val="auto"/>
              </w:rPr>
            </w:pPr>
          </w:p>
        </w:tc>
        <w:tc>
          <w:tcPr>
            <w:tcW w:w="1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160" w:type="dxa"/>
            <w:vAlign w:val="bottom"/>
            <w:gridSpan w:val="2"/>
            <w:shd w:val="clear" w:color="auto" w:fill="CCEEFF"/>
          </w:tcPr>
          <w:p>
            <w:pPr>
              <w:jc w:val="right"/>
              <w:ind w:right="17"/>
              <w:spacing w:after="0" w:line="99" w:lineRule="exact"/>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(6)</w:t>
            </w:r>
          </w:p>
        </w:tc>
        <w:tc>
          <w:tcPr>
            <w:tcW w:w="7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4,451</w:t>
            </w:r>
          </w:p>
        </w:tc>
        <w:tc>
          <w:tcPr>
            <w:tcW w:w="10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95,273</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shd w:val="clear" w:color="auto" w:fill="000000"/>
          </w:tcPr>
          <w:p>
            <w:pPr>
              <w:spacing w:after="0" w:line="20" w:lineRule="exact"/>
              <w:rPr>
                <w:sz w:val="1"/>
                <w:szCs w:val="1"/>
                <w:color w:val="auto"/>
              </w:rPr>
            </w:pPr>
          </w:p>
        </w:tc>
        <w:tc>
          <w:tcPr>
            <w:tcW w:w="54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0" w:type="dxa"/>
            <w:vAlign w:val="bottom"/>
          </w:tcPr>
          <w:p>
            <w:pPr>
              <w:spacing w:after="0"/>
              <w:rPr>
                <w:sz w:val="8"/>
                <w:szCs w:val="8"/>
                <w:color w:val="auto"/>
              </w:rPr>
            </w:pPr>
          </w:p>
        </w:tc>
        <w:tc>
          <w:tcPr>
            <w:tcW w:w="3140" w:type="dxa"/>
            <w:vAlign w:val="bottom"/>
          </w:tcPr>
          <w:p>
            <w:pPr>
              <w:ind w:left="80"/>
              <w:spacing w:after="0" w:line="99" w:lineRule="exact"/>
              <w:rPr>
                <w:sz w:val="20"/>
                <w:szCs w:val="20"/>
                <w:color w:val="auto"/>
              </w:rPr>
            </w:pPr>
            <w:r>
              <w:rPr>
                <w:rFonts w:ascii="Arial" w:cs="Arial" w:eastAsia="Arial" w:hAnsi="Arial"/>
                <w:sz w:val="9"/>
                <w:szCs w:val="9"/>
                <w:color w:val="auto"/>
              </w:rPr>
              <w:t>Stock-based compensation</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9" w:lineRule="exact"/>
              <w:rPr>
                <w:sz w:val="20"/>
                <w:szCs w:val="20"/>
                <w:color w:val="auto"/>
              </w:rPr>
            </w:pPr>
            <w:r>
              <w:rPr>
                <w:rFonts w:ascii="Arial" w:cs="Arial" w:eastAsia="Arial" w:hAnsi="Arial"/>
                <w:sz w:val="9"/>
                <w:szCs w:val="9"/>
                <w:color w:val="auto"/>
              </w:rPr>
              <w:t>2,608</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2,608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shd w:val="clear" w:color="auto" w:fill="CCEEFF"/>
          </w:tcPr>
          <w:p>
            <w:pPr>
              <w:ind w:left="80"/>
              <w:spacing w:after="0" w:line="99" w:lineRule="exact"/>
              <w:rPr>
                <w:sz w:val="20"/>
                <w:szCs w:val="20"/>
                <w:color w:val="auto"/>
              </w:rPr>
            </w:pPr>
            <w:r>
              <w:rPr>
                <w:rFonts w:ascii="Arial" w:cs="Arial" w:eastAsia="Arial" w:hAnsi="Arial"/>
                <w:sz w:val="9"/>
                <w:szCs w:val="9"/>
                <w:color w:val="auto"/>
              </w:rPr>
              <w:t>Issuance of restricted stock</w:t>
            </w: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60</w:t>
            </w: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619</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619</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tcPr>
          <w:p>
            <w:pPr>
              <w:ind w:left="80"/>
              <w:spacing w:after="0" w:line="99" w:lineRule="exact"/>
              <w:rPr>
                <w:sz w:val="20"/>
                <w:szCs w:val="20"/>
                <w:color w:val="auto"/>
              </w:rPr>
            </w:pPr>
            <w:r>
              <w:rPr>
                <w:rFonts w:ascii="Arial" w:cs="Arial" w:eastAsia="Arial" w:hAnsi="Arial"/>
                <w:sz w:val="9"/>
                <w:szCs w:val="9"/>
                <w:color w:val="auto"/>
              </w:rPr>
              <w:t>Issuance of common stock on exercise of options and warrants</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416</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9" w:lineRule="exact"/>
              <w:rPr>
                <w:sz w:val="20"/>
                <w:szCs w:val="20"/>
                <w:color w:val="auto"/>
              </w:rPr>
            </w:pPr>
            <w:r>
              <w:rPr>
                <w:rFonts w:ascii="Arial" w:cs="Arial" w:eastAsia="Arial" w:hAnsi="Arial"/>
                <w:sz w:val="9"/>
                <w:szCs w:val="9"/>
                <w:color w:val="auto"/>
              </w:rPr>
              <w:t>1,565</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1,565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shd w:val="clear" w:color="auto" w:fill="CCEEFF"/>
          </w:tcPr>
          <w:p>
            <w:pPr>
              <w:ind w:left="80"/>
              <w:spacing w:after="0" w:line="99" w:lineRule="exact"/>
              <w:rPr>
                <w:sz w:val="20"/>
                <w:szCs w:val="20"/>
                <w:color w:val="auto"/>
              </w:rPr>
            </w:pPr>
            <w:r>
              <w:rPr>
                <w:rFonts w:ascii="Arial" w:cs="Arial" w:eastAsia="Arial" w:hAnsi="Arial"/>
                <w:sz w:val="9"/>
                <w:szCs w:val="9"/>
                <w:color w:val="auto"/>
              </w:rPr>
              <w:t>Comprehensive income:</w:t>
            </w:r>
          </w:p>
        </w:tc>
        <w:tc>
          <w:tcPr>
            <w:tcW w:w="3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tcPr>
          <w:p>
            <w:pPr>
              <w:ind w:left="80"/>
              <w:spacing w:after="0" w:line="99" w:lineRule="exact"/>
              <w:rPr>
                <w:sz w:val="20"/>
                <w:szCs w:val="20"/>
                <w:color w:val="auto"/>
              </w:rPr>
            </w:pPr>
            <w:r>
              <w:rPr>
                <w:rFonts w:ascii="Arial" w:cs="Arial" w:eastAsia="Arial" w:hAnsi="Arial"/>
                <w:sz w:val="9"/>
                <w:szCs w:val="9"/>
                <w:color w:val="auto"/>
              </w:rPr>
              <w:t>Net income</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700" w:type="dxa"/>
            <w:vAlign w:val="bottom"/>
          </w:tcPr>
          <w:p>
            <w:pPr>
              <w:jc w:val="right"/>
              <w:spacing w:after="0" w:line="99" w:lineRule="exact"/>
              <w:rPr>
                <w:sz w:val="20"/>
                <w:szCs w:val="20"/>
                <w:color w:val="auto"/>
              </w:rPr>
            </w:pPr>
            <w:r>
              <w:rPr>
                <w:rFonts w:ascii="Arial" w:cs="Arial" w:eastAsia="Arial" w:hAnsi="Arial"/>
                <w:sz w:val="9"/>
                <w:szCs w:val="9"/>
                <w:color w:val="auto"/>
              </w:rPr>
              <w:t>23,756</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23,756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shd w:val="clear" w:color="auto" w:fill="CCEEFF"/>
          </w:tcPr>
          <w:p>
            <w:pPr>
              <w:ind w:left="80"/>
              <w:spacing w:after="0" w:line="99" w:lineRule="exact"/>
              <w:rPr>
                <w:sz w:val="20"/>
                <w:szCs w:val="20"/>
                <w:color w:val="auto"/>
              </w:rPr>
            </w:pPr>
            <w:r>
              <w:rPr>
                <w:rFonts w:ascii="Arial" w:cs="Arial" w:eastAsia="Arial" w:hAnsi="Arial"/>
                <w:sz w:val="9"/>
                <w:szCs w:val="9"/>
                <w:color w:val="auto"/>
              </w:rPr>
              <w:t>Unrealized gain on investments in marketable securities net of tax</w:t>
            </w: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10</w:t>
            </w:r>
          </w:p>
        </w:tc>
        <w:tc>
          <w:tcPr>
            <w:tcW w:w="2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color w:val="auto"/>
              </w:rPr>
              <w:t>10</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tcPr>
          <w:p>
            <w:pPr>
              <w:ind w:left="80"/>
              <w:spacing w:after="0" w:line="99" w:lineRule="exact"/>
              <w:rPr>
                <w:sz w:val="20"/>
                <w:szCs w:val="20"/>
                <w:color w:val="auto"/>
              </w:rPr>
            </w:pPr>
            <w:r>
              <w:rPr>
                <w:rFonts w:ascii="Arial" w:cs="Arial" w:eastAsia="Arial" w:hAnsi="Arial"/>
                <w:sz w:val="9"/>
                <w:szCs w:val="9"/>
                <w:color w:val="auto"/>
              </w:rPr>
              <w:t>Net total comprehensive income</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23,766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140" w:type="dxa"/>
            <w:vAlign w:val="bottom"/>
            <w:shd w:val="clear" w:color="auto" w:fill="CCEEFF"/>
          </w:tcPr>
          <w:p>
            <w:pPr>
              <w:ind w:left="80"/>
              <w:spacing w:after="0" w:line="99" w:lineRule="exact"/>
              <w:rPr>
                <w:sz w:val="20"/>
                <w:szCs w:val="20"/>
                <w:color w:val="auto"/>
              </w:rPr>
            </w:pPr>
            <w:r>
              <w:rPr>
                <w:rFonts w:ascii="Arial" w:cs="Arial" w:eastAsia="Arial" w:hAnsi="Arial"/>
                <w:sz w:val="9"/>
                <w:szCs w:val="9"/>
                <w:color w:val="auto"/>
              </w:rPr>
              <w:t>Tax benefit from stock option exercise</w:t>
            </w: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2,960</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2,960</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60" w:type="dxa"/>
            <w:vAlign w:val="bottom"/>
            <w:gridSpan w:val="2"/>
          </w:tcPr>
          <w:p>
            <w:pPr>
              <w:jc w:val="right"/>
              <w:ind w:right="2054"/>
              <w:spacing w:after="0" w:line="99" w:lineRule="exact"/>
              <w:rPr>
                <w:sz w:val="20"/>
                <w:szCs w:val="20"/>
                <w:color w:val="auto"/>
              </w:rPr>
            </w:pPr>
            <w:r>
              <w:rPr>
                <w:rFonts w:ascii="Arial" w:cs="Arial" w:eastAsia="Arial" w:hAnsi="Arial"/>
                <w:sz w:val="9"/>
                <w:szCs w:val="9"/>
                <w:color w:val="auto"/>
                <w:w w:val="91"/>
              </w:rPr>
              <w:t>Balance December 31, 2007</w:t>
            </w:r>
          </w:p>
        </w:tc>
        <w:tc>
          <w:tcPr>
            <w:tcW w:w="36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32,726</w:t>
            </w:r>
          </w:p>
        </w:tc>
        <w:tc>
          <w:tcPr>
            <w:tcW w:w="200" w:type="dxa"/>
            <w:vAlign w:val="bottom"/>
          </w:tcPr>
          <w:p>
            <w:pPr>
              <w:spacing w:after="0"/>
              <w:rPr>
                <w:sz w:val="9"/>
                <w:szCs w:val="9"/>
                <w:color w:val="auto"/>
              </w:rPr>
            </w:pPr>
          </w:p>
        </w:tc>
        <w:tc>
          <w:tcPr>
            <w:tcW w:w="160" w:type="dxa"/>
            <w:vAlign w:val="bottom"/>
            <w:tcBorders>
              <w:top w:val="single" w:sz="8" w:color="auto"/>
              <w:bottom w:val="single" w:sz="8" w:color="auto"/>
            </w:tcBorders>
          </w:tcPr>
          <w:p>
            <w:pPr>
              <w:spacing w:after="0" w:line="99" w:lineRule="exact"/>
              <w:rPr>
                <w:sz w:val="20"/>
                <w:szCs w:val="20"/>
                <w:color w:val="auto"/>
              </w:rPr>
            </w:pPr>
            <w:r>
              <w:rPr>
                <w:rFonts w:ascii="Arial" w:cs="Arial" w:eastAsia="Arial" w:hAnsi="Arial"/>
                <w:sz w:val="9"/>
                <w:szCs w:val="9"/>
                <w:color w:val="auto"/>
              </w:rPr>
              <w:t>$</w:t>
            </w:r>
          </w:p>
        </w:tc>
        <w:tc>
          <w:tcPr>
            <w:tcW w:w="14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3</w:t>
            </w:r>
          </w:p>
        </w:tc>
        <w:tc>
          <w:tcPr>
            <w:tcW w:w="200" w:type="dxa"/>
            <w:vAlign w:val="bottom"/>
          </w:tcPr>
          <w:p>
            <w:pPr>
              <w:spacing w:after="0"/>
              <w:rPr>
                <w:sz w:val="9"/>
                <w:szCs w:val="9"/>
                <w:color w:val="auto"/>
              </w:rPr>
            </w:pPr>
          </w:p>
        </w:tc>
        <w:tc>
          <w:tcPr>
            <w:tcW w:w="24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(96)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line="99" w:lineRule="exact"/>
              <w:rPr>
                <w:sz w:val="20"/>
                <w:szCs w:val="20"/>
                <w:color w:val="auto"/>
              </w:rPr>
            </w:pPr>
            <w:r>
              <w:rPr>
                <w:rFonts w:ascii="Arial" w:cs="Arial" w:eastAsia="Arial" w:hAnsi="Arial"/>
                <w:sz w:val="9"/>
                <w:szCs w:val="9"/>
                <w:color w:val="auto"/>
              </w:rPr>
              <w:t>$</w:t>
            </w:r>
          </w:p>
        </w:tc>
        <w:tc>
          <w:tcPr>
            <w:tcW w:w="18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(19</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98,596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4</w:t>
            </w:r>
          </w:p>
        </w:tc>
        <w:tc>
          <w:tcPr>
            <w:tcW w:w="200" w:type="dxa"/>
            <w:vAlign w:val="bottom"/>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28,207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126,791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STATEMENTS OF CASH FLOWS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1"/>
                <w:szCs w:val="11"/>
                <w:b w:val="1"/>
                <w:bCs w:val="1"/>
                <w:color w:val="auto"/>
                <w:w w:val="85"/>
              </w:rPr>
              <w:t>Year Ended December 31,</w:t>
            </w: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42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4"/>
              <w:spacing w:after="0" w:line="99" w:lineRule="exact"/>
              <w:rPr>
                <w:sz w:val="20"/>
                <w:szCs w:val="20"/>
                <w:color w:val="auto"/>
              </w:rPr>
            </w:pPr>
            <w:r>
              <w:rPr>
                <w:rFonts w:ascii="Arial" w:cs="Arial" w:eastAsia="Arial" w:hAnsi="Arial"/>
                <w:sz w:val="11"/>
                <w:szCs w:val="11"/>
                <w:b w:val="1"/>
                <w:bCs w:val="1"/>
                <w:color w:val="auto"/>
              </w:rPr>
              <w:t>2007</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ind w:right="74"/>
              <w:spacing w:after="0" w:line="99" w:lineRule="exact"/>
              <w:rPr>
                <w:sz w:val="20"/>
                <w:szCs w:val="20"/>
                <w:color w:val="auto"/>
              </w:rPr>
            </w:pPr>
            <w:r>
              <w:rPr>
                <w:rFonts w:ascii="Arial" w:cs="Arial" w:eastAsia="Arial" w:hAnsi="Arial"/>
                <w:sz w:val="11"/>
                <w:szCs w:val="11"/>
                <w:b w:val="1"/>
                <w:bCs w:val="1"/>
                <w:color w:val="auto"/>
                <w:w w:val="81"/>
              </w:rPr>
              <w:t>2006</w:t>
            </w: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4"/>
              <w:spacing w:after="0" w:line="99" w:lineRule="exact"/>
              <w:rPr>
                <w:sz w:val="20"/>
                <w:szCs w:val="20"/>
                <w:color w:val="auto"/>
              </w:rPr>
            </w:pPr>
            <w:r>
              <w:rPr>
                <w:rFonts w:ascii="Arial" w:cs="Arial" w:eastAsia="Arial" w:hAnsi="Arial"/>
                <w:sz w:val="11"/>
                <w:szCs w:val="11"/>
                <w:b w:val="1"/>
                <w:bCs w:val="1"/>
                <w:color w:val="auto"/>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3"/>
          </w:tcPr>
          <w:p>
            <w:pPr>
              <w:jc w:val="center"/>
              <w:ind w:left="221"/>
              <w:spacing w:after="0"/>
              <w:rPr>
                <w:sz w:val="20"/>
                <w:szCs w:val="20"/>
                <w:color w:val="auto"/>
              </w:rPr>
            </w:pPr>
            <w:r>
              <w:rPr>
                <w:rFonts w:ascii="Arial" w:cs="Arial" w:eastAsia="Arial" w:hAnsi="Arial"/>
                <w:sz w:val="11"/>
                <w:szCs w:val="11"/>
                <w:b w:val="1"/>
                <w:bCs w:val="1"/>
                <w:color w:val="auto"/>
                <w:w w:val="84"/>
              </w:rPr>
              <w:t>(In thousands)</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activities:</w:t>
            </w:r>
          </w:p>
        </w:tc>
        <w:tc>
          <w:tcPr>
            <w:tcW w:w="3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b w:val="1"/>
                <w:bCs w:val="1"/>
                <w:color w:val="auto"/>
              </w:rPr>
              <w:t>Net income (loss)</w:t>
            </w:r>
          </w:p>
        </w:tc>
        <w:tc>
          <w:tcPr>
            <w:tcW w:w="3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23,756</w:t>
            </w:r>
          </w:p>
        </w:tc>
        <w:tc>
          <w:tcPr>
            <w:tcW w:w="60" w:type="dxa"/>
            <w:vAlign w:val="bottom"/>
          </w:tcPr>
          <w:p>
            <w:pPr>
              <w:spacing w:after="0"/>
              <w:rPr>
                <w:sz w:val="13"/>
                <w:szCs w:val="13"/>
                <w:color w:val="auto"/>
              </w:rPr>
            </w:pPr>
          </w:p>
        </w:tc>
        <w:tc>
          <w:tcPr>
            <w:tcW w:w="46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10,142</w:t>
            </w:r>
          </w:p>
        </w:tc>
        <w:tc>
          <w:tcPr>
            <w:tcW w:w="340" w:type="dxa"/>
            <w:vAlign w:val="bottom"/>
          </w:tcPr>
          <w:p>
            <w:pPr>
              <w:spacing w:after="0"/>
              <w:rPr>
                <w:sz w:val="13"/>
                <w:szCs w:val="13"/>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12,429</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w w:val="92"/>
              </w:rPr>
              <w:t>Adjustments to reconcile net income to net cash provided by operating activities:</w:t>
            </w:r>
          </w:p>
        </w:tc>
        <w:tc>
          <w:tcPr>
            <w:tcW w:w="3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ind w:left="120"/>
              <w:spacing w:after="0"/>
              <w:rPr>
                <w:sz w:val="20"/>
                <w:szCs w:val="20"/>
                <w:color w:val="auto"/>
              </w:rPr>
            </w:pPr>
            <w:r>
              <w:rPr>
                <w:rFonts w:ascii="Arial" w:cs="Arial" w:eastAsia="Arial" w:hAnsi="Arial"/>
                <w:sz w:val="13"/>
                <w:szCs w:val="13"/>
                <w:color w:val="auto"/>
              </w:rPr>
              <w:t>Depreciation expense</w:t>
            </w:r>
          </w:p>
        </w:tc>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5,237</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3,267</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2,305</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income taxes</w:t>
            </w:r>
          </w:p>
        </w:tc>
        <w:tc>
          <w:tcPr>
            <w:tcW w:w="3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(790)</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2,689</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ind w:left="120"/>
              <w:spacing w:after="0"/>
              <w:rPr>
                <w:sz w:val="20"/>
                <w:szCs w:val="20"/>
                <w:color w:val="auto"/>
              </w:rPr>
            </w:pPr>
            <w:r>
              <w:rPr>
                <w:rFonts w:ascii="Arial" w:cs="Arial" w:eastAsia="Arial" w:hAnsi="Arial"/>
                <w:sz w:val="13"/>
                <w:szCs w:val="13"/>
                <w:color w:val="auto"/>
              </w:rPr>
              <w:t>Stock-based compensation</w:t>
            </w:r>
          </w:p>
        </w:tc>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3,227</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1,075</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Changes in operating assets and liabilities:</w:t>
            </w:r>
          </w:p>
        </w:tc>
        <w:tc>
          <w:tcPr>
            <w:tcW w:w="3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ind w:left="120"/>
              <w:spacing w:after="0"/>
              <w:rPr>
                <w:sz w:val="20"/>
                <w:szCs w:val="20"/>
                <w:color w:val="auto"/>
              </w:rPr>
            </w:pPr>
            <w:r>
              <w:rPr>
                <w:rFonts w:ascii="Arial" w:cs="Arial" w:eastAsia="Arial" w:hAnsi="Arial"/>
                <w:sz w:val="13"/>
                <w:szCs w:val="13"/>
                <w:color w:val="auto"/>
              </w:rPr>
              <w:t>Accounts receivable, net of allowance for doubtful accounts</w:t>
            </w:r>
          </w:p>
        </w:tc>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(9.793)</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(3,825)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(5,847)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Prepaid expenses and other current assets</w:t>
            </w:r>
          </w:p>
        </w:tc>
        <w:tc>
          <w:tcPr>
            <w:tcW w:w="3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(1,296)</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(464)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ind w:left="120"/>
              <w:spacing w:after="0"/>
              <w:rPr>
                <w:sz w:val="20"/>
                <w:szCs w:val="20"/>
                <w:color w:val="auto"/>
              </w:rPr>
            </w:pPr>
            <w:r>
              <w:rPr>
                <w:rFonts w:ascii="Arial" w:cs="Arial" w:eastAsia="Arial" w:hAnsi="Arial"/>
                <w:sz w:val="13"/>
                <w:szCs w:val="13"/>
                <w:color w:val="auto"/>
              </w:rPr>
              <w:t>Other assets</w:t>
            </w:r>
          </w:p>
        </w:tc>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(104)</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888</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(853)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Accounts payable and accrued expenses</w:t>
            </w:r>
          </w:p>
        </w:tc>
        <w:tc>
          <w:tcPr>
            <w:tcW w:w="3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5,601</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1,103</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4,665</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ind w:left="120"/>
              <w:spacing w:after="0"/>
              <w:rPr>
                <w:sz w:val="20"/>
                <w:szCs w:val="20"/>
                <w:color w:val="auto"/>
              </w:rPr>
            </w:pPr>
            <w:r>
              <w:rPr>
                <w:rFonts w:ascii="Arial" w:cs="Arial" w:eastAsia="Arial" w:hAnsi="Arial"/>
                <w:sz w:val="13"/>
                <w:szCs w:val="13"/>
                <w:color w:val="auto"/>
              </w:rPr>
              <w:t>Tax benefit from stock option exercise</w:t>
            </w:r>
          </w:p>
        </w:tc>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(2,960)</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liabilities</w:t>
            </w:r>
          </w:p>
        </w:tc>
        <w:tc>
          <w:tcPr>
            <w:tcW w:w="3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ind w:left="120"/>
              <w:spacing w:after="0"/>
              <w:rPr>
                <w:sz w:val="20"/>
                <w:szCs w:val="20"/>
                <w:color w:val="auto"/>
              </w:rPr>
            </w:pPr>
            <w:r>
              <w:rPr>
                <w:rFonts w:ascii="Arial" w:cs="Arial" w:eastAsia="Arial" w:hAnsi="Arial"/>
                <w:sz w:val="13"/>
                <w:szCs w:val="13"/>
                <w:color w:val="auto"/>
              </w:rPr>
              <w:t>Due to a related party</w:t>
            </w:r>
          </w:p>
        </w:tc>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(577)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revenues</w:t>
            </w:r>
          </w:p>
        </w:tc>
        <w:tc>
          <w:tcPr>
            <w:tcW w:w="3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(78)</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80" w:type="dxa"/>
            <w:vAlign w:val="bottom"/>
            <w:gridSpan w:val="2"/>
          </w:tcPr>
          <w:p>
            <w:pPr>
              <w:ind w:left="680"/>
              <w:spacing w:after="0"/>
              <w:rPr>
                <w:sz w:val="20"/>
                <w:szCs w:val="20"/>
                <w:color w:val="auto"/>
              </w:rPr>
            </w:pPr>
            <w:r>
              <w:rPr>
                <w:rFonts w:ascii="Arial" w:cs="Arial" w:eastAsia="Arial" w:hAnsi="Arial"/>
                <w:sz w:val="13"/>
                <w:szCs w:val="13"/>
                <w:color w:val="auto"/>
              </w:rPr>
              <w:t>Net cash provided by (used in) operating activities</w:t>
            </w:r>
          </w:p>
        </w:tc>
        <w:tc>
          <w:tcPr>
            <w:tcW w:w="30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23,478</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13,956</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8,025</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Investing activities:</w:t>
            </w:r>
          </w:p>
        </w:tc>
        <w:tc>
          <w:tcPr>
            <w:tcW w:w="3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Purchases of fixed assets</w:t>
            </w:r>
          </w:p>
        </w:tc>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(10,442)</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(4,322)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(2,414)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Employees’ repayment of notes</w:t>
            </w:r>
          </w:p>
        </w:tc>
        <w:tc>
          <w:tcPr>
            <w:tcW w:w="3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Purchases of marketable securities available for sale</w:t>
            </w:r>
          </w:p>
        </w:tc>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(3,645)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(1,537)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(2,959)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Sale of marketable securities available for sale</w:t>
            </w:r>
          </w:p>
        </w:tc>
        <w:tc>
          <w:tcPr>
            <w:tcW w:w="30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5,601</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3,814</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2,848</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80" w:type="dxa"/>
            <w:vAlign w:val="bottom"/>
            <w:gridSpan w:val="2"/>
          </w:tcPr>
          <w:p>
            <w:pPr>
              <w:ind w:left="680"/>
              <w:spacing w:after="0"/>
              <w:rPr>
                <w:sz w:val="20"/>
                <w:szCs w:val="20"/>
                <w:color w:val="auto"/>
              </w:rPr>
            </w:pPr>
            <w:r>
              <w:rPr>
                <w:rFonts w:ascii="Arial" w:cs="Arial" w:eastAsia="Arial" w:hAnsi="Arial"/>
                <w:sz w:val="13"/>
                <w:szCs w:val="13"/>
                <w:color w:val="auto"/>
              </w:rPr>
              <w:t>Net cash used in investing activities</w:t>
            </w:r>
          </w:p>
        </w:tc>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(8,486)</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(2,045)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(1,980)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Financing activities:</w:t>
            </w:r>
          </w:p>
        </w:tc>
        <w:tc>
          <w:tcPr>
            <w:tcW w:w="3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Proceeds from issuance of common stock — related party</w:t>
            </w:r>
          </w:p>
        </w:tc>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1,000</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Proceeds from the exercise of stock options</w:t>
            </w:r>
          </w:p>
        </w:tc>
        <w:tc>
          <w:tcPr>
            <w:tcW w:w="3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1,565</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Proceeds from initial public offering, net of offering costs</w:t>
            </w:r>
          </w:p>
        </w:tc>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45,663</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Proceeds from the exercise of over-allotment option, net of offering costs</w:t>
            </w:r>
          </w:p>
        </w:tc>
        <w:tc>
          <w:tcPr>
            <w:tcW w:w="3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7,102</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Excess tax benefits from stock option exercises</w:t>
            </w:r>
          </w:p>
        </w:tc>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2,960</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Repayments of equipment loan</w:t>
            </w:r>
          </w:p>
        </w:tc>
        <w:tc>
          <w:tcPr>
            <w:tcW w:w="3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(666)</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(667)</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ind w:left="680"/>
              <w:spacing w:after="0"/>
              <w:rPr>
                <w:sz w:val="20"/>
                <w:szCs w:val="20"/>
                <w:color w:val="auto"/>
              </w:rPr>
            </w:pPr>
            <w:r>
              <w:rPr>
                <w:rFonts w:ascii="Arial" w:cs="Arial" w:eastAsia="Arial" w:hAnsi="Arial"/>
                <w:sz w:val="13"/>
                <w:szCs w:val="13"/>
                <w:color w:val="auto"/>
              </w:rPr>
              <w:t>Net cash provided by (used in) financing activities</w:t>
            </w:r>
          </w:p>
        </w:tc>
        <w:tc>
          <w:tcPr>
            <w:tcW w:w="3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980" w:type="dxa"/>
            <w:vAlign w:val="bottom"/>
            <w:gridSpan w:val="2"/>
            <w:vMerge w:val="continue"/>
          </w:tcPr>
          <w:p>
            <w:pPr>
              <w:spacing w:after="0"/>
              <w:rPr>
                <w:sz w:val="13"/>
                <w:szCs w:val="13"/>
                <w:color w:val="auto"/>
              </w:rPr>
            </w:pPr>
          </w:p>
        </w:tc>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3,859</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53,208</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Net increase in cash and cash equivalents</w:t>
            </w:r>
          </w:p>
        </w:tc>
        <w:tc>
          <w:tcPr>
            <w:tcW w:w="30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18,851</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65,119</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5,382</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Cash and cash equivalents at beginning of year</w:t>
            </w:r>
          </w:p>
        </w:tc>
        <w:tc>
          <w:tcPr>
            <w:tcW w:w="30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73,905</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8,786</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3,404</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period</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92,756</w:t>
            </w: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73,905</w:t>
            </w:r>
          </w:p>
        </w:tc>
        <w:tc>
          <w:tcPr>
            <w:tcW w:w="3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8,786</w:t>
            </w: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80" w:type="dxa"/>
            <w:vAlign w:val="bottom"/>
            <w:gridSpan w:val="2"/>
          </w:tcPr>
          <w:p>
            <w:pPr>
              <w:ind w:left="680"/>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30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Cash paid for interest</w:t>
            </w:r>
          </w:p>
        </w:tc>
        <w:tc>
          <w:tcPr>
            <w:tcW w:w="30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3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980" w:type="dxa"/>
            <w:vAlign w:val="bottom"/>
            <w:gridSpan w:val="2"/>
            <w:vMerge w:val="restart"/>
          </w:tcPr>
          <w:p>
            <w:pPr>
              <w:ind w:left="680"/>
              <w:spacing w:after="0"/>
              <w:rPr>
                <w:sz w:val="20"/>
                <w:szCs w:val="20"/>
                <w:color w:val="auto"/>
              </w:rPr>
            </w:pPr>
            <w:r>
              <w:rPr>
                <w:rFonts w:ascii="Arial" w:cs="Arial" w:eastAsia="Arial" w:hAnsi="Arial"/>
                <w:sz w:val="13"/>
                <w:szCs w:val="13"/>
                <w:color w:val="auto"/>
              </w:rPr>
              <w:t>Cash paid for income taxes</w:t>
            </w:r>
          </w:p>
        </w:tc>
        <w:tc>
          <w:tcPr>
            <w:tcW w:w="3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4980" w:type="dxa"/>
            <w:vAlign w:val="bottom"/>
            <w:gridSpan w:val="2"/>
            <w:vMerge w:val="continue"/>
          </w:tcPr>
          <w:p>
            <w:pPr>
              <w:spacing w:after="0"/>
              <w:rPr>
                <w:sz w:val="15"/>
                <w:szCs w:val="15"/>
                <w:color w:val="auto"/>
              </w:rPr>
            </w:pPr>
          </w:p>
        </w:tc>
        <w:tc>
          <w:tcPr>
            <w:tcW w:w="3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13,439</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3,902</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Accretion of redeemable convertible preferred stock</w:t>
            </w:r>
          </w:p>
        </w:tc>
        <w:tc>
          <w:tcPr>
            <w:tcW w:w="3000" w:type="dxa"/>
            <w:vAlign w:val="bottom"/>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980" w:type="dxa"/>
            <w:vAlign w:val="bottom"/>
            <w:gridSpan w:val="2"/>
          </w:tcPr>
          <w:p>
            <w:pPr>
              <w:ind w:left="680"/>
              <w:spacing w:after="0"/>
              <w:rPr>
                <w:sz w:val="20"/>
                <w:szCs w:val="20"/>
                <w:color w:val="auto"/>
              </w:rPr>
            </w:pPr>
            <w:r>
              <w:rPr>
                <w:rFonts w:ascii="Arial" w:cs="Arial" w:eastAsia="Arial" w:hAnsi="Arial"/>
                <w:sz w:val="13"/>
                <w:szCs w:val="13"/>
                <w:color w:val="auto"/>
              </w:rPr>
              <w:t>Conversion of redeemable convertible preferred stock</w:t>
            </w:r>
          </w:p>
        </w:tc>
        <w:tc>
          <w:tcPr>
            <w:tcW w:w="30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34,937</w:t>
            </w:r>
          </w:p>
        </w:tc>
        <w:tc>
          <w:tcPr>
            <w:tcW w:w="340" w:type="dxa"/>
            <w:vAlign w:val="bottom"/>
          </w:tcPr>
          <w:p>
            <w:pPr>
              <w:spacing w:after="0"/>
              <w:rPr>
                <w:sz w:val="16"/>
                <w:szCs w:val="16"/>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3000" w:type="dxa"/>
            <w:vAlign w:val="bottom"/>
          </w:tcPr>
          <w:p>
            <w:pPr>
              <w:jc w:val="center"/>
              <w:ind w:right="1554"/>
              <w:spacing w:after="0"/>
              <w:rPr>
                <w:sz w:val="20"/>
                <w:szCs w:val="20"/>
                <w:color w:val="auto"/>
              </w:rPr>
            </w:pPr>
            <w:r>
              <w:rPr>
                <w:rFonts w:ascii="Arial" w:cs="Arial" w:eastAsia="Arial" w:hAnsi="Arial"/>
                <w:sz w:val="13"/>
                <w:szCs w:val="13"/>
                <w:color w:val="auto"/>
                <w:w w:val="89"/>
              </w:rPr>
              <w:t>See accompanying notes.</w:t>
            </w: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5"/>
        </w:trPr>
        <w:tc>
          <w:tcPr>
            <w:tcW w:w="7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0" w:type="dxa"/>
            <w:vAlign w:val="bottom"/>
          </w:tcPr>
          <w:p>
            <w:pPr>
              <w:jc w:val="right"/>
              <w:ind w:right="2174"/>
              <w:spacing w:after="0"/>
              <w:rPr>
                <w:sz w:val="20"/>
                <w:szCs w:val="20"/>
                <w:color w:val="auto"/>
              </w:rPr>
            </w:pPr>
            <w:r>
              <w:rPr>
                <w:rFonts w:ascii="Arial" w:cs="Arial" w:eastAsia="Arial" w:hAnsi="Arial"/>
                <w:sz w:val="13"/>
                <w:szCs w:val="13"/>
                <w:color w:val="auto"/>
              </w:rPr>
              <w:t>41</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428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ind w:left="4460"/>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NOTES TO FINANCIAL STATEMENTS</w:t>
      </w:r>
    </w:p>
    <w:p>
      <w:pPr>
        <w:spacing w:after="0" w:line="20"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(in thousands, except per share data)</w:t>
      </w:r>
    </w:p>
    <w:p>
      <w:pPr>
        <w:spacing w:after="0" w:line="166" w:lineRule="exact"/>
        <w:rPr>
          <w:sz w:val="20"/>
          <w:szCs w:val="20"/>
          <w:color w:val="auto"/>
        </w:rPr>
      </w:pPr>
    </w:p>
    <w:p>
      <w:pPr>
        <w:ind w:left="1000" w:hanging="313"/>
        <w:spacing w:after="0"/>
        <w:tabs>
          <w:tab w:leader="none" w:pos="1000"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Business</w:t>
      </w:r>
    </w:p>
    <w:p>
      <w:pPr>
        <w:spacing w:after="0" w:line="102"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Synchronoss Technologies, Inc. (the “Company” or “Synchronoss”) is a leading provider of on-demand multi-channel transaction management platforms that enable CSPs to automate new subscriber activation, order management and service provisioning. The Company conducts its business operations primarily in the United States of America, with some aspects of its operations being outsourced to entities located in India and Canada. Our ActivationNow</w:t>
      </w:r>
      <w:r>
        <w:rPr>
          <w:rFonts w:ascii="Arial" w:cs="Arial" w:eastAsia="Arial" w:hAnsi="Arial"/>
          <w:sz w:val="10"/>
          <w:szCs w:val="10"/>
          <w:color w:val="auto"/>
        </w:rPr>
        <w:t>®</w:t>
      </w:r>
      <w:r>
        <w:rPr>
          <w:rFonts w:ascii="Arial" w:cs="Arial" w:eastAsia="Arial" w:hAnsi="Arial"/>
          <w:sz w:val="12"/>
          <w:szCs w:val="12"/>
          <w:color w:val="auto"/>
        </w:rPr>
        <w:t xml:space="preserve"> and ConvergenceNow</w:t>
      </w:r>
      <w:r>
        <w:rPr>
          <w:rFonts w:ascii="Arial" w:cs="Arial" w:eastAsia="Arial" w:hAnsi="Arial"/>
          <w:sz w:val="10"/>
          <w:szCs w:val="10"/>
          <w:color w:val="auto"/>
        </w:rPr>
        <w:t>®</w:t>
      </w:r>
      <w:r>
        <w:rPr>
          <w:rFonts w:ascii="Arial" w:cs="Arial" w:eastAsia="Arial" w:hAnsi="Arial"/>
          <w:sz w:val="12"/>
          <w:szCs w:val="12"/>
          <w:color w:val="auto"/>
        </w:rPr>
        <w:t xml:space="preserve"> platforms provide seamless integration between customer-facing applications and “back-office” or infrastructure-related systems and processes. The Company’s CSP customers rely on our internet based technology to automate the process of activating customers and to deliver additional communications services including new service offerings and ongoing customer care. Synchronoss has designed its platforms to be flexible to enable multiple communication services including wireless, VoIP, wireline and cable to be managed through multiple distribution channels including e-commerce, CSP stores and other retail outlets, etc., allowing the Company to meet the rapidly changing and converging services offered by CSPs. By simplifying the processes associated with managing the customer experience for ordering and activating services through the automation and integration of disparate systems, Synchronoss enables CSPs to acquire, retain and service customers quickly, reliably and cost-effectively. The Company enables service providers to drive growth in new and existing markets while delivering an improved customer experience at lower costs.</w:t>
      </w:r>
    </w:p>
    <w:p>
      <w:pPr>
        <w:spacing w:after="0" w:line="59"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On June 20, 2006, the Company completed its initial public offering (“IPO”) pursuant to which it sold 6,532 shares of common stock at a price to the public of $8.00 per share. Upon completion of the IPO, all 13,549 outstanding shares of the Company’s Series A and Series 1 convertible preferred stock automatically converted into common stock on a one-for-one basis. On July 3, 2006, the Company’s IPO underwriters exercised their option to purchase an additional 960 shares of common stock at the IPO price of $8.00 per share before underwriting discounts and commissions.</w:t>
      </w:r>
    </w:p>
    <w:p>
      <w:pPr>
        <w:spacing w:after="0" w:line="144" w:lineRule="exact"/>
        <w:rPr>
          <w:sz w:val="20"/>
          <w:szCs w:val="20"/>
          <w:color w:val="auto"/>
        </w:rPr>
      </w:pPr>
    </w:p>
    <w:p>
      <w:pPr>
        <w:ind w:left="1000" w:hanging="313"/>
        <w:spacing w:after="0"/>
        <w:tabs>
          <w:tab w:leader="none" w:pos="100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 and Summary of Significant Accounting Policies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8" w:lineRule="exact"/>
        <w:rPr>
          <w:sz w:val="20"/>
          <w:szCs w:val="20"/>
          <w:color w:val="auto"/>
        </w:rPr>
      </w:pPr>
    </w:p>
    <w:p>
      <w:pPr>
        <w:ind w:left="680" w:right="160" w:firstLine="399"/>
        <w:spacing w:after="0" w:line="266" w:lineRule="auto"/>
        <w:rPr>
          <w:sz w:val="20"/>
          <w:szCs w:val="20"/>
          <w:color w:val="auto"/>
        </w:rPr>
      </w:pPr>
      <w:r>
        <w:rPr>
          <w:rFonts w:ascii="Arial" w:cs="Arial" w:eastAsia="Arial" w:hAnsi="Arial"/>
          <w:sz w:val="13"/>
          <w:szCs w:val="13"/>
          <w:color w:val="auto"/>
        </w:rPr>
        <w:t>The preparation of financial statements in conformity with U.S. generally accepted accounting principles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Actual results could differ from those estimates.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 and Deferred Revenue</w:t>
      </w:r>
    </w:p>
    <w:p>
      <w:pPr>
        <w:spacing w:after="0" w:line="98" w:lineRule="exact"/>
        <w:rPr>
          <w:sz w:val="20"/>
          <w:szCs w:val="20"/>
          <w:color w:val="auto"/>
        </w:rPr>
      </w:pPr>
    </w:p>
    <w:p>
      <w:pPr>
        <w:ind w:left="680" w:right="320" w:firstLine="399"/>
        <w:spacing w:after="0" w:line="279" w:lineRule="auto"/>
        <w:rPr>
          <w:sz w:val="20"/>
          <w:szCs w:val="20"/>
          <w:color w:val="auto"/>
        </w:rPr>
      </w:pPr>
      <w:r>
        <w:rPr>
          <w:rFonts w:ascii="Arial" w:cs="Arial" w:eastAsia="Arial" w:hAnsi="Arial"/>
          <w:sz w:val="13"/>
          <w:szCs w:val="13"/>
          <w:color w:val="auto"/>
        </w:rPr>
        <w:t>The Company provides services principally on a transaction fee basis or, at times, on a fixed fee basis and recognizes the revenues as the services are performed or delivered as described below:</w:t>
      </w:r>
    </w:p>
    <w:p>
      <w:pPr>
        <w:spacing w:after="0" w:line="58" w:lineRule="exact"/>
        <w:rPr>
          <w:sz w:val="20"/>
          <w:szCs w:val="20"/>
          <w:color w:val="auto"/>
        </w:rPr>
      </w:pPr>
    </w:p>
    <w:p>
      <w:pPr>
        <w:ind w:left="680" w:right="200" w:firstLine="399"/>
        <w:spacing w:after="0" w:line="266" w:lineRule="auto"/>
        <w:rPr>
          <w:sz w:val="20"/>
          <w:szCs w:val="20"/>
          <w:color w:val="auto"/>
        </w:rPr>
      </w:pPr>
      <w:r>
        <w:rPr>
          <w:rFonts w:ascii="Arial" w:cs="Arial" w:eastAsia="Arial" w:hAnsi="Arial"/>
          <w:sz w:val="13"/>
          <w:szCs w:val="13"/>
          <w:i w:val="1"/>
          <w:iCs w:val="1"/>
          <w:color w:val="auto"/>
        </w:rPr>
        <w:t xml:space="preserve">Transaction Service Arrangements: </w:t>
      </w:r>
      <w:r>
        <w:rPr>
          <w:rFonts w:ascii="Arial" w:cs="Arial" w:eastAsia="Arial" w:hAnsi="Arial"/>
          <w:sz w:val="13"/>
          <w:szCs w:val="13"/>
          <w:color w:val="auto"/>
        </w:rPr>
        <w:t>Transaction revenues consist of revenues derived from the processing of transactions through the Company’s service platforms and represent</w:t>
      </w:r>
      <w:r>
        <w:rPr>
          <w:rFonts w:ascii="Arial" w:cs="Arial" w:eastAsia="Arial" w:hAnsi="Arial"/>
          <w:sz w:val="13"/>
          <w:szCs w:val="13"/>
          <w:i w:val="1"/>
          <w:iCs w:val="1"/>
          <w:color w:val="auto"/>
        </w:rPr>
        <w:t xml:space="preserve"> </w:t>
      </w:r>
      <w:r>
        <w:rPr>
          <w:rFonts w:ascii="Arial" w:cs="Arial" w:eastAsia="Arial" w:hAnsi="Arial"/>
          <w:sz w:val="13"/>
          <w:szCs w:val="13"/>
          <w:color w:val="auto"/>
        </w:rPr>
        <w:t>approximately 85%, 85% and 83% of net revenues during the years ended December 31, 2007, 2006 and 2005, respectively. Transaction service arrangements include services such as processing equipment orders, new account set-up, number port requests, credit checks and inventory management.</w:t>
      </w:r>
    </w:p>
    <w:p>
      <w:pPr>
        <w:spacing w:after="0" w:line="6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Transaction revenues are principally based on a contractual price per transaction and are recognized based on the number of transactions processed during each reporting period. Revenues are recorded based on the total number of transactions processed at the applicable price established in the relevant contract. The total amount of revenues recognized is based primarily on the volume of transactions. Many of our contracts guarantee minimum volume transactions from the customer. In these instances, if the customer’s total transaction volume for the period is less than the contractual amount, we record revenues at the minimum guaranteed amount. At times, transaction revenues may also include billings to customers that reimburse the Company based on the number of individuals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60" w:lineRule="exact"/>
        <w:rPr>
          <w:sz w:val="20"/>
          <w:szCs w:val="20"/>
          <w:color w:val="auto"/>
        </w:rPr>
      </w:pPr>
    </w:p>
    <w:p>
      <w:pPr>
        <w:ind w:left="680" w:right="40"/>
        <w:spacing w:after="0" w:line="262" w:lineRule="auto"/>
        <w:rPr>
          <w:sz w:val="20"/>
          <w:szCs w:val="20"/>
          <w:color w:val="auto"/>
        </w:rPr>
      </w:pPr>
      <w:r>
        <w:rPr>
          <w:rFonts w:ascii="Arial" w:cs="Arial" w:eastAsia="Arial" w:hAnsi="Arial"/>
          <w:sz w:val="13"/>
          <w:szCs w:val="13"/>
          <w:color w:val="auto"/>
        </w:rPr>
        <w:t>dedicated to processing transactions. Set-up fees for transactional service arrangements are deferred and recognized on a straight-line basis over the life of the contract since these amounts would not have been paid by the customer without the related transactional service arrangement. Revenues are presented net of discounts, which are volume level driven, or credits, which are performance driven, and are determined in the period in which the volume thresholds are met or the services are provided. Deferred revenues represent billings to customers for services in advance of the performance of services, with revenues recognized as the services are rendered.</w:t>
      </w:r>
    </w:p>
    <w:p>
      <w:pPr>
        <w:spacing w:after="0" w:line="6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Professional Service Arrangements: </w:t>
      </w:r>
      <w:r>
        <w:rPr>
          <w:rFonts w:ascii="Arial" w:cs="Arial" w:eastAsia="Arial" w:hAnsi="Arial"/>
          <w:sz w:val="13"/>
          <w:szCs w:val="13"/>
          <w:color w:val="auto"/>
        </w:rPr>
        <w:t>Professional services represented approximately 14%, 13% and 11% of net revenues for the years ended December 31, 2007, 2006 and 2005,</w:t>
      </w:r>
      <w:r>
        <w:rPr>
          <w:rFonts w:ascii="Arial" w:cs="Arial" w:eastAsia="Arial" w:hAnsi="Arial"/>
          <w:sz w:val="13"/>
          <w:szCs w:val="13"/>
          <w:i w:val="1"/>
          <w:iCs w:val="1"/>
          <w:color w:val="auto"/>
        </w:rPr>
        <w:t xml:space="preserve"> </w:t>
      </w:r>
      <w:r>
        <w:rPr>
          <w:rFonts w:ascii="Arial" w:cs="Arial" w:eastAsia="Arial" w:hAnsi="Arial"/>
          <w:sz w:val="13"/>
          <w:szCs w:val="13"/>
          <w:color w:val="auto"/>
        </w:rPr>
        <w:t>respectively. Professional services include process and workflow consulting services and development services. Professional services, when sold with transactional service arrangements, are accounted for separately when the professional services have value to the customer on a standalone basis and there is objective and reliable evidence of fair value of the professional services. When accounted for separately, professional service revenues are recognized on a monthly basis, as services are performed and all other elements of revenue recognition have been satisfied.</w:t>
      </w:r>
    </w:p>
    <w:p>
      <w:pPr>
        <w:spacing w:after="0" w:line="70"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In addition, in determining whether professional service revenues can be accounted for separately from transaction service revenues, the Company considers the following factors for each professional services agreement: availability of the consulting services from other vendors, whether objective and reliable evidence of fair value exists for these services and the undelivered transaction revenues, the nature of the consulting services, the timing of when the consulting contract was signed in comparison to the transaction service start date and the contractual independence of the transactional service from the professional services.</w:t>
      </w:r>
    </w:p>
    <w:p>
      <w:pPr>
        <w:spacing w:after="0" w:line="69" w:lineRule="exact"/>
        <w:rPr>
          <w:sz w:val="20"/>
          <w:szCs w:val="20"/>
          <w:color w:val="auto"/>
        </w:rPr>
      </w:pPr>
    </w:p>
    <w:p>
      <w:pPr>
        <w:ind w:left="680" w:right="180" w:firstLine="399"/>
        <w:spacing w:after="0" w:line="279" w:lineRule="auto"/>
        <w:rPr>
          <w:sz w:val="20"/>
          <w:szCs w:val="20"/>
          <w:color w:val="auto"/>
        </w:rPr>
      </w:pPr>
      <w:r>
        <w:rPr>
          <w:rFonts w:ascii="Arial" w:cs="Arial" w:eastAsia="Arial" w:hAnsi="Arial"/>
          <w:sz w:val="13"/>
          <w:szCs w:val="13"/>
          <w:color w:val="auto"/>
        </w:rPr>
        <w:t>If a professional service arrangement does not qualify for separate accounting, the Company would recognize the professional service revenues ratably over the remaining term of the transaction contract. For the years ended December 31, 2007, 2006 and 2005, all professional services have been accounted for separately.</w:t>
      </w:r>
    </w:p>
    <w:p>
      <w:pPr>
        <w:spacing w:after="0" w:line="58" w:lineRule="exact"/>
        <w:rPr>
          <w:sz w:val="20"/>
          <w:szCs w:val="20"/>
          <w:color w:val="auto"/>
        </w:rPr>
      </w:pPr>
    </w:p>
    <w:p>
      <w:pPr>
        <w:jc w:val="both"/>
        <w:ind w:left="680" w:right="60" w:firstLine="399"/>
        <w:spacing w:after="0" w:line="266" w:lineRule="auto"/>
        <w:rPr>
          <w:sz w:val="20"/>
          <w:szCs w:val="20"/>
          <w:color w:val="auto"/>
        </w:rPr>
      </w:pPr>
      <w:r>
        <w:rPr>
          <w:rFonts w:ascii="Arial" w:cs="Arial" w:eastAsia="Arial" w:hAnsi="Arial"/>
          <w:sz w:val="13"/>
          <w:szCs w:val="13"/>
          <w:i w:val="1"/>
          <w:iCs w:val="1"/>
          <w:color w:val="auto"/>
        </w:rPr>
        <w:t xml:space="preserve">Subscription Service Arrangements: </w:t>
      </w:r>
      <w:r>
        <w:rPr>
          <w:rFonts w:ascii="Arial" w:cs="Arial" w:eastAsia="Arial" w:hAnsi="Arial"/>
          <w:sz w:val="13"/>
          <w:szCs w:val="13"/>
          <w:color w:val="auto"/>
        </w:rPr>
        <w:t>Subscription service arrangements which are generally based upon fixed fees represent approximately 1%, 2% and 6% of net revenues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years ended December 31, 2007, 2006 and 2005, respectively, and relate principally to the Company’s enterprise portal management services. The Company records revenues on a straight-line basis over the life of the contract for its subscription service contracts.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Service Level Standards</w:t>
      </w:r>
    </w:p>
    <w:p>
      <w:pPr>
        <w:spacing w:after="0" w:line="98" w:lineRule="exact"/>
        <w:rPr>
          <w:sz w:val="20"/>
          <w:szCs w:val="20"/>
          <w:color w:val="auto"/>
        </w:rPr>
      </w:pPr>
    </w:p>
    <w:p>
      <w:pPr>
        <w:jc w:val="both"/>
        <w:ind w:left="680" w:right="80" w:firstLine="399"/>
        <w:spacing w:after="0" w:line="266" w:lineRule="auto"/>
        <w:rPr>
          <w:sz w:val="20"/>
          <w:szCs w:val="20"/>
          <w:color w:val="auto"/>
        </w:rPr>
      </w:pPr>
      <w:r>
        <w:rPr>
          <w:rFonts w:ascii="Arial" w:cs="Arial" w:eastAsia="Arial" w:hAnsi="Arial"/>
          <w:sz w:val="13"/>
          <w:szCs w:val="13"/>
          <w:color w:val="auto"/>
        </w:rPr>
        <w:t>Pursuant to certain contracts, the Company is subject to service level standards and to corresponding penalties for failure to meet those standards. All performance-related penalties are reflected as a corresponding reduction of our revenues. These penalties, if applicable, are recorded in the month incurred and were insignificant for the years ended December 31, 2007, 2006 and 2005, respectively.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98" w:lineRule="exact"/>
        <w:rPr>
          <w:sz w:val="20"/>
          <w:szCs w:val="20"/>
          <w:color w:val="auto"/>
        </w:rPr>
      </w:pPr>
    </w:p>
    <w:p>
      <w:pPr>
        <w:ind w:left="680" w:right="160" w:firstLine="399"/>
        <w:spacing w:after="0" w:line="324" w:lineRule="auto"/>
        <w:rPr>
          <w:sz w:val="20"/>
          <w:szCs w:val="20"/>
          <w:color w:val="auto"/>
        </w:rPr>
      </w:pPr>
      <w:r>
        <w:rPr>
          <w:rFonts w:ascii="Arial" w:cs="Arial" w:eastAsia="Arial" w:hAnsi="Arial"/>
          <w:sz w:val="11"/>
          <w:szCs w:val="11"/>
          <w:color w:val="auto"/>
        </w:rPr>
        <w:t>The Company’s financial instruments that are exposed to concentration of credit risk consist primarily of cash and cash equivalents, marketable securities and accounts receivable. The Company maintains its cash and cash equivalents in bank accounts, which, at times, exceed federally insured limits. The Company deposits its excess cash in high-quality financial instruments, primarily money market funds. The Company has not recognized any losses in such accounts. The Company believes it is not exposed to significant credit risk on cash, cash equivalents and marketable securities. Concentration of credit risk with respect to accounts receivable is limited because of the creditworthiness of the Company’s major customers.</w:t>
      </w:r>
    </w:p>
    <w:p>
      <w:pPr>
        <w:spacing w:after="0" w:line="39"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color w:val="auto"/>
        </w:rPr>
        <w:t>The Company’s top five customers accounted for 95%, 95% and 99% of net revenues for 2007, 2006 and 2005, respectively. The Company’s top five customers accounted for 95% and 90% of accounts receivable at December 31, 2007 and 2006, respectively. We are the primary provider of e-commerce transaction management solutions to AT&amp;T Mobility LLC (formerly Cingular Wireless), the Company’s largest customer, under an agreement which runs through January of 2009 that automatically will be renewed for an additional twelve months unless either party</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60" w:lineRule="exact"/>
        <w:rPr>
          <w:sz w:val="20"/>
          <w:szCs w:val="20"/>
          <w:color w:val="auto"/>
        </w:rPr>
      </w:pPr>
    </w:p>
    <w:p>
      <w:pPr>
        <w:ind w:left="680" w:right="40"/>
        <w:spacing w:after="0" w:line="279" w:lineRule="auto"/>
        <w:rPr>
          <w:sz w:val="20"/>
          <w:szCs w:val="20"/>
          <w:color w:val="auto"/>
        </w:rPr>
      </w:pPr>
      <w:r>
        <w:rPr>
          <w:rFonts w:ascii="Arial" w:cs="Arial" w:eastAsia="Arial" w:hAnsi="Arial"/>
          <w:sz w:val="13"/>
          <w:szCs w:val="13"/>
          <w:color w:val="auto"/>
        </w:rPr>
        <w:t>terminates prior to November 1, 2008. Under the terms of this agreement, AT&amp;T Mobility LLC may terminate its relationship with us for convenience, although we believe AT&amp;T Mobility LLC would encounter substantial costs in replacing our transaction management solution.</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8" w:lineRule="exact"/>
        <w:rPr>
          <w:sz w:val="20"/>
          <w:szCs w:val="20"/>
          <w:color w:val="auto"/>
        </w:rPr>
      </w:pPr>
    </w:p>
    <w:p>
      <w:pPr>
        <w:ind w:left="680" w:right="160" w:firstLine="399"/>
        <w:spacing w:after="0" w:line="266" w:lineRule="auto"/>
        <w:rPr>
          <w:sz w:val="20"/>
          <w:szCs w:val="20"/>
          <w:color w:val="auto"/>
        </w:rPr>
      </w:pPr>
      <w:r>
        <w:rPr>
          <w:rFonts w:ascii="Arial" w:cs="Arial" w:eastAsia="Arial" w:hAnsi="Arial"/>
          <w:sz w:val="13"/>
          <w:szCs w:val="13"/>
          <w:color w:val="auto"/>
        </w:rPr>
        <w:t xml:space="preserve">Statement of Financial Accounting Standards (“SFAS”) No. 107, </w:t>
      </w:r>
      <w:r>
        <w:rPr>
          <w:rFonts w:ascii="Arial" w:cs="Arial" w:eastAsia="Arial" w:hAnsi="Arial"/>
          <w:sz w:val="13"/>
          <w:szCs w:val="13"/>
          <w:i w:val="1"/>
          <w:iCs w:val="1"/>
          <w:color w:val="auto"/>
        </w:rPr>
        <w:t>Disclosures about Fair Value of Financial Instruments</w:t>
      </w:r>
      <w:r>
        <w:rPr>
          <w:rFonts w:ascii="Arial" w:cs="Arial" w:eastAsia="Arial" w:hAnsi="Arial"/>
          <w:sz w:val="13"/>
          <w:szCs w:val="13"/>
          <w:color w:val="auto"/>
        </w:rPr>
        <w:t>, requires disclosures of fair value information about financial instruments, whether or not recognized in the balance sheet, for which it is practicable to estimate that value. Due to their short-term nature, the carrying amounts reported in the financial statements approximate the fair value for cash and cash equivalents, accounts receivable and accounts payable.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considers all highly liquid investments purchased with a maturity of three months or less at the date of acquisition to be cash equivalents.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Marketable Securities</w:t>
      </w:r>
    </w:p>
    <w:p>
      <w:pPr>
        <w:spacing w:after="0" w:line="98" w:lineRule="exact"/>
        <w:rPr>
          <w:sz w:val="20"/>
          <w:szCs w:val="20"/>
          <w:color w:val="auto"/>
        </w:rPr>
      </w:pPr>
    </w:p>
    <w:p>
      <w:pPr>
        <w:ind w:left="680" w:firstLine="399"/>
        <w:spacing w:after="0" w:line="284" w:lineRule="auto"/>
        <w:rPr>
          <w:sz w:val="20"/>
          <w:szCs w:val="20"/>
          <w:color w:val="auto"/>
        </w:rPr>
      </w:pPr>
      <w:r>
        <w:rPr>
          <w:rFonts w:ascii="Arial" w:cs="Arial" w:eastAsia="Arial" w:hAnsi="Arial"/>
          <w:sz w:val="12"/>
          <w:szCs w:val="12"/>
          <w:color w:val="auto"/>
        </w:rPr>
        <w:t xml:space="preserve">Marketable securities consist of fixed income investments with a maturity of greater than three months and other highly liquid investments that can be readily purchased or sold using established markets. In accordance with SFAS No. 115, </w:t>
      </w:r>
      <w:r>
        <w:rPr>
          <w:rFonts w:ascii="Arial" w:cs="Arial" w:eastAsia="Arial" w:hAnsi="Arial"/>
          <w:sz w:val="12"/>
          <w:szCs w:val="12"/>
          <w:i w:val="1"/>
          <w:iCs w:val="1"/>
          <w:color w:val="auto"/>
        </w:rPr>
        <w:t>Accounting for Certain Investments in Debt and Equity Securities</w:t>
      </w:r>
      <w:r>
        <w:rPr>
          <w:rFonts w:ascii="Arial" w:cs="Arial" w:eastAsia="Arial" w:hAnsi="Arial"/>
          <w:sz w:val="12"/>
          <w:szCs w:val="12"/>
          <w:color w:val="auto"/>
        </w:rPr>
        <w:t>, these investments are classified as available-for-sale and are reported at fair value on the Company’s balance sheet. The Company classifies its securities with maturity dates of 12 months or more as long term. Unrealized holding gains and losses are reported within accumulated other comprehensive loss as a separate component of stockholders’ equity. If a decline in the fair value of a marketable security below the Company’s cost basis is determined to be other than temporary, such marketable security is written down to its estimated fair value as a new cost basis and the amount of the write-down is included in earnings as an impairment charge. No other than temporary impairment charges have been recorded in any of the periods presented herein.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Accounts Receivable and Allowance for Doubtful Accounts</w:t>
      </w:r>
    </w:p>
    <w:p>
      <w:pPr>
        <w:spacing w:after="0" w:line="98" w:lineRule="exact"/>
        <w:rPr>
          <w:sz w:val="20"/>
          <w:szCs w:val="20"/>
          <w:color w:val="auto"/>
        </w:rPr>
      </w:pPr>
    </w:p>
    <w:p>
      <w:pPr>
        <w:ind w:left="680" w:right="100" w:firstLine="399"/>
        <w:spacing w:after="0" w:line="266" w:lineRule="auto"/>
        <w:rPr>
          <w:sz w:val="20"/>
          <w:szCs w:val="20"/>
          <w:color w:val="auto"/>
        </w:rPr>
      </w:pPr>
      <w:r>
        <w:rPr>
          <w:rFonts w:ascii="Arial" w:cs="Arial" w:eastAsia="Arial" w:hAnsi="Arial"/>
          <w:sz w:val="13"/>
          <w:szCs w:val="13"/>
          <w:color w:val="auto"/>
        </w:rPr>
        <w:t>Accounts receivable consist of amounts due to the Company from normal business activities. The Company maintains an allowance for estimated losses resulting from the inability of its customers to make required payments. The Company estimates uncollectible amounts based upon historical bad debts, current customer receivable balances, the age of customer receivable balances, the customer’s financial condition and current economic trends.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w:t>
      </w:r>
    </w:p>
    <w:p>
      <w:pPr>
        <w:spacing w:after="0" w:line="98"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3"/>
          <w:szCs w:val="13"/>
          <w:color w:val="auto"/>
        </w:rPr>
        <w:t>Property and equipment and leasehold improvements are stated at cost, net of accumulated depreciation. Depreciation is computed using the straight-line method over the estimated useful lives of the assets, which range from 3 to 5 years, or the lesser of the related initial term of the lease or useful life for leasehold improvements.</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Expenditures for routine maintenance and repairs are charged against operations. Major replacements, improvements and additions are capitalized.</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Long-Lived Assets</w:t>
      </w:r>
    </w:p>
    <w:p>
      <w:pPr>
        <w:spacing w:after="0" w:line="98"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 xml:space="preserve">In accordance with SFAS No. 144, </w:t>
      </w:r>
      <w:r>
        <w:rPr>
          <w:rFonts w:ascii="Arial" w:cs="Arial" w:eastAsia="Arial" w:hAnsi="Arial"/>
          <w:sz w:val="13"/>
          <w:szCs w:val="13"/>
          <w:i w:val="1"/>
          <w:iCs w:val="1"/>
          <w:color w:val="auto"/>
        </w:rPr>
        <w:t>Accounting for the Impairment or Disposal of Long-Lived Assets</w:t>
      </w:r>
      <w:r>
        <w:rPr>
          <w:rFonts w:ascii="Arial" w:cs="Arial" w:eastAsia="Arial" w:hAnsi="Arial"/>
          <w:sz w:val="13"/>
          <w:szCs w:val="13"/>
          <w:color w:val="auto"/>
        </w:rPr>
        <w:t>, a review of long-lived assets for impairment is performed when events or changes in circumstances indicate that the carrying value of such assets may not be recoverable. If an indication of impairment is present, the Company compares the estimated undiscounted future cash flows to be generated by the asset to the asset’s carrying amount. If the undiscounted future cash flows are less than the carrying amount of the asset, the Company records an impairment</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60" w:lineRule="exact"/>
        <w:rPr>
          <w:sz w:val="20"/>
          <w:szCs w:val="20"/>
          <w:color w:val="auto"/>
        </w:rPr>
      </w:pPr>
    </w:p>
    <w:p>
      <w:pPr>
        <w:ind w:left="680" w:right="360"/>
        <w:spacing w:after="0" w:line="322" w:lineRule="auto"/>
        <w:rPr>
          <w:sz w:val="20"/>
          <w:szCs w:val="20"/>
          <w:color w:val="auto"/>
        </w:rPr>
      </w:pPr>
      <w:r>
        <w:rPr>
          <w:rFonts w:ascii="Arial" w:cs="Arial" w:eastAsia="Arial" w:hAnsi="Arial"/>
          <w:sz w:val="12"/>
          <w:szCs w:val="12"/>
          <w:color w:val="auto"/>
        </w:rPr>
        <w:t>loss equal to the amount by which the asset’s carrying amount exceeds its fair value. The fair value is determined based on valuation techniques such as a comparison to fair values of similar assets or using a discounted cash flow analysis. There were no impairment charges recognized during the years ended December 31, 2007, 2006 and 2005.</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Services</w:t>
      </w:r>
    </w:p>
    <w:p>
      <w:pPr>
        <w:spacing w:after="0" w:line="98" w:lineRule="exact"/>
        <w:rPr>
          <w:sz w:val="20"/>
          <w:szCs w:val="20"/>
          <w:color w:val="auto"/>
        </w:rPr>
      </w:pPr>
    </w:p>
    <w:p>
      <w:pPr>
        <w:ind w:left="680" w:right="220" w:firstLine="399"/>
        <w:spacing w:after="0" w:line="279" w:lineRule="auto"/>
        <w:rPr>
          <w:sz w:val="20"/>
          <w:szCs w:val="20"/>
          <w:color w:val="auto"/>
        </w:rPr>
      </w:pPr>
      <w:r>
        <w:rPr>
          <w:rFonts w:ascii="Arial" w:cs="Arial" w:eastAsia="Arial" w:hAnsi="Arial"/>
          <w:sz w:val="13"/>
          <w:szCs w:val="13"/>
          <w:color w:val="auto"/>
        </w:rPr>
        <w:t>Cost of services includes all direct materials, direct labor and those indirect costs related to revenues such as indirect labor, materials and supplies and facilities cost, exclusive of depreciation expense.</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98"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Research and development costs are expensed as incurred, unless they meet GAAP criteria for deferral and amortization. Software development costs incurred prior to the establishment of technological feasibility do not meet these criteria, and are expensed as incurred. No costs were deferred during the years ended December 31, 2007 and 2006. Research and development expense consists primarily of costs related to personnel, including salaries and other personnel-related expenses, consulting fees and the cost of facilities, computer and support services used in service technology development. The Company also expenses costs relating to developing modifications and minor enhancements of its existing technology and services.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Advertising</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expenses advertising as incurred. Advertising expenses were insignificant for the years ended December 31, 2007, 2006 and 2005, respectively.</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8" w:lineRule="exact"/>
        <w:rPr>
          <w:sz w:val="20"/>
          <w:szCs w:val="20"/>
          <w:color w:val="auto"/>
        </w:rPr>
      </w:pPr>
    </w:p>
    <w:p>
      <w:pPr>
        <w:ind w:left="680" w:right="260" w:firstLine="399"/>
        <w:spacing w:after="0" w:line="262" w:lineRule="auto"/>
        <w:rPr>
          <w:sz w:val="20"/>
          <w:szCs w:val="20"/>
          <w:color w:val="auto"/>
        </w:rPr>
      </w:pPr>
      <w:r>
        <w:rPr>
          <w:rFonts w:ascii="Arial" w:cs="Arial" w:eastAsia="Arial" w:hAnsi="Arial"/>
          <w:sz w:val="13"/>
          <w:szCs w:val="13"/>
          <w:color w:val="auto"/>
        </w:rPr>
        <w:t xml:space="preserve">The Company accounts for income taxes in accordance with SFAS No. 109, </w:t>
      </w:r>
      <w:r>
        <w:rPr>
          <w:rFonts w:ascii="Arial" w:cs="Arial" w:eastAsia="Arial" w:hAnsi="Arial"/>
          <w:sz w:val="13"/>
          <w:szCs w:val="13"/>
          <w:i w:val="1"/>
          <w:iCs w:val="1"/>
          <w:color w:val="auto"/>
        </w:rPr>
        <w:t>Accounting for Income Taxes.</w:t>
      </w:r>
      <w:r>
        <w:rPr>
          <w:rFonts w:ascii="Arial" w:cs="Arial" w:eastAsia="Arial" w:hAnsi="Arial"/>
          <w:sz w:val="13"/>
          <w:szCs w:val="13"/>
          <w:color w:val="auto"/>
        </w:rPr>
        <w:t xml:space="preserve"> Under SFAS No. 109, the liability method is used in accounting for income taxes. Under this method deferred income tax liabilities and assets are determined based on the difference between the financial statement carrying amounts and the tax basis of assets and liabilities using enacted tax rates in effect in the years in which the differences are expected to reverse. A valuation allowance is recorded if it is “more likely than not” that a portion or all of a deferred tax asset will not be realized.</w:t>
      </w:r>
    </w:p>
    <w:p>
      <w:pPr>
        <w:spacing w:after="0" w:line="69"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 xml:space="preserve">In June 2006, the FASB issued Interpretation No. 48, </w:t>
      </w:r>
      <w:r>
        <w:rPr>
          <w:rFonts w:ascii="Arial" w:cs="Arial" w:eastAsia="Arial" w:hAnsi="Arial"/>
          <w:sz w:val="12"/>
          <w:szCs w:val="12"/>
          <w:i w:val="1"/>
          <w:iCs w:val="1"/>
          <w:color w:val="auto"/>
        </w:rPr>
        <w:t>Accounting for Uncertainty in Income Taxes — an Interpretation of FASB Statement No. 109</w:t>
      </w:r>
      <w:r>
        <w:rPr>
          <w:rFonts w:ascii="Arial" w:cs="Arial" w:eastAsia="Arial" w:hAnsi="Arial"/>
          <w:sz w:val="12"/>
          <w:szCs w:val="12"/>
          <w:color w:val="auto"/>
        </w:rPr>
        <w:t xml:space="preserve"> (“FIN 48”) to create a single model to address accounting for uncertain tax positions. FIN 48 clarifies the accounting for income taxes, by prescribing a minimum recognition threshold a tax position is required to meet before being recognized in the financial statements. FIN 48 also provides guidance on derecognition, measurement, classification, interest and penalties, accounting in interim periods, disclosure and transition. FIN 48 is effective for fiscal years beginning after December 15, 2006. The Company adopted FIN 48 as of January 1, 2007, as required and determined that the adoption of FIN 48 did not have a material impact on our financial position and results of operations. As of December 31, 2007, the Company has total unrecognized tax benefits of $678 which includes $29 for interest related to uncertain tax positions during the year ended December 31, 2007. The Company did not have any unrecognized tax benefits as of January 1, 2007. Components of the reserve are classified as either current or long-term in the consolidated balance sheet based on when we expect each of the items to be settled. Accordingly, the Company has recorded a long-term liability of $649 that would reduce the effective tax rate if recognized. The Company records interest and penalties accrued in relation to uncertain income tax positions as a component of income tax expense. The Company did not accrue for interest or penalties as of December 31, 2006 or any period prior to 2006. Tax returns for all years 2000 and thereafter are subject to future examination by tax authorities.</w:t>
      </w:r>
    </w:p>
    <w:p>
      <w:pPr>
        <w:spacing w:after="0" w:line="61" w:lineRule="exact"/>
        <w:rPr>
          <w:sz w:val="20"/>
          <w:szCs w:val="20"/>
          <w:color w:val="auto"/>
        </w:rPr>
      </w:pPr>
    </w:p>
    <w:p>
      <w:pPr>
        <w:ind w:left="680" w:right="680" w:firstLine="399"/>
        <w:spacing w:after="0" w:line="279" w:lineRule="auto"/>
        <w:rPr>
          <w:sz w:val="20"/>
          <w:szCs w:val="20"/>
          <w:color w:val="auto"/>
        </w:rPr>
      </w:pPr>
      <w:r>
        <w:rPr>
          <w:rFonts w:ascii="Arial" w:cs="Arial" w:eastAsia="Arial" w:hAnsi="Arial"/>
          <w:sz w:val="13"/>
          <w:szCs w:val="13"/>
          <w:color w:val="auto"/>
        </w:rPr>
        <w:t>While Synchronoss believes it has identified all reasonably identified exposures and that the reserve it has established for identifiable exposures is appropriate under the circumstances, it is possible that additional exposures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60" w:lineRule="exact"/>
        <w:rPr>
          <w:sz w:val="20"/>
          <w:szCs w:val="20"/>
          <w:color w:val="auto"/>
        </w:rPr>
      </w:pPr>
    </w:p>
    <w:p>
      <w:pPr>
        <w:ind w:left="680" w:right="1260"/>
        <w:spacing w:after="0" w:line="279" w:lineRule="auto"/>
        <w:rPr>
          <w:sz w:val="20"/>
          <w:szCs w:val="20"/>
          <w:color w:val="auto"/>
        </w:rPr>
      </w:pPr>
      <w:r>
        <w:rPr>
          <w:rFonts w:ascii="Arial" w:cs="Arial" w:eastAsia="Arial" w:hAnsi="Arial"/>
          <w:sz w:val="13"/>
          <w:szCs w:val="13"/>
          <w:color w:val="auto"/>
        </w:rPr>
        <w:t>exist and that exposures may be settled at amounts different than the amounts reserved. It is also possible that changes in facts and circumstances could cause the Company to either materially increase or reduce the carrying amount of its tax reserve.</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Comprehensive Income</w:t>
      </w:r>
    </w:p>
    <w:p>
      <w:pPr>
        <w:spacing w:after="0" w:line="98" w:lineRule="exact"/>
        <w:rPr>
          <w:sz w:val="20"/>
          <w:szCs w:val="20"/>
          <w:color w:val="auto"/>
        </w:rPr>
      </w:pPr>
    </w:p>
    <w:p>
      <w:pPr>
        <w:ind w:left="680" w:right="900" w:firstLine="399"/>
        <w:spacing w:after="0" w:line="266" w:lineRule="auto"/>
        <w:rPr>
          <w:sz w:val="20"/>
          <w:szCs w:val="20"/>
          <w:color w:val="auto"/>
        </w:rPr>
      </w:pPr>
      <w:r>
        <w:rPr>
          <w:rFonts w:ascii="Arial" w:cs="Arial" w:eastAsia="Arial" w:hAnsi="Arial"/>
          <w:sz w:val="13"/>
          <w:szCs w:val="13"/>
          <w:color w:val="auto"/>
        </w:rPr>
        <w:t xml:space="preserve">SFAS No. 130, </w:t>
      </w:r>
      <w:r>
        <w:rPr>
          <w:rFonts w:ascii="Arial" w:cs="Arial" w:eastAsia="Arial" w:hAnsi="Arial"/>
          <w:sz w:val="13"/>
          <w:szCs w:val="13"/>
          <w:i w:val="1"/>
          <w:iCs w:val="1"/>
          <w:color w:val="auto"/>
        </w:rPr>
        <w:t>Reporting Comprehensive Income</w:t>
      </w:r>
      <w:r>
        <w:rPr>
          <w:rFonts w:ascii="Arial" w:cs="Arial" w:eastAsia="Arial" w:hAnsi="Arial"/>
          <w:sz w:val="13"/>
          <w:szCs w:val="13"/>
          <w:color w:val="auto"/>
        </w:rPr>
        <w:t>, requires components of other comprehensive income, including unrealized gains and losses on available-for-sale securities, to be included as part of total comprehensive income. Comprehensive income is comprised of net income and other comprehensive income. The components of comprehensive income are included in the statements of stockholders’ equity (deficiency).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Basic and Diluted Net Income Attributable to Common Stockholders per Common Share</w:t>
      </w:r>
    </w:p>
    <w:p>
      <w:pPr>
        <w:spacing w:after="0" w:line="98" w:lineRule="exact"/>
        <w:rPr>
          <w:sz w:val="20"/>
          <w:szCs w:val="20"/>
          <w:color w:val="auto"/>
        </w:rPr>
      </w:pPr>
    </w:p>
    <w:p>
      <w:pPr>
        <w:ind w:left="680" w:right="920" w:firstLine="399"/>
        <w:spacing w:after="0" w:line="291" w:lineRule="auto"/>
        <w:rPr>
          <w:sz w:val="20"/>
          <w:szCs w:val="20"/>
          <w:color w:val="auto"/>
        </w:rPr>
      </w:pPr>
      <w:r>
        <w:rPr>
          <w:rFonts w:ascii="Arial" w:cs="Arial" w:eastAsia="Arial" w:hAnsi="Arial"/>
          <w:sz w:val="12"/>
          <w:szCs w:val="12"/>
          <w:color w:val="auto"/>
        </w:rPr>
        <w:t xml:space="preserve">The Company calculates net income per share in accordance with SFAS No. 128, </w:t>
      </w:r>
      <w:r>
        <w:rPr>
          <w:rFonts w:ascii="Arial" w:cs="Arial" w:eastAsia="Arial" w:hAnsi="Arial"/>
          <w:sz w:val="12"/>
          <w:szCs w:val="12"/>
          <w:i w:val="1"/>
          <w:iCs w:val="1"/>
          <w:color w:val="auto"/>
        </w:rPr>
        <w:t>Earnings Per Share.</w:t>
      </w:r>
      <w:r>
        <w:rPr>
          <w:rFonts w:ascii="Arial" w:cs="Arial" w:eastAsia="Arial" w:hAnsi="Arial"/>
          <w:sz w:val="12"/>
          <w:szCs w:val="12"/>
          <w:color w:val="auto"/>
        </w:rPr>
        <w:t xml:space="preserve"> The Company determined that its Series A redeemable convertible preferred stock represented a participating security prior to the IPO. Because the Series A redeemable preferred convertible stock participated equally with common stock in dividends and unallocated income, the Company calculated basic earnings per share when the Company reports net income using the if-converted method, which in the Company’s circumstances, is equivalent to the two class approach required by EITF 03-6, </w:t>
      </w:r>
      <w:r>
        <w:rPr>
          <w:rFonts w:ascii="Arial" w:cs="Arial" w:eastAsia="Arial" w:hAnsi="Arial"/>
          <w:sz w:val="12"/>
          <w:szCs w:val="12"/>
          <w:i w:val="1"/>
          <w:iCs w:val="1"/>
          <w:color w:val="auto"/>
        </w:rPr>
        <w:t>Participating Securities and the Two — Class Method under FASB Statement No. 128.</w:t>
      </w:r>
    </w:p>
    <w:p>
      <w:pPr>
        <w:spacing w:after="0" w:line="53" w:lineRule="exact"/>
        <w:rPr>
          <w:sz w:val="20"/>
          <w:szCs w:val="20"/>
          <w:color w:val="auto"/>
        </w:rPr>
      </w:pPr>
    </w:p>
    <w:p>
      <w:pPr>
        <w:ind w:left="680" w:right="860" w:firstLine="399"/>
        <w:spacing w:after="0" w:line="262" w:lineRule="auto"/>
        <w:rPr>
          <w:sz w:val="20"/>
          <w:szCs w:val="20"/>
          <w:color w:val="auto"/>
        </w:rPr>
      </w:pPr>
      <w:r>
        <w:rPr>
          <w:rFonts w:ascii="Arial" w:cs="Arial" w:eastAsia="Arial" w:hAnsi="Arial"/>
          <w:sz w:val="13"/>
          <w:szCs w:val="13"/>
          <w:color w:val="auto"/>
        </w:rPr>
        <w:t>In connection with the Company’s IPO, all of the Company’s Series A and Series 1 redeemable convertible preferred stock was automatically converted into common stock. Since the Series A redeemable convertible preferred stock participated in dividend rights on a one-for-one basis with common stockholders, the security was included in the denominator of basic earnings per share for the period such preferred stock was outstanding. The Company’s Series 1 redeemable convertible preferred stock was included in the denominator of diluted earnings per share for the period it was outstanding.</w:t>
      </w:r>
    </w:p>
    <w:p>
      <w:pPr>
        <w:spacing w:after="0" w:line="69" w:lineRule="exact"/>
        <w:rPr>
          <w:sz w:val="20"/>
          <w:szCs w:val="20"/>
          <w:color w:val="auto"/>
        </w:rPr>
      </w:pPr>
    </w:p>
    <w:p>
      <w:pPr>
        <w:ind w:left="680" w:right="960" w:firstLine="399"/>
        <w:spacing w:after="0" w:line="322" w:lineRule="auto"/>
        <w:rPr>
          <w:sz w:val="20"/>
          <w:szCs w:val="20"/>
          <w:color w:val="auto"/>
        </w:rPr>
      </w:pPr>
      <w:r>
        <w:rPr>
          <w:rFonts w:ascii="Arial" w:cs="Arial" w:eastAsia="Arial" w:hAnsi="Arial"/>
          <w:sz w:val="12"/>
          <w:szCs w:val="12"/>
          <w:color w:val="auto"/>
        </w:rPr>
        <w:t>The following table provides a reconciliation of the numerator and denominator used in computing basic and diluted net income attributable to common stockholders per common share. Stock options that are anti-dilutive and excluded from the following table totaled 509, 280, and 120 for the years ended December 31, 2007, 2006 and 2005 respectively.</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w w:val="88"/>
              </w:rPr>
              <w:t>Year Ended December 31,</w:t>
            </w: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99" w:lineRule="exact"/>
              <w:rPr>
                <w:sz w:val="20"/>
                <w:szCs w:val="20"/>
                <w:color w:val="auto"/>
              </w:rPr>
            </w:pPr>
            <w:r>
              <w:rPr>
                <w:rFonts w:ascii="Arial" w:cs="Arial" w:eastAsia="Arial" w:hAnsi="Arial"/>
                <w:sz w:val="11"/>
                <w:szCs w:val="11"/>
                <w:b w:val="1"/>
                <w:bCs w:val="1"/>
                <w:color w:val="auto"/>
              </w:rPr>
              <w:t>2007</w:t>
            </w: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5"/>
              <w:spacing w:after="0" w:line="99" w:lineRule="exact"/>
              <w:rPr>
                <w:sz w:val="20"/>
                <w:szCs w:val="20"/>
                <w:color w:val="auto"/>
              </w:rPr>
            </w:pPr>
            <w:r>
              <w:rPr>
                <w:rFonts w:ascii="Arial" w:cs="Arial" w:eastAsia="Arial" w:hAnsi="Arial"/>
                <w:sz w:val="11"/>
                <w:szCs w:val="11"/>
                <w:b w:val="1"/>
                <w:bCs w:val="1"/>
                <w:color w:val="auto"/>
                <w:w w:val="97"/>
              </w:rPr>
              <w:t>2006</w:t>
            </w: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9" w:lineRule="exact"/>
              <w:rPr>
                <w:sz w:val="20"/>
                <w:szCs w:val="20"/>
                <w:color w:val="auto"/>
              </w:rPr>
            </w:pPr>
            <w:r>
              <w:rPr>
                <w:rFonts w:ascii="Arial" w:cs="Arial" w:eastAsia="Arial" w:hAnsi="Arial"/>
                <w:sz w:val="11"/>
                <w:szCs w:val="11"/>
                <w:b w:val="1"/>
                <w:bCs w:val="1"/>
                <w:color w:val="auto"/>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0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700" w:type="dxa"/>
            <w:vAlign w:val="bottom"/>
            <w:vMerge w:val="continue"/>
          </w:tcPr>
          <w:p>
            <w:pPr>
              <w:spacing w:after="0"/>
              <w:rPr>
                <w:sz w:val="13"/>
                <w:szCs w:val="13"/>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2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36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30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23,756</w:t>
            </w:r>
          </w:p>
        </w:tc>
        <w:tc>
          <w:tcPr>
            <w:tcW w:w="52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10,142</w:t>
            </w:r>
          </w:p>
        </w:tc>
        <w:tc>
          <w:tcPr>
            <w:tcW w:w="340" w:type="dxa"/>
            <w:vAlign w:val="bottom"/>
          </w:tcPr>
          <w:p>
            <w:pPr>
              <w:spacing w:after="0"/>
              <w:rPr>
                <w:sz w:val="13"/>
                <w:szCs w:val="13"/>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12,429</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Accretion of convertible preferred stock</w:t>
            </w:r>
          </w:p>
        </w:tc>
        <w:tc>
          <w:tcPr>
            <w:tcW w:w="2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360" w:type="dxa"/>
            <w:vAlign w:val="bottom"/>
            <w:vMerge w:val="restart"/>
          </w:tcPr>
          <w:p>
            <w:pPr>
              <w:ind w:left="120"/>
              <w:spacing w:after="0"/>
              <w:rPr>
                <w:sz w:val="20"/>
                <w:szCs w:val="20"/>
                <w:color w:val="auto"/>
              </w:rPr>
            </w:pPr>
            <w:r>
              <w:rPr>
                <w:rFonts w:ascii="Arial" w:cs="Arial" w:eastAsia="Arial" w:hAnsi="Arial"/>
                <w:sz w:val="13"/>
                <w:szCs w:val="13"/>
                <w:color w:val="auto"/>
              </w:rPr>
              <w:t>Net income attributable to common stockholders</w:t>
            </w:r>
          </w:p>
        </w:tc>
        <w:tc>
          <w:tcPr>
            <w:tcW w:w="2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14"/>
                <w:szCs w:val="14"/>
                <w:color w:val="auto"/>
              </w:rPr>
            </w:pPr>
          </w:p>
        </w:tc>
        <w:tc>
          <w:tcPr>
            <w:tcW w:w="4360" w:type="dxa"/>
            <w:vAlign w:val="bottom"/>
            <w:vMerge w:val="continue"/>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23,756</w:t>
            </w:r>
          </w:p>
        </w:tc>
        <w:tc>
          <w:tcPr>
            <w:tcW w:w="38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10,142</w:t>
            </w:r>
          </w:p>
        </w:tc>
        <w:tc>
          <w:tcPr>
            <w:tcW w:w="34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12,395</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00" w:type="dxa"/>
            <w:vAlign w:val="bottom"/>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29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360" w:type="dxa"/>
            <w:vAlign w:val="bottom"/>
          </w:tcPr>
          <w:p>
            <w:pPr>
              <w:ind w:left="120"/>
              <w:spacing w:after="0"/>
              <w:rPr>
                <w:sz w:val="20"/>
                <w:szCs w:val="20"/>
                <w:color w:val="auto"/>
              </w:rPr>
            </w:pPr>
            <w:r>
              <w:rPr>
                <w:rFonts w:ascii="Arial" w:cs="Arial" w:eastAsia="Arial" w:hAnsi="Arial"/>
                <w:sz w:val="13"/>
                <w:szCs w:val="13"/>
                <w:color w:val="auto"/>
              </w:rPr>
              <w:t>Weighted average common shares outstanding</w:t>
            </w:r>
          </w:p>
        </w:tc>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32,215</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21,869</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10.367</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Conversion of Series A redeemable convertible preferred stock</w:t>
            </w:r>
          </w:p>
        </w:tc>
        <w:tc>
          <w:tcPr>
            <w:tcW w:w="29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5,379</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11,549</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4360" w:type="dxa"/>
            <w:vAlign w:val="bottom"/>
          </w:tcPr>
          <w:p>
            <w:pPr>
              <w:ind w:left="120"/>
              <w:spacing w:after="0"/>
              <w:rPr>
                <w:sz w:val="20"/>
                <w:szCs w:val="20"/>
                <w:color w:val="auto"/>
              </w:rPr>
            </w:pPr>
            <w:r>
              <w:rPr>
                <w:rFonts w:ascii="Arial" w:cs="Arial" w:eastAsia="Arial" w:hAnsi="Arial"/>
                <w:sz w:val="13"/>
                <w:szCs w:val="13"/>
                <w:color w:val="auto"/>
              </w:rPr>
              <w:t>Weighted average common shares outstanding — basic</w:t>
            </w:r>
          </w:p>
        </w:tc>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32,215</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27,248</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21,916</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Dilutive effect of:</w:t>
            </w:r>
          </w:p>
        </w:tc>
        <w:tc>
          <w:tcPr>
            <w:tcW w:w="2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360" w:type="dxa"/>
            <w:vAlign w:val="bottom"/>
          </w:tcPr>
          <w:p>
            <w:pPr>
              <w:ind w:left="120"/>
              <w:spacing w:after="0"/>
              <w:rPr>
                <w:sz w:val="20"/>
                <w:szCs w:val="20"/>
                <w:color w:val="auto"/>
              </w:rPr>
            </w:pPr>
            <w:r>
              <w:rPr>
                <w:rFonts w:ascii="Arial" w:cs="Arial" w:eastAsia="Arial" w:hAnsi="Arial"/>
                <w:sz w:val="13"/>
                <w:szCs w:val="13"/>
                <w:color w:val="auto"/>
              </w:rPr>
              <w:t>Options, restricted shares and warrants</w:t>
            </w:r>
          </w:p>
        </w:tc>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1,160</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1,016</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1,005</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Conversion of Series 1 convertible preferred stock into common stock</w:t>
            </w:r>
          </w:p>
        </w:tc>
        <w:tc>
          <w:tcPr>
            <w:tcW w:w="29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932</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4360" w:type="dxa"/>
            <w:vAlign w:val="bottom"/>
          </w:tcPr>
          <w:p>
            <w:pPr>
              <w:ind w:left="120"/>
              <w:spacing w:after="0"/>
              <w:rPr>
                <w:sz w:val="20"/>
                <w:szCs w:val="20"/>
                <w:color w:val="auto"/>
              </w:rPr>
            </w:pPr>
            <w:r>
              <w:rPr>
                <w:rFonts w:ascii="Arial" w:cs="Arial" w:eastAsia="Arial" w:hAnsi="Arial"/>
                <w:sz w:val="13"/>
                <w:szCs w:val="13"/>
                <w:color w:val="auto"/>
              </w:rPr>
              <w:t>Weighted average common shares outstanding — diluted</w:t>
            </w:r>
          </w:p>
        </w:tc>
        <w:tc>
          <w:tcPr>
            <w:tcW w:w="2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33,375</w:t>
            </w: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29,196</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24,921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7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920" w:type="dxa"/>
            <w:vAlign w:val="bottom"/>
          </w:tcPr>
          <w:p>
            <w:pPr>
              <w:jc w:val="right"/>
              <w:ind w:right="2174"/>
              <w:spacing w:after="0"/>
              <w:rPr>
                <w:sz w:val="20"/>
                <w:szCs w:val="20"/>
                <w:color w:val="auto"/>
              </w:rPr>
            </w:pPr>
            <w:r>
              <w:rPr>
                <w:rFonts w:ascii="Arial" w:cs="Arial" w:eastAsia="Arial" w:hAnsi="Arial"/>
                <w:sz w:val="13"/>
                <w:szCs w:val="13"/>
                <w:color w:val="auto"/>
              </w:rPr>
              <w:t>46</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4360" w:type="dxa"/>
            <w:vAlign w:val="bottom"/>
            <w:tcBorders>
              <w:bottom w:val="single" w:sz="8" w:color="808080"/>
            </w:tcBorders>
          </w:tcPr>
          <w:p>
            <w:pPr>
              <w:spacing w:after="0"/>
              <w:rPr>
                <w:sz w:val="14"/>
                <w:szCs w:val="14"/>
                <w:color w:val="auto"/>
              </w:rPr>
            </w:pPr>
          </w:p>
        </w:tc>
        <w:tc>
          <w:tcPr>
            <w:tcW w:w="29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6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8" w:lineRule="exact"/>
        <w:rPr>
          <w:sz w:val="20"/>
          <w:szCs w:val="20"/>
          <w:color w:val="auto"/>
        </w:rPr>
      </w:pPr>
    </w:p>
    <w:p>
      <w:pPr>
        <w:ind w:left="680" w:firstLine="399"/>
        <w:spacing w:after="0" w:line="259" w:lineRule="auto"/>
        <w:rPr>
          <w:sz w:val="20"/>
          <w:szCs w:val="20"/>
          <w:color w:val="auto"/>
        </w:rPr>
      </w:pPr>
      <w:r>
        <w:rPr>
          <w:rFonts w:ascii="Arial" w:cs="Arial" w:eastAsia="Arial" w:hAnsi="Arial"/>
          <w:sz w:val="13"/>
          <w:szCs w:val="13"/>
          <w:color w:val="auto"/>
        </w:rPr>
        <w:t xml:space="preserve">As of December 31, 2007, the Company maintains two stock-based compensation plans. Prior to January 1, 2006, the Company was applying the disclosure only provisions of SFAS No. 123, </w:t>
      </w:r>
      <w:r>
        <w:rPr>
          <w:rFonts w:ascii="Arial" w:cs="Arial" w:eastAsia="Arial" w:hAnsi="Arial"/>
          <w:sz w:val="13"/>
          <w:szCs w:val="13"/>
          <w:i w:val="1"/>
          <w:iCs w:val="1"/>
          <w:color w:val="auto"/>
        </w:rPr>
        <w:t>Accounting for Stock-Based Compensation</w:t>
      </w:r>
      <w:r>
        <w:rPr>
          <w:rFonts w:ascii="Arial" w:cs="Arial" w:eastAsia="Arial" w:hAnsi="Arial"/>
          <w:sz w:val="13"/>
          <w:szCs w:val="13"/>
          <w:color w:val="auto"/>
        </w:rPr>
        <w:t xml:space="preserve"> (“SFAS 123”). Compensation cost is recognized for all share-based payments granted subsequent to January 1, 2006 and is based on the grant-date fair value estimated in accordance with the provisions of SFAS 123(R). Under SFAS 123(R), an equity instrument is not considered to be issued until the instrument vests. As a result, compensation cost is recognized over the requisite service period with an offsetting credit to additional paid-in capital. Compensation expense also includes the amortization on a straight-line basis over the remaining vesting period of the intrinsic values of the stock options granted prior to 2006 calculated in accordance with </w:t>
      </w:r>
      <w:r>
        <w:rPr>
          <w:rFonts w:ascii="Arial" w:cs="Arial" w:eastAsia="Arial" w:hAnsi="Arial"/>
          <w:sz w:val="13"/>
          <w:szCs w:val="13"/>
          <w:i w:val="1"/>
          <w:iCs w:val="1"/>
          <w:color w:val="auto"/>
        </w:rPr>
        <w:t>Accounting for Stock Issued to</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Employees </w:t>
      </w:r>
      <w:r>
        <w:rPr>
          <w:rFonts w:ascii="Arial" w:cs="Arial" w:eastAsia="Arial" w:hAnsi="Arial"/>
          <w:sz w:val="13"/>
          <w:szCs w:val="13"/>
          <w:color w:val="auto"/>
        </w:rPr>
        <w:t>(“APB 25”).</w:t>
      </w:r>
    </w:p>
    <w:p>
      <w:pPr>
        <w:spacing w:after="0" w:line="70" w:lineRule="exact"/>
        <w:rPr>
          <w:sz w:val="20"/>
          <w:szCs w:val="20"/>
          <w:color w:val="auto"/>
        </w:rPr>
      </w:pPr>
    </w:p>
    <w:p>
      <w:pPr>
        <w:ind w:left="680" w:right="120" w:firstLine="399"/>
        <w:spacing w:after="0" w:line="262" w:lineRule="auto"/>
        <w:rPr>
          <w:sz w:val="20"/>
          <w:szCs w:val="20"/>
          <w:color w:val="auto"/>
        </w:rPr>
      </w:pPr>
      <w:r>
        <w:rPr>
          <w:rFonts w:ascii="Arial" w:cs="Arial" w:eastAsia="Arial" w:hAnsi="Arial"/>
          <w:sz w:val="13"/>
          <w:szCs w:val="13"/>
          <w:color w:val="auto"/>
        </w:rPr>
        <w:t>Prior to the adoption of SFAS 123(R), the Company presented its unamortized portion of deferred compensation cost for non-vested stock options in the statement of changes in shareholders deficiency with a corresponding credit to additional paid-in capital. The Company classifies benefits of tax deductions in excess of the compensation cost recognized (excess tax benefits) as a financing cash inflow with a corresponding operating cash outflow. For the year ended December 31, 2007, the Company included $2,960 of excess tax benefits as a financing cash inflow.</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Impact of Recently Issued Accounting Standards</w:t>
      </w:r>
    </w:p>
    <w:p>
      <w:pPr>
        <w:spacing w:after="0" w:line="98"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 xml:space="preserve">In September 2006, the FASB issued Statement 157, </w:t>
      </w:r>
      <w:r>
        <w:rPr>
          <w:rFonts w:ascii="Arial" w:cs="Arial" w:eastAsia="Arial" w:hAnsi="Arial"/>
          <w:sz w:val="13"/>
          <w:szCs w:val="13"/>
          <w:i w:val="1"/>
          <w:iCs w:val="1"/>
          <w:color w:val="auto"/>
        </w:rPr>
        <w:t>Fair Value Measurement</w:t>
      </w:r>
      <w:r>
        <w:rPr>
          <w:rFonts w:ascii="Arial" w:cs="Arial" w:eastAsia="Arial" w:hAnsi="Arial"/>
          <w:sz w:val="13"/>
          <w:szCs w:val="13"/>
          <w:color w:val="auto"/>
        </w:rPr>
        <w:t xml:space="preserve"> (“Statement 157”). Statement 157 defines fair value, establishes a framework for measuring fair value in generally accepted accounting principles and establishes a hierarchy that categorizes and prioritizes the sources to be used to estimate fair value. Statement 157 also expands financial statement disclosures about fair value measurements. On February 6, 2008, the FASB issued FASB Staff Position (FSP) 157-b which delays the effective date of Statement 157 for one year for all nonfinancial assets and nonfinancial liabilities, except those that are recognized or disclosed at fair value in the financial statements on a recurring basis (at least annually). Statement 157 and FSP 157-b are effective for financial statements issued for fiscal years beginning after November 15, 2007. The Company has elected a partial deferral of Statement 157 under the provisions of FSP 157-b related to the measurement of fair value used when evaluating goodwill, other intangible assets and other long-lived assets for impairment and valuing asset retirement obligations and liabilities for exit or disposal activities. The impact of partially adopting Statement 157 effective January 1, 2008 is not expected to be material to the Company’s financial statements.</w:t>
      </w:r>
    </w:p>
    <w:p>
      <w:pPr>
        <w:spacing w:after="0" w:line="74" w:lineRule="exact"/>
        <w:rPr>
          <w:sz w:val="20"/>
          <w:szCs w:val="20"/>
          <w:color w:val="auto"/>
        </w:rPr>
      </w:pPr>
    </w:p>
    <w:p>
      <w:pPr>
        <w:ind w:left="680" w:right="20" w:firstLine="399"/>
        <w:spacing w:after="0" w:line="291" w:lineRule="auto"/>
        <w:rPr>
          <w:sz w:val="20"/>
          <w:szCs w:val="20"/>
          <w:color w:val="auto"/>
        </w:rPr>
      </w:pPr>
      <w:r>
        <w:rPr>
          <w:rFonts w:ascii="Arial" w:cs="Arial" w:eastAsia="Arial" w:hAnsi="Arial"/>
          <w:sz w:val="12"/>
          <w:szCs w:val="12"/>
          <w:color w:val="auto"/>
        </w:rPr>
        <w:t xml:space="preserve">In February 2007, the FASB issued Statement 159, </w:t>
      </w:r>
      <w:r>
        <w:rPr>
          <w:rFonts w:ascii="Arial" w:cs="Arial" w:eastAsia="Arial" w:hAnsi="Arial"/>
          <w:sz w:val="12"/>
          <w:szCs w:val="12"/>
          <w:i w:val="1"/>
          <w:iCs w:val="1"/>
          <w:color w:val="auto"/>
        </w:rPr>
        <w:t>The Fair Value Option for Financial Assets and Financial Liabilities — Including an Amendment of SFAS 115</w:t>
      </w:r>
      <w:r>
        <w:rPr>
          <w:rFonts w:ascii="Arial" w:cs="Arial" w:eastAsia="Arial" w:hAnsi="Arial"/>
          <w:sz w:val="12"/>
          <w:szCs w:val="12"/>
          <w:color w:val="auto"/>
        </w:rPr>
        <w:t xml:space="preserve"> (“Statement 159”), which permits but does not require the Company to measure financial instruments and certain other items at fair value. Unrealized gains and losses on items for which the fair value option has been elected are reported in earnings. This statement is effective for financial statements issued for fiscal years beginning after November 15, 2007. As the Company has not elected to fair value any of our financial instruments under the provisions of Statement 159, the adoption of this statement will not have any impact to the Company’s financial statements.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98" w:lineRule="exact"/>
        <w:rPr>
          <w:sz w:val="20"/>
          <w:szCs w:val="20"/>
          <w:color w:val="auto"/>
        </w:rPr>
      </w:pPr>
    </w:p>
    <w:p>
      <w:pPr>
        <w:ind w:left="680" w:right="40" w:firstLine="399"/>
        <w:spacing w:after="0" w:line="324" w:lineRule="auto"/>
        <w:rPr>
          <w:sz w:val="20"/>
          <w:szCs w:val="20"/>
          <w:color w:val="auto"/>
        </w:rPr>
      </w:pPr>
      <w:r>
        <w:rPr>
          <w:rFonts w:ascii="Arial" w:cs="Arial" w:eastAsia="Arial" w:hAnsi="Arial"/>
          <w:sz w:val="11"/>
          <w:szCs w:val="11"/>
          <w:color w:val="auto"/>
        </w:rPr>
        <w:t>The Company currently operates in one business segment providing critical technology services to the communications industry. The Company is not organized by market and is managed and operated as one business. A single management team reports to the chief operating decision maker who comprehensively manages the entire business. The Company does not operate any material separate lines of business or separate business entities with respect to its services. Accordingly, the Company does not accumulate discrete financial information with respect to separate service lines and does not have separately reportable segments as defined by SFAS No. 131</w:t>
      </w:r>
      <w:r>
        <w:rPr>
          <w:rFonts w:ascii="Arial" w:cs="Arial" w:eastAsia="Arial" w:hAnsi="Arial"/>
          <w:sz w:val="11"/>
          <w:szCs w:val="11"/>
          <w:i w:val="1"/>
          <w:iCs w:val="1"/>
          <w:color w:val="auto"/>
        </w:rPr>
        <w:t>, Disclosure About Segments of an Enterprise and Related Information.</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6" w:lineRule="exact"/>
        <w:rPr>
          <w:sz w:val="20"/>
          <w:szCs w:val="20"/>
          <w:color w:val="auto"/>
        </w:rPr>
      </w:pPr>
    </w:p>
    <w:p>
      <w:pPr>
        <w:ind w:left="1000" w:hanging="313"/>
        <w:spacing w:after="0"/>
        <w:tabs>
          <w:tab w:leader="none" w:pos="100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Marketable Securities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available-for-sale securities held by the Company at December 31, 2007 and 2006. All securities held by the company are domestic:</w:t>
      </w:r>
    </w:p>
    <w:p>
      <w:pPr>
        <w:spacing w:after="0" w:line="8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18"/>
              <w:spacing w:after="0"/>
              <w:rPr>
                <w:sz w:val="20"/>
                <w:szCs w:val="20"/>
                <w:color w:val="auto"/>
              </w:rPr>
            </w:pPr>
            <w:r>
              <w:rPr>
                <w:rFonts w:ascii="Arial" w:cs="Arial" w:eastAsia="Arial" w:hAnsi="Arial"/>
                <w:sz w:val="11"/>
                <w:szCs w:val="11"/>
                <w:b w:val="1"/>
                <w:bCs w:val="1"/>
                <w:color w:val="auto"/>
                <w:w w:val="81"/>
              </w:rPr>
              <w:t>Gross</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Gross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ind w:right="38"/>
              <w:spacing w:after="0" w:line="109" w:lineRule="exact"/>
              <w:rPr>
                <w:sz w:val="20"/>
                <w:szCs w:val="20"/>
                <w:color w:val="auto"/>
              </w:rPr>
            </w:pPr>
            <w:r>
              <w:rPr>
                <w:rFonts w:ascii="Arial" w:cs="Arial" w:eastAsia="Arial" w:hAnsi="Arial"/>
                <w:sz w:val="11"/>
                <w:szCs w:val="11"/>
                <w:b w:val="1"/>
                <w:bCs w:val="1"/>
                <w:color w:val="auto"/>
                <w:w w:val="86"/>
              </w:rPr>
              <w:t>Unrealized</w:t>
            </w:r>
          </w:p>
        </w:tc>
        <w:tc>
          <w:tcPr>
            <w:tcW w:w="380" w:type="dxa"/>
            <w:vAlign w:val="bottom"/>
          </w:tcPr>
          <w:p>
            <w:pPr>
              <w:spacing w:after="0"/>
              <w:rPr>
                <w:sz w:val="9"/>
                <w:szCs w:val="9"/>
                <w:color w:val="auto"/>
              </w:rPr>
            </w:pPr>
          </w:p>
        </w:tc>
        <w:tc>
          <w:tcPr>
            <w:tcW w:w="920" w:type="dxa"/>
            <w:vAlign w:val="bottom"/>
            <w:gridSpan w:val="4"/>
          </w:tcPr>
          <w:p>
            <w:pPr>
              <w:jc w:val="right"/>
              <w:ind w:right="320"/>
              <w:spacing w:after="0" w:line="109" w:lineRule="exact"/>
              <w:rPr>
                <w:sz w:val="20"/>
                <w:szCs w:val="20"/>
                <w:color w:val="auto"/>
              </w:rPr>
            </w:pPr>
            <w:r>
              <w:rPr>
                <w:rFonts w:ascii="Arial" w:cs="Arial" w:eastAsia="Arial" w:hAnsi="Arial"/>
                <w:sz w:val="11"/>
                <w:szCs w:val="11"/>
                <w:b w:val="1"/>
                <w:bCs w:val="1"/>
                <w:color w:val="auto"/>
              </w:rPr>
              <w:t>Unrealized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center"/>
              <w:ind w:right="200"/>
              <w:spacing w:after="0" w:line="109" w:lineRule="exact"/>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jc w:val="right"/>
              <w:ind w:right="96"/>
              <w:spacing w:after="0"/>
              <w:rPr>
                <w:sz w:val="20"/>
                <w:szCs w:val="20"/>
                <w:color w:val="auto"/>
              </w:rPr>
            </w:pPr>
            <w:r>
              <w:rPr>
                <w:rFonts w:ascii="Arial" w:cs="Arial" w:eastAsia="Arial" w:hAnsi="Arial"/>
                <w:sz w:val="11"/>
                <w:szCs w:val="11"/>
                <w:b w:val="1"/>
                <w:bCs w:val="1"/>
                <w:color w:val="auto"/>
                <w:w w:val="89"/>
              </w:rPr>
              <w:t>Cost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18"/>
              <w:spacing w:after="0"/>
              <w:rPr>
                <w:sz w:val="20"/>
                <w:szCs w:val="20"/>
                <w:color w:val="auto"/>
              </w:rPr>
            </w:pPr>
            <w:r>
              <w:rPr>
                <w:rFonts w:ascii="Arial" w:cs="Arial" w:eastAsia="Arial" w:hAnsi="Arial"/>
                <w:sz w:val="11"/>
                <w:szCs w:val="11"/>
                <w:b w:val="1"/>
                <w:bCs w:val="1"/>
                <w:color w:val="auto"/>
                <w:w w:val="84"/>
              </w:rPr>
              <w:t>Gains</w:t>
            </w:r>
          </w:p>
        </w:tc>
        <w:tc>
          <w:tcPr>
            <w:tcW w:w="380" w:type="dxa"/>
            <w:vAlign w:val="bottom"/>
          </w:tcPr>
          <w:p>
            <w:pPr>
              <w:spacing w:after="0"/>
              <w:rPr>
                <w:sz w:val="10"/>
                <w:szCs w:val="10"/>
                <w:color w:val="auto"/>
              </w:rPr>
            </w:pPr>
          </w:p>
        </w:tc>
        <w:tc>
          <w:tcPr>
            <w:tcW w:w="920" w:type="dxa"/>
            <w:vAlign w:val="bottom"/>
            <w:gridSpan w:val="4"/>
          </w:tcPr>
          <w:p>
            <w:pPr>
              <w:ind w:left="200"/>
              <w:spacing w:after="0"/>
              <w:rPr>
                <w:sz w:val="20"/>
                <w:szCs w:val="20"/>
                <w:color w:val="auto"/>
              </w:rPr>
            </w:pPr>
            <w:r>
              <w:rPr>
                <w:rFonts w:ascii="Arial" w:cs="Arial" w:eastAsia="Arial" w:hAnsi="Arial"/>
                <w:sz w:val="11"/>
                <w:szCs w:val="11"/>
                <w:b w:val="1"/>
                <w:bCs w:val="1"/>
                <w:color w:val="auto"/>
              </w:rPr>
              <w:t>Losses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1"/>
              </w:rPr>
              <w:t>Value</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2007</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060" w:type="dxa"/>
            <w:vAlign w:val="bottom"/>
          </w:tcPr>
          <w:p>
            <w:pPr>
              <w:spacing w:after="0"/>
              <w:rPr>
                <w:sz w:val="20"/>
                <w:szCs w:val="20"/>
                <w:color w:val="auto"/>
              </w:rPr>
            </w:pPr>
            <w:r>
              <w:rPr>
                <w:rFonts w:ascii="Arial" w:cs="Arial" w:eastAsia="Arial" w:hAnsi="Arial"/>
                <w:sz w:val="13"/>
                <w:szCs w:val="13"/>
                <w:color w:val="auto"/>
              </w:rPr>
              <w:t>Certificates of deposit</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1,871</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w:t>
            </w:r>
          </w:p>
        </w:tc>
        <w:tc>
          <w:tcPr>
            <w:tcW w:w="580" w:type="dxa"/>
            <w:vAlign w:val="bottom"/>
            <w:gridSpan w:val="2"/>
          </w:tcPr>
          <w:p>
            <w:pPr>
              <w:jc w:val="right"/>
              <w:ind w:right="8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(2)</w:t>
            </w: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1,871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3"/>
                <w:szCs w:val="13"/>
                <w:color w:val="auto"/>
              </w:rPr>
              <w:t>Government bonds</w:t>
            </w:r>
          </w:p>
        </w:tc>
        <w:tc>
          <w:tcPr>
            <w:tcW w:w="2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1,224</w:t>
            </w:r>
          </w:p>
        </w:tc>
        <w:tc>
          <w:tcPr>
            <w:tcW w:w="4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3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3,095</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w:t>
            </w:r>
          </w:p>
        </w:tc>
        <w:tc>
          <w:tcPr>
            <w:tcW w:w="580" w:type="dxa"/>
            <w:vAlign w:val="bottom"/>
            <w:gridSpan w:val="2"/>
          </w:tcPr>
          <w:p>
            <w:pPr>
              <w:jc w:val="right"/>
              <w:ind w:right="8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(2)</w:t>
            </w: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3,101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2006</w:t>
            </w: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060" w:type="dxa"/>
            <w:vAlign w:val="bottom"/>
          </w:tcPr>
          <w:p>
            <w:pPr>
              <w:spacing w:after="0"/>
              <w:rPr>
                <w:sz w:val="20"/>
                <w:szCs w:val="20"/>
                <w:color w:val="auto"/>
              </w:rPr>
            </w:pPr>
            <w:r>
              <w:rPr>
                <w:rFonts w:ascii="Arial" w:cs="Arial" w:eastAsia="Arial" w:hAnsi="Arial"/>
                <w:sz w:val="13"/>
                <w:szCs w:val="13"/>
                <w:color w:val="auto"/>
              </w:rPr>
              <w:t>Certificates of deposit</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1,937</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580" w:type="dxa"/>
            <w:vAlign w:val="bottom"/>
            <w:gridSpan w:val="2"/>
          </w:tcPr>
          <w:p>
            <w:pPr>
              <w:jc w:val="right"/>
              <w:ind w:right="8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(6)</w:t>
            </w: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1,932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3"/>
                <w:szCs w:val="13"/>
                <w:color w:val="auto"/>
              </w:rPr>
              <w:t>Government bonds</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5,057</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w:t>
            </w:r>
          </w:p>
        </w:tc>
        <w:tc>
          <w:tcPr>
            <w:tcW w:w="580" w:type="dxa"/>
            <w:vAlign w:val="bottom"/>
            <w:gridSpan w:val="2"/>
          </w:tcPr>
          <w:p>
            <w:pPr>
              <w:jc w:val="right"/>
              <w:ind w:right="8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(13)</w:t>
            </w: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5,047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60" w:type="dxa"/>
            <w:vAlign w:val="bottom"/>
          </w:tcPr>
          <w:p>
            <w:pPr>
              <w:ind w:left="380"/>
              <w:spacing w:after="0"/>
              <w:rPr>
                <w:sz w:val="20"/>
                <w:szCs w:val="20"/>
                <w:color w:val="auto"/>
              </w:rPr>
            </w:pPr>
            <w:r>
              <w:rPr>
                <w:rFonts w:ascii="Arial" w:cs="Arial" w:eastAsia="Arial" w:hAnsi="Arial"/>
                <w:sz w:val="13"/>
                <w:szCs w:val="13"/>
                <w:color w:val="auto"/>
                <w:w w:val="94"/>
              </w:rPr>
              <w:t>The net unrealized gain/(loss) net of tax was $4 and $(6) on December 31, 2007 and 2006, respectively.</w:t>
            </w:r>
          </w:p>
        </w:tc>
        <w:tc>
          <w:tcPr>
            <w:tcW w:w="2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060" w:type="dxa"/>
            <w:vAlign w:val="bottom"/>
          </w:tcPr>
          <w:p>
            <w:pPr>
              <w:ind w:left="380"/>
              <w:spacing w:after="0"/>
              <w:rPr>
                <w:sz w:val="20"/>
                <w:szCs w:val="20"/>
                <w:color w:val="auto"/>
              </w:rPr>
            </w:pPr>
            <w:r>
              <w:rPr>
                <w:rFonts w:ascii="Arial" w:cs="Arial" w:eastAsia="Arial" w:hAnsi="Arial"/>
                <w:sz w:val="13"/>
                <w:szCs w:val="13"/>
                <w:color w:val="auto"/>
              </w:rPr>
              <w:t>The Company’s available-for-sale securities have the following maturities: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December 31,</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6"/>
              <w:spacing w:after="0" w:line="99" w:lineRule="exact"/>
              <w:rPr>
                <w:sz w:val="20"/>
                <w:szCs w:val="20"/>
                <w:color w:val="auto"/>
              </w:rPr>
            </w:pPr>
            <w:r>
              <w:rPr>
                <w:rFonts w:ascii="Arial" w:cs="Arial" w:eastAsia="Arial" w:hAnsi="Arial"/>
                <w:sz w:val="11"/>
                <w:szCs w:val="11"/>
                <w:b w:val="1"/>
                <w:bCs w:val="1"/>
                <w:color w:val="auto"/>
                <w:w w:val="97"/>
              </w:rPr>
              <w:t>2007</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center"/>
              <w:ind w:right="37"/>
              <w:spacing w:after="0" w:line="99" w:lineRule="exact"/>
              <w:rPr>
                <w:sz w:val="20"/>
                <w:szCs w:val="20"/>
                <w:color w:val="auto"/>
              </w:rPr>
            </w:pPr>
            <w:r>
              <w:rPr>
                <w:rFonts w:ascii="Arial" w:cs="Arial" w:eastAsia="Arial" w:hAnsi="Arial"/>
                <w:sz w:val="11"/>
                <w:szCs w:val="11"/>
                <w:b w:val="1"/>
                <w:bCs w:val="1"/>
                <w:color w:val="auto"/>
                <w:w w:val="81"/>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3"/>
                <w:szCs w:val="13"/>
                <w:color w:val="auto"/>
              </w:rPr>
              <w:t>Due in one year or less</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1,891</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060" w:type="dxa"/>
            <w:vAlign w:val="bottom"/>
          </w:tcPr>
          <w:p>
            <w:pPr>
              <w:spacing w:after="0"/>
              <w:rPr>
                <w:sz w:val="20"/>
                <w:szCs w:val="20"/>
                <w:color w:val="auto"/>
              </w:rPr>
            </w:pPr>
            <w:r>
              <w:rPr>
                <w:rFonts w:ascii="Arial" w:cs="Arial" w:eastAsia="Arial" w:hAnsi="Arial"/>
                <w:sz w:val="13"/>
                <w:szCs w:val="13"/>
                <w:color w:val="auto"/>
              </w:rPr>
              <w:t>Due after one year, less than five years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3,101</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940" w:firstLine="399"/>
        <w:spacing w:after="0" w:line="279" w:lineRule="auto"/>
        <w:rPr>
          <w:sz w:val="20"/>
          <w:szCs w:val="20"/>
          <w:color w:val="auto"/>
        </w:rPr>
      </w:pPr>
      <w:r>
        <w:rPr>
          <w:rFonts w:ascii="Arial" w:cs="Arial" w:eastAsia="Arial" w:hAnsi="Arial"/>
          <w:sz w:val="13"/>
          <w:szCs w:val="13"/>
          <w:color w:val="auto"/>
        </w:rPr>
        <w:t>Unrealized gains and losses are reported as a component of accumulated other comprehensive income (loss) in stockholders’ equity. For the years ended December 31, 2007, 2006 and 2005, realized gains and losses were insignificant. The cost of securities sold is based on specific identification method.</w:t>
      </w:r>
    </w:p>
    <w:p>
      <w:pPr>
        <w:spacing w:after="0" w:line="58" w:lineRule="exact"/>
        <w:rPr>
          <w:sz w:val="20"/>
          <w:szCs w:val="20"/>
          <w:color w:val="auto"/>
        </w:rPr>
      </w:pPr>
    </w:p>
    <w:p>
      <w:pPr>
        <w:ind w:left="680" w:right="1140" w:firstLine="399"/>
        <w:spacing w:after="0" w:line="279" w:lineRule="auto"/>
        <w:rPr>
          <w:sz w:val="20"/>
          <w:szCs w:val="20"/>
          <w:color w:val="auto"/>
        </w:rPr>
      </w:pPr>
      <w:r>
        <w:rPr>
          <w:rFonts w:ascii="Arial" w:cs="Arial" w:eastAsia="Arial" w:hAnsi="Arial"/>
          <w:sz w:val="13"/>
          <w:szCs w:val="13"/>
          <w:color w:val="auto"/>
        </w:rPr>
        <w:t>Unrealized losses in the Company’s portfolio relate primarily to certificates of deposit. For these securities, the net unrealized losses are due to changes in interest rates and not changes in credit risk.</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80" w:type="dxa"/>
            <w:vAlign w:val="bottom"/>
            <w:gridSpan w:val="2"/>
          </w:tcPr>
          <w:p>
            <w:pPr>
              <w:ind w:left="680"/>
              <w:spacing w:after="0"/>
              <w:rPr>
                <w:sz w:val="20"/>
                <w:szCs w:val="20"/>
                <w:color w:val="auto"/>
              </w:rPr>
            </w:pPr>
            <w:r>
              <w:rPr>
                <w:rFonts w:ascii="Arial" w:cs="Arial" w:eastAsia="Arial" w:hAnsi="Arial"/>
                <w:sz w:val="13"/>
                <w:szCs w:val="13"/>
                <w:b w:val="1"/>
                <w:bCs w:val="1"/>
                <w:color w:val="auto"/>
              </w:rPr>
              <w:t>4.</w:t>
            </w:r>
          </w:p>
        </w:tc>
        <w:tc>
          <w:tcPr>
            <w:tcW w:w="3760" w:type="dxa"/>
            <w:vAlign w:val="bottom"/>
          </w:tcPr>
          <w:p>
            <w:pPr>
              <w:ind w:left="120"/>
              <w:spacing w:after="0"/>
              <w:rPr>
                <w:sz w:val="20"/>
                <w:szCs w:val="20"/>
                <w:color w:val="auto"/>
              </w:rPr>
            </w:pPr>
            <w:r>
              <w:rPr>
                <w:rFonts w:ascii="Arial" w:cs="Arial" w:eastAsia="Arial" w:hAnsi="Arial"/>
                <w:sz w:val="13"/>
                <w:szCs w:val="13"/>
                <w:b w:val="1"/>
                <w:bCs w:val="1"/>
                <w:color w:val="auto"/>
              </w:rPr>
              <w:t>Property and Equipment</w:t>
            </w:r>
          </w:p>
        </w:tc>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60" w:type="dxa"/>
            <w:vAlign w:val="bottom"/>
          </w:tcPr>
          <w:p>
            <w:pPr>
              <w:ind w:left="200"/>
              <w:spacing w:after="0"/>
              <w:rPr>
                <w:sz w:val="20"/>
                <w:szCs w:val="20"/>
                <w:color w:val="auto"/>
              </w:rPr>
            </w:pPr>
            <w:r>
              <w:rPr>
                <w:rFonts w:ascii="Arial" w:cs="Arial" w:eastAsia="Arial" w:hAnsi="Arial"/>
                <w:sz w:val="13"/>
                <w:szCs w:val="13"/>
                <w:color w:val="auto"/>
              </w:rPr>
              <w:t>Property and equipment consist of the following:</w:t>
            </w:r>
          </w:p>
        </w:tc>
        <w:tc>
          <w:tcPr>
            <w:tcW w:w="4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1"/>
                <w:szCs w:val="11"/>
                <w:b w:val="1"/>
                <w:bCs w:val="1"/>
                <w:color w:val="auto"/>
              </w:rPr>
              <w:t>December 31,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9" w:lineRule="exact"/>
              <w:rPr>
                <w:sz w:val="20"/>
                <w:szCs w:val="20"/>
                <w:color w:val="auto"/>
              </w:rPr>
            </w:pPr>
            <w:r>
              <w:rPr>
                <w:rFonts w:ascii="Arial" w:cs="Arial" w:eastAsia="Arial" w:hAnsi="Arial"/>
                <w:sz w:val="11"/>
                <w:szCs w:val="11"/>
                <w:b w:val="1"/>
                <w:bCs w:val="1"/>
                <w:color w:val="auto"/>
              </w:rPr>
              <w:t>2007</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9" w:lineRule="exact"/>
              <w:rPr>
                <w:sz w:val="20"/>
                <w:szCs w:val="20"/>
                <w:color w:val="auto"/>
              </w:rPr>
            </w:pPr>
            <w:r>
              <w:rPr>
                <w:rFonts w:ascii="Arial" w:cs="Arial" w:eastAsia="Arial" w:hAnsi="Arial"/>
                <w:sz w:val="11"/>
                <w:szCs w:val="11"/>
                <w:b w:val="1"/>
                <w:bCs w:val="1"/>
                <w:color w:val="auto"/>
              </w:rPr>
              <w:t>2006</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0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700" w:type="dxa"/>
            <w:vAlign w:val="bottom"/>
            <w:vMerge w:val="continue"/>
          </w:tcPr>
          <w:p>
            <w:pPr>
              <w:spacing w:after="0"/>
              <w:rPr>
                <w:sz w:val="13"/>
                <w:szCs w:val="13"/>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Computer hardware</w:t>
            </w:r>
          </w:p>
        </w:tc>
        <w:tc>
          <w:tcPr>
            <w:tcW w:w="430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15,821</w:t>
            </w:r>
          </w:p>
        </w:tc>
        <w:tc>
          <w:tcPr>
            <w:tcW w:w="2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9,459</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940" w:type="dxa"/>
            <w:vAlign w:val="bottom"/>
            <w:gridSpan w:val="2"/>
          </w:tcPr>
          <w:p>
            <w:pPr>
              <w:spacing w:after="0"/>
              <w:rPr>
                <w:sz w:val="20"/>
                <w:szCs w:val="20"/>
                <w:color w:val="auto"/>
              </w:rPr>
            </w:pPr>
            <w:r>
              <w:rPr>
                <w:rFonts w:ascii="Arial" w:cs="Arial" w:eastAsia="Arial" w:hAnsi="Arial"/>
                <w:sz w:val="13"/>
                <w:szCs w:val="13"/>
                <w:color w:val="auto"/>
              </w:rPr>
              <w:t>Computer software</w:t>
            </w:r>
          </w:p>
        </w:tc>
        <w:tc>
          <w:tcPr>
            <w:tcW w:w="4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8,542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5,853</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Furniture and fixtures</w:t>
            </w:r>
          </w:p>
        </w:tc>
        <w:tc>
          <w:tcPr>
            <w:tcW w:w="4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940" w:type="dxa"/>
            <w:vAlign w:val="bottom"/>
            <w:gridSpan w:val="2"/>
          </w:tcPr>
          <w:p>
            <w:pPr>
              <w:spacing w:after="0"/>
              <w:rPr>
                <w:sz w:val="20"/>
                <w:szCs w:val="20"/>
                <w:color w:val="auto"/>
              </w:rPr>
            </w:pPr>
            <w:r>
              <w:rPr>
                <w:rFonts w:ascii="Arial" w:cs="Arial" w:eastAsia="Arial" w:hAnsi="Arial"/>
                <w:sz w:val="13"/>
                <w:szCs w:val="13"/>
                <w:color w:val="auto"/>
              </w:rPr>
              <w:t>Leasehold improvements</w:t>
            </w:r>
          </w:p>
        </w:tc>
        <w:tc>
          <w:tcPr>
            <w:tcW w:w="4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1,296</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760" w:type="dxa"/>
            <w:vAlign w:val="bottom"/>
            <w:shd w:val="clear" w:color="auto" w:fill="CCEEFF"/>
          </w:tcPr>
          <w:p>
            <w:pPr>
              <w:spacing w:after="0"/>
              <w:rPr>
                <w:sz w:val="13"/>
                <w:szCs w:val="13"/>
                <w:color w:val="auto"/>
              </w:rPr>
            </w:pPr>
          </w:p>
        </w:tc>
        <w:tc>
          <w:tcPr>
            <w:tcW w:w="4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27,077</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17,115</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940" w:type="dxa"/>
            <w:vAlign w:val="bottom"/>
            <w:gridSpan w:val="2"/>
          </w:tcPr>
          <w:p>
            <w:pPr>
              <w:spacing w:after="0"/>
              <w:rPr>
                <w:sz w:val="20"/>
                <w:szCs w:val="20"/>
                <w:color w:val="auto"/>
              </w:rPr>
            </w:pPr>
            <w:r>
              <w:rPr>
                <w:rFonts w:ascii="Arial" w:cs="Arial" w:eastAsia="Arial" w:hAnsi="Arial"/>
                <w:sz w:val="13"/>
                <w:szCs w:val="13"/>
                <w:color w:val="auto"/>
              </w:rPr>
              <w:t>Less: Accumulated depreciation</w:t>
            </w:r>
          </w:p>
        </w:tc>
        <w:tc>
          <w:tcPr>
            <w:tcW w:w="4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(16,610)</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(11,853)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0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760" w:type="dxa"/>
            <w:vAlign w:val="bottom"/>
            <w:shd w:val="clear" w:color="auto" w:fill="CCEEFF"/>
          </w:tcPr>
          <w:p>
            <w:pPr>
              <w:spacing w:after="0"/>
              <w:rPr>
                <w:sz w:val="14"/>
                <w:szCs w:val="14"/>
                <w:color w:val="auto"/>
              </w:rPr>
            </w:pPr>
          </w:p>
        </w:tc>
        <w:tc>
          <w:tcPr>
            <w:tcW w:w="41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10,467</w:t>
            </w:r>
          </w:p>
        </w:tc>
        <w:tc>
          <w:tcPr>
            <w:tcW w:w="2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5,262</w:t>
            </w: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140" w:type="dxa"/>
            <w:vAlign w:val="bottom"/>
          </w:tcPr>
          <w:p>
            <w:pPr>
              <w:jc w:val="right"/>
              <w:ind w:right="2974"/>
              <w:spacing w:after="0"/>
              <w:rPr>
                <w:sz w:val="20"/>
                <w:szCs w:val="20"/>
                <w:color w:val="auto"/>
              </w:rPr>
            </w:pPr>
            <w:r>
              <w:rPr>
                <w:rFonts w:ascii="Arial" w:cs="Arial" w:eastAsia="Arial" w:hAnsi="Arial"/>
                <w:sz w:val="13"/>
                <w:szCs w:val="13"/>
                <w:color w:val="auto"/>
              </w:rPr>
              <w:t>48</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3760" w:type="dxa"/>
            <w:vAlign w:val="bottom"/>
            <w:tcBorders>
              <w:bottom w:val="single" w:sz="8" w:color="808080"/>
            </w:tcBorders>
          </w:tcPr>
          <w:p>
            <w:pPr>
              <w:spacing w:after="0"/>
              <w:rPr>
                <w:sz w:val="14"/>
                <w:szCs w:val="14"/>
                <w:color w:val="auto"/>
              </w:rPr>
            </w:pPr>
          </w:p>
        </w:tc>
        <w:tc>
          <w:tcPr>
            <w:tcW w:w="41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6"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00" w:type="dxa"/>
            <w:vAlign w:val="bottom"/>
            <w:gridSpan w:val="2"/>
          </w:tcPr>
          <w:p>
            <w:pPr>
              <w:spacing w:after="0"/>
              <w:rPr>
                <w:sz w:val="20"/>
                <w:szCs w:val="20"/>
                <w:color w:val="auto"/>
              </w:rPr>
            </w:pPr>
            <w:r>
              <w:rPr>
                <w:rFonts w:ascii="Arial" w:cs="Arial" w:eastAsia="Arial" w:hAnsi="Arial"/>
                <w:sz w:val="13"/>
                <w:szCs w:val="13"/>
                <w:b w:val="1"/>
                <w:bCs w:val="1"/>
                <w:color w:val="auto"/>
              </w:rPr>
              <w:t>5.</w:t>
            </w:r>
          </w:p>
        </w:tc>
        <w:tc>
          <w:tcPr>
            <w:tcW w:w="5400" w:type="dxa"/>
            <w:vAlign w:val="bottom"/>
          </w:tcPr>
          <w:p>
            <w:pPr>
              <w:ind w:left="120"/>
              <w:spacing w:after="0"/>
              <w:rPr>
                <w:sz w:val="20"/>
                <w:szCs w:val="20"/>
                <w:color w:val="auto"/>
              </w:rPr>
            </w:pPr>
            <w:r>
              <w:rPr>
                <w:rFonts w:ascii="Arial" w:cs="Arial" w:eastAsia="Arial" w:hAnsi="Arial"/>
                <w:sz w:val="13"/>
                <w:szCs w:val="13"/>
                <w:b w:val="1"/>
                <w:bCs w:val="1"/>
                <w:color w:val="auto"/>
              </w:rPr>
              <w:t>Accrued Expenses</w:t>
            </w: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0" w:type="dxa"/>
            <w:vAlign w:val="bottom"/>
          </w:tcPr>
          <w:p>
            <w:pPr>
              <w:ind w:left="200"/>
              <w:spacing w:after="0"/>
              <w:rPr>
                <w:sz w:val="20"/>
                <w:szCs w:val="20"/>
                <w:color w:val="auto"/>
              </w:rPr>
            </w:pPr>
            <w:r>
              <w:rPr>
                <w:rFonts w:ascii="Arial" w:cs="Arial" w:eastAsia="Arial" w:hAnsi="Arial"/>
                <w:sz w:val="13"/>
                <w:szCs w:val="13"/>
                <w:color w:val="auto"/>
              </w:rPr>
              <w:t>Accrued expenses consist of the following:</w:t>
            </w:r>
          </w:p>
        </w:tc>
        <w:tc>
          <w:tcPr>
            <w:tcW w:w="2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December 31,</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8"/>
              <w:spacing w:after="0" w:line="99" w:lineRule="exact"/>
              <w:rPr>
                <w:sz w:val="20"/>
                <w:szCs w:val="20"/>
                <w:color w:val="auto"/>
              </w:rPr>
            </w:pPr>
            <w:r>
              <w:rPr>
                <w:rFonts w:ascii="Arial" w:cs="Arial" w:eastAsia="Arial" w:hAnsi="Arial"/>
                <w:sz w:val="11"/>
                <w:szCs w:val="11"/>
                <w:b w:val="1"/>
                <w:bCs w:val="1"/>
                <w:color w:val="auto"/>
                <w:w w:val="97"/>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9" w:lineRule="exact"/>
              <w:rPr>
                <w:sz w:val="20"/>
                <w:szCs w:val="20"/>
                <w:color w:val="auto"/>
              </w:rPr>
            </w:pPr>
            <w:r>
              <w:rPr>
                <w:rFonts w:ascii="Arial" w:cs="Arial" w:eastAsia="Arial" w:hAnsi="Arial"/>
                <w:sz w:val="11"/>
                <w:szCs w:val="11"/>
                <w:b w:val="1"/>
                <w:bCs w:val="1"/>
                <w:color w:val="auto"/>
                <w:w w:val="81"/>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compensation and benefits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80" w:type="dxa"/>
            <w:vAlign w:val="bottom"/>
            <w:gridSpan w:val="2"/>
          </w:tcPr>
          <w:p>
            <w:pPr>
              <w:spacing w:after="0"/>
              <w:rPr>
                <w:sz w:val="20"/>
                <w:szCs w:val="20"/>
                <w:color w:val="auto"/>
              </w:rPr>
            </w:pPr>
            <w:r>
              <w:rPr>
                <w:rFonts w:ascii="Arial" w:cs="Arial" w:eastAsia="Arial" w:hAnsi="Arial"/>
                <w:sz w:val="13"/>
                <w:szCs w:val="13"/>
                <w:color w:val="auto"/>
              </w:rPr>
              <w:t>Accrued third party processing fees</w:t>
            </w:r>
          </w:p>
        </w:tc>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3,255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1,508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other</w:t>
            </w:r>
          </w:p>
        </w:tc>
        <w:tc>
          <w:tcPr>
            <w:tcW w:w="2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80" w:type="dxa"/>
            <w:vAlign w:val="bottom"/>
            <w:gridSpan w:val="2"/>
          </w:tcPr>
          <w:p>
            <w:pPr>
              <w:spacing w:after="0"/>
              <w:rPr>
                <w:sz w:val="20"/>
                <w:szCs w:val="20"/>
                <w:color w:val="auto"/>
              </w:rPr>
            </w:pPr>
            <w:r>
              <w:rPr>
                <w:rFonts w:ascii="Arial" w:cs="Arial" w:eastAsia="Arial" w:hAnsi="Arial"/>
                <w:sz w:val="13"/>
                <w:szCs w:val="13"/>
                <w:color w:val="auto"/>
              </w:rPr>
              <w:t>Income tax payable</w:t>
            </w:r>
          </w:p>
        </w:tc>
        <w:tc>
          <w:tcPr>
            <w:tcW w:w="29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1000" w:hanging="313"/>
        <w:spacing w:after="0"/>
        <w:tabs>
          <w:tab w:leader="none" w:pos="1000"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Financing Arrangements</w:t>
      </w:r>
    </w:p>
    <w:p>
      <w:pPr>
        <w:spacing w:after="0" w:line="102"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color w:val="auto"/>
        </w:rPr>
        <w:t>On October 6, 2004, the Company entered into a Loan and Security Agreement (the “Agreement”) with a bank which expired on December 1, 2007. As of December 31, 2007, 2006 and 2005, the Company had outstanding borrowings of $0, $666 and $1,333, respectively, against the Equipment Term Note to fund purchases of eligible equipment. Borrowings on the equipment line bore interest at the prime rate plus 1.75% (10% and 9% at December 31, 2006 and 2005, respectively) and principal and interest were payable monthly. The Agreement included a Revolving Promissory Note for up to $2,000 and an Equipment Term Note for up to $3,000.</w:t>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Company paid a facility fee and certain other bank fees in connection with the financing arrangement. The agreement required the Company to meet certain financial covenants.</w:t>
      </w:r>
    </w:p>
    <w:p>
      <w:pPr>
        <w:spacing w:after="0" w:line="3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Company was in compliance with the financial covenants at December 31, 2006 and 2005. Borrowings were collateralized by all of the assets of the Company.</w:t>
      </w:r>
    </w:p>
    <w:p>
      <w:pPr>
        <w:spacing w:after="0" w:line="166" w:lineRule="exact"/>
        <w:rPr>
          <w:sz w:val="20"/>
          <w:szCs w:val="20"/>
          <w:color w:val="auto"/>
        </w:rPr>
      </w:pPr>
    </w:p>
    <w:p>
      <w:pPr>
        <w:ind w:left="1000" w:hanging="313"/>
        <w:spacing w:after="0"/>
        <w:tabs>
          <w:tab w:leader="none" w:pos="100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Capital Structure</w:t>
      </w:r>
    </w:p>
    <w:p>
      <w:pPr>
        <w:spacing w:after="0" w:line="102"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3"/>
          <w:szCs w:val="13"/>
          <w:color w:val="auto"/>
        </w:rPr>
        <w:t>As of December 31, 2007, the Company’s authorized capital stock was 110,000 shares of stock with a par value of $0.0001, of which 100,000 shares were designated common stock and 10,000 shares were designated preferred stock.</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Common Stock</w:t>
      </w:r>
    </w:p>
    <w:p>
      <w:pPr>
        <w:spacing w:after="0" w:line="98"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Each holder of common stock is entitled to vote on all matters and is entitled to one vote for each share held. Dividends on common stock will be paid when, as and if declared by the Company’s board of directors. No dividends have ever been declared or paid by the Company. On June 20, 2006, all 13,549 outstanding shares of the Company’s Series 1 and Series A convertible preferred stock were converted into shares of common stock on a one-for-one basis. As of December 31, 2007, there were 32,726 shares of common stock issued, 5,097 shares of common stock reserved for issuance under the Company’s 2000 Stock Plan (the “2000 Plan”) and 2,000 shares of common stock reserved for issuance under the Company’s 2006 Equity Incentive Plan (the “2006 Plan”).</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Preferred Stock</w:t>
      </w:r>
    </w:p>
    <w:p>
      <w:pPr>
        <w:spacing w:after="0" w:line="98" w:lineRule="exact"/>
        <w:rPr>
          <w:sz w:val="20"/>
          <w:szCs w:val="20"/>
          <w:color w:val="auto"/>
        </w:rPr>
      </w:pPr>
    </w:p>
    <w:p>
      <w:pPr>
        <w:jc w:val="both"/>
        <w:ind w:left="680" w:right="120" w:firstLine="399"/>
        <w:spacing w:after="0" w:line="299" w:lineRule="auto"/>
        <w:rPr>
          <w:sz w:val="20"/>
          <w:szCs w:val="20"/>
          <w:color w:val="auto"/>
        </w:rPr>
      </w:pPr>
      <w:r>
        <w:rPr>
          <w:rFonts w:ascii="Arial" w:cs="Arial" w:eastAsia="Arial" w:hAnsi="Arial"/>
          <w:sz w:val="12"/>
          <w:szCs w:val="12"/>
          <w:color w:val="auto"/>
        </w:rPr>
        <w:t>All of the Company’s Series 1 and Series A convertible preferred stock converted into common stock on a one-for-one basis as a result of the IPO. There are no shares of preferred stock outstanding as of December 31, 2007 or 2006. The board of directors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6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Warrants</w:t>
      </w:r>
    </w:p>
    <w:p>
      <w:pPr>
        <w:spacing w:after="0" w:line="98" w:lineRule="exact"/>
        <w:rPr>
          <w:sz w:val="20"/>
          <w:szCs w:val="20"/>
          <w:color w:val="auto"/>
        </w:rPr>
      </w:pPr>
    </w:p>
    <w:p>
      <w:pPr>
        <w:ind w:left="680" w:right="380" w:firstLine="399"/>
        <w:spacing w:after="0" w:line="262" w:lineRule="auto"/>
        <w:rPr>
          <w:sz w:val="20"/>
          <w:szCs w:val="20"/>
          <w:color w:val="auto"/>
        </w:rPr>
      </w:pPr>
      <w:r>
        <w:rPr>
          <w:rFonts w:ascii="Arial" w:cs="Arial" w:eastAsia="Arial" w:hAnsi="Arial"/>
          <w:sz w:val="13"/>
          <w:szCs w:val="13"/>
          <w:color w:val="auto"/>
        </w:rPr>
        <w:t>Prior to 2003, the Company issued warrants to a bank as part of a loan and security agreement. In January 2007, the warrants were fully exercised to purchase 75 shares of the Company’s common stock. The warrants had an exercise price of $2.90 per share (adjusted for stock splits, stock dividends, etc.). The value of the warrants were capitalized as debt issuance cost and amortized to interest expense over the term of the loan. No warrants were issued or exercised during the years ended December 31, 2007 and 2006 and none were outstanding as of December 31, 2007.</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2" w:lineRule="exact"/>
        <w:rPr>
          <w:sz w:val="20"/>
          <w:szCs w:val="20"/>
          <w:color w:val="auto"/>
        </w:rPr>
      </w:pPr>
    </w:p>
    <w:p>
      <w:pPr>
        <w:ind w:left="680" w:right="120" w:firstLine="399"/>
        <w:spacing w:after="0" w:line="262" w:lineRule="auto"/>
        <w:rPr>
          <w:sz w:val="20"/>
          <w:szCs w:val="20"/>
          <w:color w:val="auto"/>
        </w:rPr>
      </w:pPr>
      <w:r>
        <w:rPr>
          <w:rFonts w:ascii="Arial" w:cs="Arial" w:eastAsia="Arial" w:hAnsi="Arial"/>
          <w:sz w:val="13"/>
          <w:szCs w:val="13"/>
          <w:color w:val="auto"/>
        </w:rPr>
        <w:t>Holders of shares of common stock which were issued upon conversion of the Company’s Series A preferred stock are entitled to have their shares registered under the Securities Act of 1933, as amended (the “Securities Act”). Under the terms of an agreement between the Company and the holders of these registrable securities, if the Company proposes to register any of its securities under the Securities Act, either for its own account or for the account of others, these stockholders are entitled to notice of such registration and are entitled to include their shares in such registration.</w:t>
      </w:r>
    </w:p>
    <w:p>
      <w:pPr>
        <w:spacing w:after="0" w:line="144" w:lineRule="exact"/>
        <w:rPr>
          <w:sz w:val="20"/>
          <w:szCs w:val="20"/>
          <w:color w:val="auto"/>
        </w:rPr>
      </w:pPr>
    </w:p>
    <w:p>
      <w:pPr>
        <w:ind w:left="1000" w:hanging="313"/>
        <w:spacing w:after="0"/>
        <w:tabs>
          <w:tab w:leader="none" w:pos="1000" w:val="left"/>
        </w:tabs>
        <w:numPr>
          <w:ilvl w:val="0"/>
          <w:numId w:val="20"/>
        </w:numPr>
        <w:rPr>
          <w:rFonts w:ascii="Arial" w:cs="Arial" w:eastAsia="Arial" w:hAnsi="Arial"/>
          <w:sz w:val="13"/>
          <w:szCs w:val="13"/>
          <w:b w:val="1"/>
          <w:bCs w:val="1"/>
          <w:color w:val="auto"/>
        </w:rPr>
      </w:pPr>
      <w:r>
        <w:rPr>
          <w:rFonts w:ascii="Arial" w:cs="Arial" w:eastAsia="Arial" w:hAnsi="Arial"/>
          <w:sz w:val="13"/>
          <w:szCs w:val="13"/>
          <w:b w:val="1"/>
          <w:bCs w:val="1"/>
          <w:color w:val="auto"/>
        </w:rPr>
        <w:t>Stock Plans</w:t>
      </w:r>
    </w:p>
    <w:p>
      <w:pPr>
        <w:spacing w:after="0" w:line="102" w:lineRule="exact"/>
        <w:rPr>
          <w:sz w:val="20"/>
          <w:szCs w:val="20"/>
          <w:color w:val="auto"/>
        </w:rPr>
      </w:pPr>
    </w:p>
    <w:p>
      <w:pPr>
        <w:ind w:left="680" w:firstLine="399"/>
        <w:spacing w:after="0" w:line="291" w:lineRule="auto"/>
        <w:rPr>
          <w:sz w:val="20"/>
          <w:szCs w:val="20"/>
          <w:color w:val="auto"/>
        </w:rPr>
      </w:pPr>
      <w:r>
        <w:rPr>
          <w:rFonts w:ascii="Arial" w:cs="Arial" w:eastAsia="Arial" w:hAnsi="Arial"/>
          <w:sz w:val="12"/>
          <w:szCs w:val="12"/>
          <w:color w:val="auto"/>
        </w:rPr>
        <w:t>As of December 31, 2007, the Company maintains two stock incentive plans, the 2000 Plan and the 2006 Plan. Under the 2000 Plan, the Company has the ability to provide employees, outside directors and consultants an opportunity to acquire a proprietary interest in the success of the Company or to increase such interest by receiving options or purchasing shares of the Company’s stock at a price not less than the fair market value at the date of grant for incentive stock options and a price not less than 30% of the fair market value at the date of grant for non-qualified options. In April 2006, the Company’s board of directors adopted the 2006 Plan. The 2006 Plan became effective upon the IPO.</w:t>
      </w:r>
    </w:p>
    <w:p>
      <w:pPr>
        <w:spacing w:after="0" w:line="53" w:lineRule="exact"/>
        <w:rPr>
          <w:sz w:val="20"/>
          <w:szCs w:val="20"/>
          <w:color w:val="auto"/>
        </w:rPr>
      </w:pPr>
    </w:p>
    <w:p>
      <w:pPr>
        <w:jc w:val="both"/>
        <w:ind w:left="680" w:right="20" w:firstLine="399"/>
        <w:spacing w:after="0" w:line="291" w:lineRule="auto"/>
        <w:rPr>
          <w:sz w:val="20"/>
          <w:szCs w:val="20"/>
          <w:color w:val="auto"/>
        </w:rPr>
      </w:pPr>
      <w:r>
        <w:rPr>
          <w:rFonts w:ascii="Arial" w:cs="Arial" w:eastAsia="Arial" w:hAnsi="Arial"/>
          <w:sz w:val="12"/>
          <w:szCs w:val="12"/>
          <w:color w:val="auto"/>
        </w:rPr>
        <w:t>Under the 2006 Plan, the Company may grant to its employees, outside directors and consultants awards in the form of incentive stock options, non-qualified stock options, shares of restricted stock and stock units or stock appreciation rights. The aggregate number of shares of common stock with respect to which all awards may be granted under the 2006 Plan is 2,000 plus any shares that remain available for issuance under the 2000 Plan. As of December 31, 2007, there were 754 shares available for grant or award under the Company’s Plans. During the year ended December 31, 2007, options to purchase 1,059 shares of common stock were granted under the 2006 Plan.</w:t>
      </w:r>
    </w:p>
    <w:p>
      <w:pPr>
        <w:spacing w:after="0" w:line="53" w:lineRule="exact"/>
        <w:rPr>
          <w:sz w:val="20"/>
          <w:szCs w:val="20"/>
          <w:color w:val="auto"/>
        </w:rPr>
      </w:pPr>
    </w:p>
    <w:p>
      <w:pPr>
        <w:ind w:left="680" w:right="20" w:firstLine="399"/>
        <w:spacing w:after="0" w:line="284" w:lineRule="auto"/>
        <w:rPr>
          <w:sz w:val="20"/>
          <w:szCs w:val="20"/>
          <w:color w:val="auto"/>
        </w:rPr>
      </w:pPr>
      <w:r>
        <w:rPr>
          <w:rFonts w:ascii="Arial" w:cs="Arial" w:eastAsia="Arial" w:hAnsi="Arial"/>
          <w:sz w:val="12"/>
          <w:szCs w:val="12"/>
          <w:color w:val="auto"/>
        </w:rPr>
        <w:t>Under the 2000 Plan, options may be exercised in whole or in part for 100% of the shares subject to vesting at any time after the date of grant. Options under the 2000 Plan generally vest 25% on the first year anniversary of the date of grant plus an additional 1/48 for each month thereafter. If an option is exercised prior to vesting, the underlying shares are subject to a right of repurchase at the exercise price paid by the option holder. The right of repurchase generally lapses with respect to the first 25% of the purchased shares when the purchaser completes 12 months of continuous service and lapses with respect to an additional 1/48 of the purchased shares when the purchaser completes each month of continuous service thereafter. Under the 2006 Plan, options may be exercised once they become vested. Options under the 2006 Plan generally vest 25% on the first anniversary of the date of grant plus an additional 1/48 for each month thereafter. There were no options exercised prior to vesting during 2007, 2006 or 2005.</w:t>
      </w:r>
    </w:p>
    <w:p>
      <w:pPr>
        <w:spacing w:after="0" w:line="58"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color w:val="auto"/>
        </w:rPr>
        <w:t xml:space="preserve">The Company’s board of directors administers the 2000 Plan and the 2006 Plan and is responsible for determining the individuals to be granted options or shares, the number of options or shares each individual will receive, the price per share and the exercise period of each option. In establishing its estimates of fair value of the Company’s common stock prior to the completion of the IPO, the Company considered the guidance set forth in the American Institute of Certified Public Accountants Practice Aid, </w:t>
      </w:r>
      <w:r>
        <w:rPr>
          <w:rFonts w:ascii="Arial" w:cs="Arial" w:eastAsia="Arial" w:hAnsi="Arial"/>
          <w:sz w:val="13"/>
          <w:szCs w:val="13"/>
          <w:i w:val="1"/>
          <w:iCs w:val="1"/>
          <w:color w:val="auto"/>
        </w:rPr>
        <w:t>Valuation prior to being a public company</w:t>
      </w:r>
      <w:r>
        <w:rPr>
          <w:rFonts w:ascii="Arial" w:cs="Arial" w:eastAsia="Arial" w:hAnsi="Arial"/>
          <w:sz w:val="13"/>
          <w:szCs w:val="13"/>
          <w:color w:val="auto"/>
        </w:rPr>
        <w:t xml:space="preserve"> </w:t>
      </w:r>
      <w:r>
        <w:rPr>
          <w:rFonts w:ascii="Arial" w:cs="Arial" w:eastAsia="Arial" w:hAnsi="Arial"/>
          <w:sz w:val="13"/>
          <w:szCs w:val="13"/>
          <w:i w:val="1"/>
          <w:iCs w:val="1"/>
          <w:color w:val="auto"/>
        </w:rPr>
        <w:t>of Privately-Held-Company Equity Securities Issued as Compensation</w:t>
      </w:r>
      <w:r>
        <w:rPr>
          <w:rFonts w:ascii="Arial" w:cs="Arial" w:eastAsia="Arial" w:hAnsi="Arial"/>
          <w:sz w:val="13"/>
          <w:szCs w:val="13"/>
          <w:color w:val="auto"/>
        </w:rPr>
        <w:t>, and performed a retrospective determination</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6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of the fair value of its common stock for the year ended December 31, 2005, utilizing a combination of valuation methods described elsewhere in our prospectus dated June 15, 2006.</w:t>
      </w:r>
    </w:p>
    <w:p>
      <w:pPr>
        <w:spacing w:after="0" w:line="109"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 xml:space="preserve">The Company utilizes the Black-Scholes option pricing model for determining the estimated fair value for stock-based awards. Use of a valuation model requires management to make certain assumptions with respect to selected model inputs. Expected volatility was calculated based on a blended weighted-average of historical information of similar public entities for which historical information was available. The Company will continue to use this approach using other similar public entity volatility information until our historical volatility is relevant to measure expected volatility for future option grants. The average expected life was determined using the SEC shortcut approach as described in Staff Accounting Bulletin (“SAB”) 107, </w:t>
      </w:r>
      <w:r>
        <w:rPr>
          <w:rFonts w:ascii="Arial" w:cs="Arial" w:eastAsia="Arial" w:hAnsi="Arial"/>
          <w:sz w:val="12"/>
          <w:szCs w:val="12"/>
          <w:i w:val="1"/>
          <w:iCs w:val="1"/>
          <w:color w:val="auto"/>
        </w:rPr>
        <w:t>Disclosure about Fair Value of Financial Instruments</w:t>
      </w:r>
      <w:r>
        <w:rPr>
          <w:rFonts w:ascii="Arial" w:cs="Arial" w:eastAsia="Arial" w:hAnsi="Arial"/>
          <w:sz w:val="12"/>
          <w:szCs w:val="12"/>
          <w:color w:val="auto"/>
        </w:rPr>
        <w:t>, which is the mid-point between the vesting date and the end of the contractual term. The risk-free interest rate is based on U.S. Treasury zero-coupon issues with a remaining term equal to the expected life assumed at the date of grant. The Company has never declared or paid cash dividends on our common or preferred equity and does not anticipate paying any cash dividends in the foreseeable future. Forfeitures are estimated based on voluntary termination behavior, as well as a historical analysis of actual option forfeitures. The weighted-average assumptions used in the Black-Scholes option pricing model are as follows:</w:t>
      </w:r>
    </w:p>
    <w:p>
      <w:pPr>
        <w:spacing w:after="0" w:line="46"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460" w:type="dxa"/>
            <w:vAlign w:val="bottom"/>
          </w:tcPr>
          <w:p>
            <w:pPr>
              <w:spacing w:after="0"/>
              <w:rPr>
                <w:sz w:val="10"/>
                <w:szCs w:val="10"/>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9"/>
              </w:rPr>
              <w:t>Year Ended</w:t>
            </w:r>
          </w:p>
        </w:tc>
        <w:tc>
          <w:tcPr>
            <w:tcW w:w="11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Year Ended</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400" w:type="dxa"/>
            <w:vAlign w:val="bottom"/>
            <w:gridSpan w:val="2"/>
          </w:tcPr>
          <w:p>
            <w:pPr>
              <w:jc w:val="center"/>
              <w:ind w:right="420"/>
              <w:spacing w:after="0" w:line="109" w:lineRule="exact"/>
              <w:rPr>
                <w:sz w:val="20"/>
                <w:szCs w:val="20"/>
                <w:color w:val="auto"/>
              </w:rPr>
            </w:pPr>
            <w:r>
              <w:rPr>
                <w:rFonts w:ascii="Arial" w:cs="Arial" w:eastAsia="Arial" w:hAnsi="Arial"/>
                <w:sz w:val="11"/>
                <w:szCs w:val="11"/>
                <w:b w:val="1"/>
                <w:bCs w:val="1"/>
                <w:color w:val="auto"/>
                <w:w w:val="86"/>
              </w:rPr>
              <w:t>December 31,</w:t>
            </w:r>
          </w:p>
        </w:tc>
        <w:tc>
          <w:tcPr>
            <w:tcW w:w="1100" w:type="dxa"/>
            <w:vAlign w:val="bottom"/>
            <w:gridSpan w:val="2"/>
          </w:tcPr>
          <w:p>
            <w:pPr>
              <w:jc w:val="center"/>
              <w:ind w:right="120"/>
              <w:spacing w:after="0" w:line="109" w:lineRule="exact"/>
              <w:rPr>
                <w:sz w:val="20"/>
                <w:szCs w:val="20"/>
                <w:color w:val="auto"/>
              </w:rPr>
            </w:pPr>
            <w:r>
              <w:rPr>
                <w:rFonts w:ascii="Arial" w:cs="Arial" w:eastAsia="Arial" w:hAnsi="Arial"/>
                <w:sz w:val="11"/>
                <w:szCs w:val="11"/>
                <w:b w:val="1"/>
                <w:bCs w:val="1"/>
                <w:color w:val="auto"/>
                <w:w w:val="86"/>
              </w:rPr>
              <w:t>December 31,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6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2007</w:t>
            </w:r>
          </w:p>
        </w:tc>
        <w:tc>
          <w:tcPr>
            <w:tcW w:w="42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3"/>
                <w:szCs w:val="13"/>
                <w:color w:val="auto"/>
              </w:rPr>
              <w:t>Expected stock price volatility</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60" w:type="dxa"/>
            <w:vAlign w:val="bottom"/>
          </w:tcPr>
          <w:p>
            <w:pPr>
              <w:spacing w:after="0"/>
              <w:rPr>
                <w:sz w:val="20"/>
                <w:szCs w:val="20"/>
                <w:color w:val="auto"/>
              </w:rPr>
            </w:pPr>
            <w:r>
              <w:rPr>
                <w:rFonts w:ascii="Arial" w:cs="Arial" w:eastAsia="Arial" w:hAnsi="Arial"/>
                <w:sz w:val="13"/>
                <w:szCs w:val="13"/>
                <w:color w:val="auto"/>
              </w:rPr>
              <w:t>Risk-free interest rate</w:t>
            </w:r>
          </w:p>
        </w:tc>
        <w:tc>
          <w:tcPr>
            <w:tcW w:w="1400" w:type="dxa"/>
            <w:vAlign w:val="bottom"/>
            <w:gridSpan w:val="2"/>
          </w:tcPr>
          <w:p>
            <w:pPr>
              <w:jc w:val="right"/>
              <w:ind w:right="300"/>
              <w:spacing w:after="0"/>
              <w:rPr>
                <w:sz w:val="20"/>
                <w:szCs w:val="20"/>
                <w:color w:val="auto"/>
              </w:rPr>
            </w:pPr>
            <w:r>
              <w:rPr>
                <w:rFonts w:ascii="Arial" w:cs="Arial" w:eastAsia="Arial" w:hAnsi="Arial"/>
                <w:sz w:val="13"/>
                <w:szCs w:val="13"/>
                <w:color w:val="auto"/>
              </w:rPr>
              <w:t>4.63%</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4.72%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3"/>
                <w:szCs w:val="13"/>
                <w:color w:val="auto"/>
              </w:rPr>
              <w:t>Expected life of options (in years)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Arial" w:cs="Arial" w:eastAsia="Arial" w:hAnsi="Arial"/>
                <w:sz w:val="13"/>
                <w:szCs w:val="13"/>
                <w:color w:val="auto"/>
              </w:rPr>
              <w:t>Expected dividend yield</w:t>
            </w:r>
          </w:p>
        </w:tc>
        <w:tc>
          <w:tcPr>
            <w:tcW w:w="1400" w:type="dxa"/>
            <w:vAlign w:val="bottom"/>
            <w:gridSpan w:val="2"/>
          </w:tcPr>
          <w:p>
            <w:pPr>
              <w:jc w:val="right"/>
              <w:ind w:right="300"/>
              <w:spacing w:after="0"/>
              <w:rPr>
                <w:sz w:val="20"/>
                <w:szCs w:val="20"/>
                <w:color w:val="auto"/>
              </w:rPr>
            </w:pPr>
            <w:r>
              <w:rPr>
                <w:rFonts w:ascii="Arial" w:cs="Arial" w:eastAsia="Arial" w:hAnsi="Arial"/>
                <w:sz w:val="13"/>
                <w:szCs w:val="13"/>
                <w:color w:val="auto"/>
              </w:rPr>
              <w:t>0%</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weighted-average fair value (as of the date of grant) of the options granted during the year ended December 31, 2007 and 2006 was $12.52 and $4.71, respectively, and the minimum value was $5.11 during the year ended December 31, 2005. During the year ended December 31, 2007, the Company recorded total pre-tax stock-based compensation expense of $3.2 million ($2.4 million after tax or $0.07 per diluted share), which includes both intrinsic value for equity awards issued prior to 2006 and fair value for equity awards issued after January 1, 2006. The total stock-based compensation cost related to non-vested equity awards not yet recognized as an expense as of December 31, 2007 was approximately $13.5 million. That cost is expected to be recognized over a weighted-average period of approximately 3.4 years.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6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Options</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information about stock options outstanding.</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1"/>
                <w:szCs w:val="11"/>
                <w:b w:val="1"/>
                <w:bCs w:val="1"/>
                <w:color w:val="auto"/>
                <w:w w:val="98"/>
              </w:rPr>
              <w:t>Options Outstanding</w:t>
            </w: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jc w:val="center"/>
              <w:ind w:left="138"/>
              <w:spacing w:after="0" w:line="82" w:lineRule="exact"/>
              <w:rPr>
                <w:sz w:val="20"/>
                <w:szCs w:val="20"/>
                <w:color w:val="auto"/>
              </w:rPr>
            </w:pPr>
            <w:r>
              <w:rPr>
                <w:rFonts w:ascii="Arial" w:cs="Arial" w:eastAsia="Arial" w:hAnsi="Arial"/>
                <w:sz w:val="9"/>
                <w:szCs w:val="9"/>
                <w:b w:val="1"/>
                <w:bCs w:val="1"/>
                <w:color w:val="auto"/>
              </w:rPr>
              <w:t>Option</w:t>
            </w: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20" w:type="dxa"/>
            <w:vAlign w:val="bottom"/>
            <w:gridSpan w:val="2"/>
          </w:tcPr>
          <w:p>
            <w:pPr>
              <w:jc w:val="center"/>
              <w:ind w:right="400"/>
              <w:spacing w:after="0" w:line="109" w:lineRule="exact"/>
              <w:rPr>
                <w:sz w:val="20"/>
                <w:szCs w:val="20"/>
                <w:color w:val="auto"/>
              </w:rPr>
            </w:pPr>
            <w:r>
              <w:rPr>
                <w:rFonts w:ascii="Arial" w:cs="Arial" w:eastAsia="Arial" w:hAnsi="Arial"/>
                <w:sz w:val="11"/>
                <w:szCs w:val="11"/>
                <w:b w:val="1"/>
                <w:bCs w:val="1"/>
                <w:color w:val="auto"/>
                <w:w w:val="81"/>
              </w:rPr>
              <w:t>Shares</w:t>
            </w:r>
          </w:p>
        </w:tc>
        <w:tc>
          <w:tcPr>
            <w:tcW w:w="72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w w:val="91"/>
              </w:rPr>
              <w:t>Number</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3"/>
          </w:tcPr>
          <w:p>
            <w:pPr>
              <w:jc w:val="center"/>
              <w:ind w:right="420"/>
              <w:spacing w:after="0" w:line="109" w:lineRule="exact"/>
              <w:rPr>
                <w:sz w:val="20"/>
                <w:szCs w:val="20"/>
                <w:color w:val="auto"/>
              </w:rPr>
            </w:pPr>
            <w:r>
              <w:rPr>
                <w:rFonts w:ascii="Arial" w:cs="Arial" w:eastAsia="Arial" w:hAnsi="Arial"/>
                <w:sz w:val="11"/>
                <w:szCs w:val="11"/>
                <w:b w:val="1"/>
                <w:bCs w:val="1"/>
                <w:color w:val="auto"/>
                <w:w w:val="85"/>
              </w:rPr>
              <w:t>Exercise Price</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300"/>
              <w:spacing w:after="0" w:line="109" w:lineRule="exact"/>
              <w:rPr>
                <w:sz w:val="20"/>
                <w:szCs w:val="20"/>
                <w:color w:val="auto"/>
              </w:rPr>
            </w:pPr>
            <w:r>
              <w:rPr>
                <w:rFonts w:ascii="Arial" w:cs="Arial" w:eastAsia="Arial" w:hAnsi="Arial"/>
                <w:sz w:val="11"/>
                <w:szCs w:val="11"/>
                <w:b w:val="1"/>
                <w:bCs w:val="1"/>
                <w:color w:val="auto"/>
                <w:w w:val="90"/>
              </w:rPr>
              <w:t>Weighted-</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20" w:type="dxa"/>
            <w:vAlign w:val="bottom"/>
            <w:gridSpan w:val="2"/>
          </w:tcPr>
          <w:p>
            <w:pPr>
              <w:jc w:val="center"/>
              <w:ind w:right="400"/>
              <w:spacing w:after="0" w:line="109" w:lineRule="exact"/>
              <w:rPr>
                <w:sz w:val="20"/>
                <w:szCs w:val="20"/>
                <w:color w:val="auto"/>
              </w:rPr>
            </w:pPr>
            <w:r>
              <w:rPr>
                <w:rFonts w:ascii="Arial" w:cs="Arial" w:eastAsia="Arial" w:hAnsi="Arial"/>
                <w:sz w:val="11"/>
                <w:szCs w:val="11"/>
                <w:b w:val="1"/>
                <w:bCs w:val="1"/>
                <w:color w:val="auto"/>
                <w:w w:val="86"/>
              </w:rPr>
              <w:t>Available</w:t>
            </w:r>
          </w:p>
        </w:tc>
        <w:tc>
          <w:tcPr>
            <w:tcW w:w="72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w w:val="95"/>
              </w:rPr>
              <w:t>of</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jc w:val="center"/>
              <w:ind w:left="138"/>
              <w:spacing w:after="0" w:line="109" w:lineRule="exact"/>
              <w:rPr>
                <w:sz w:val="20"/>
                <w:szCs w:val="20"/>
                <w:color w:val="auto"/>
              </w:rPr>
            </w:pPr>
            <w:r>
              <w:rPr>
                <w:rFonts w:ascii="Arial" w:cs="Arial" w:eastAsia="Arial" w:hAnsi="Arial"/>
                <w:sz w:val="11"/>
                <w:szCs w:val="11"/>
                <w:b w:val="1"/>
                <w:bCs w:val="1"/>
                <w:color w:val="auto"/>
                <w:w w:val="86"/>
              </w:rPr>
              <w:t>per Share</w:t>
            </w: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300"/>
              <w:spacing w:after="0" w:line="109" w:lineRule="exact"/>
              <w:rPr>
                <w:sz w:val="20"/>
                <w:szCs w:val="20"/>
                <w:color w:val="auto"/>
              </w:rPr>
            </w:pPr>
            <w:r>
              <w:rPr>
                <w:rFonts w:ascii="Arial" w:cs="Arial" w:eastAsia="Arial" w:hAnsi="Arial"/>
                <w:sz w:val="11"/>
                <w:szCs w:val="11"/>
                <w:b w:val="1"/>
                <w:bCs w:val="1"/>
                <w:color w:val="auto"/>
                <w:w w:val="82"/>
              </w:rPr>
              <w:t>Average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3"/>
              </w:rPr>
              <w:t>for Grant</w:t>
            </w: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Shares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center"/>
              <w:ind w:left="158"/>
              <w:spacing w:after="0"/>
              <w:rPr>
                <w:sz w:val="20"/>
                <w:szCs w:val="20"/>
                <w:color w:val="auto"/>
              </w:rPr>
            </w:pPr>
            <w:r>
              <w:rPr>
                <w:rFonts w:ascii="Arial" w:cs="Arial" w:eastAsia="Arial" w:hAnsi="Arial"/>
                <w:sz w:val="11"/>
                <w:szCs w:val="11"/>
                <w:b w:val="1"/>
                <w:bCs w:val="1"/>
                <w:color w:val="auto"/>
                <w:w w:val="89"/>
              </w:rPr>
              <w:t>Range</w:t>
            </w: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5"/>
              </w:rPr>
              <w:t>Exercise Price</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at December 31, 2004</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1,286</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w:t>
            </w:r>
          </w:p>
        </w:tc>
        <w:tc>
          <w:tcPr>
            <w:tcW w:w="2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0.29</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0" w:type="dxa"/>
            <w:vAlign w:val="bottom"/>
          </w:tcPr>
          <w:p>
            <w:pPr>
              <w:ind w:left="40"/>
              <w:spacing w:after="0"/>
              <w:rPr>
                <w:sz w:val="20"/>
                <w:szCs w:val="20"/>
                <w:color w:val="auto"/>
              </w:rPr>
            </w:pPr>
            <w:r>
              <w:rPr>
                <w:rFonts w:ascii="Arial" w:cs="Arial" w:eastAsia="Arial" w:hAnsi="Arial"/>
                <w:sz w:val="13"/>
                <w:szCs w:val="13"/>
                <w:color w:val="auto"/>
              </w:rPr>
              <w:t>Options granted</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(425)</w:t>
            </w:r>
          </w:p>
        </w:tc>
        <w:tc>
          <w:tcPr>
            <w:tcW w:w="500" w:type="dxa"/>
            <w:vAlign w:val="bottom"/>
          </w:tcPr>
          <w:p>
            <w:pPr>
              <w:jc w:val="right"/>
              <w:spacing w:after="0"/>
              <w:rPr>
                <w:sz w:val="20"/>
                <w:szCs w:val="20"/>
                <w:color w:val="auto"/>
              </w:rPr>
            </w:pPr>
            <w:r>
              <w:rPr>
                <w:rFonts w:ascii="Arial" w:cs="Arial" w:eastAsia="Arial" w:hAnsi="Arial"/>
                <w:sz w:val="13"/>
                <w:szCs w:val="13"/>
                <w:color w:val="auto"/>
              </w:rPr>
              <w:t>425</w:t>
            </w:r>
          </w:p>
        </w:tc>
        <w:tc>
          <w:tcPr>
            <w:tcW w:w="22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0.45</w:t>
            </w:r>
          </w:p>
        </w:tc>
        <w:tc>
          <w:tcPr>
            <w:tcW w:w="380" w:type="dxa"/>
            <w:vAlign w:val="bottom"/>
          </w:tcPr>
          <w:p>
            <w:pPr>
              <w:jc w:val="right"/>
              <w:spacing w:after="0"/>
              <w:rPr>
                <w:sz w:val="20"/>
                <w:szCs w:val="20"/>
                <w:color w:val="auto"/>
              </w:rPr>
            </w:pPr>
            <w:r>
              <w:rPr>
                <w:rFonts w:ascii="Arial" w:cs="Arial" w:eastAsia="Arial" w:hAnsi="Arial"/>
                <w:sz w:val="13"/>
                <w:szCs w:val="13"/>
                <w:color w:val="auto"/>
                <w:w w:val="88"/>
              </w:rPr>
              <w:t>- 10.00</w:t>
            </w:r>
          </w:p>
        </w:tc>
        <w:tc>
          <w:tcPr>
            <w:tcW w:w="24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Options exercised</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0.29</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0.29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0" w:type="dxa"/>
            <w:vAlign w:val="bottom"/>
          </w:tcPr>
          <w:p>
            <w:pPr>
              <w:ind w:left="40"/>
              <w:spacing w:after="0"/>
              <w:rPr>
                <w:sz w:val="20"/>
                <w:szCs w:val="20"/>
                <w:color w:val="auto"/>
              </w:rPr>
            </w:pPr>
            <w:r>
              <w:rPr>
                <w:rFonts w:ascii="Arial" w:cs="Arial" w:eastAsia="Arial" w:hAnsi="Arial"/>
                <w:sz w:val="13"/>
                <w:szCs w:val="13"/>
                <w:color w:val="auto"/>
              </w:rPr>
              <w:t>Options forfeited</w:t>
            </w:r>
          </w:p>
        </w:tc>
        <w:tc>
          <w:tcPr>
            <w:tcW w:w="620" w:type="dxa"/>
            <w:vAlign w:val="bottom"/>
          </w:tcPr>
          <w:p>
            <w:pPr>
              <w:jc w:val="right"/>
              <w:spacing w:after="0"/>
              <w:rPr>
                <w:sz w:val="20"/>
                <w:szCs w:val="20"/>
                <w:color w:val="auto"/>
              </w:rPr>
            </w:pPr>
            <w:r>
              <w:rPr>
                <w:rFonts w:ascii="Arial" w:cs="Arial" w:eastAsia="Arial" w:hAnsi="Arial"/>
                <w:sz w:val="13"/>
                <w:szCs w:val="13"/>
                <w:color w:val="auto"/>
              </w:rPr>
              <w:t>120</w:t>
            </w:r>
          </w:p>
        </w:tc>
        <w:tc>
          <w:tcPr>
            <w:tcW w:w="40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(120)</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0.29</w:t>
            </w:r>
          </w:p>
        </w:tc>
        <w:tc>
          <w:tcPr>
            <w:tcW w:w="380" w:type="dxa"/>
            <w:vAlign w:val="bottom"/>
          </w:tcPr>
          <w:p>
            <w:pPr>
              <w:jc w:val="right"/>
              <w:spacing w:after="0"/>
              <w:rPr>
                <w:sz w:val="20"/>
                <w:szCs w:val="20"/>
                <w:color w:val="auto"/>
              </w:rPr>
            </w:pPr>
            <w:r>
              <w:rPr>
                <w:rFonts w:ascii="Arial" w:cs="Arial" w:eastAsia="Arial" w:hAnsi="Arial"/>
                <w:sz w:val="13"/>
                <w:szCs w:val="13"/>
                <w:color w:val="auto"/>
                <w:w w:val="88"/>
              </w:rPr>
              <w:t>- 10.00</w:t>
            </w:r>
          </w:p>
        </w:tc>
        <w:tc>
          <w:tcPr>
            <w:tcW w:w="24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0.30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at December 31, 2005</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981</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1,079</w:t>
            </w:r>
          </w:p>
        </w:tc>
        <w:tc>
          <w:tcPr>
            <w:tcW w:w="2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0.29</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- 10.00</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0" w:type="dxa"/>
            <w:vAlign w:val="bottom"/>
          </w:tcPr>
          <w:p>
            <w:pPr>
              <w:ind w:left="40"/>
              <w:spacing w:after="0"/>
              <w:rPr>
                <w:sz w:val="20"/>
                <w:szCs w:val="20"/>
                <w:color w:val="auto"/>
              </w:rPr>
            </w:pPr>
            <w:r>
              <w:rPr>
                <w:rFonts w:ascii="Arial" w:cs="Arial" w:eastAsia="Arial" w:hAnsi="Arial"/>
                <w:sz w:val="13"/>
                <w:szCs w:val="13"/>
                <w:color w:val="auto"/>
              </w:rPr>
              <w:t>Increase in options available for grant</w:t>
            </w:r>
          </w:p>
        </w:tc>
        <w:tc>
          <w:tcPr>
            <w:tcW w:w="620" w:type="dxa"/>
            <w:vAlign w:val="bottom"/>
          </w:tcPr>
          <w:p>
            <w:pPr>
              <w:jc w:val="right"/>
              <w:spacing w:after="0"/>
              <w:rPr>
                <w:sz w:val="20"/>
                <w:szCs w:val="20"/>
                <w:color w:val="auto"/>
              </w:rPr>
            </w:pPr>
            <w:r>
              <w:rPr>
                <w:rFonts w:ascii="Arial" w:cs="Arial" w:eastAsia="Arial" w:hAnsi="Arial"/>
                <w:sz w:val="13"/>
                <w:szCs w:val="13"/>
                <w:color w:val="auto"/>
              </w:rPr>
              <w:t>2,614</w:t>
            </w:r>
          </w:p>
        </w:tc>
        <w:tc>
          <w:tcPr>
            <w:tcW w:w="40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Options granted</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(1,791)</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1,791</w:t>
            </w:r>
          </w:p>
        </w:tc>
        <w:tc>
          <w:tcPr>
            <w:tcW w:w="2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- 12.68</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9.27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0" w:type="dxa"/>
            <w:vAlign w:val="bottom"/>
          </w:tcPr>
          <w:p>
            <w:pPr>
              <w:ind w:left="40"/>
              <w:spacing w:after="0"/>
              <w:rPr>
                <w:sz w:val="20"/>
                <w:szCs w:val="20"/>
                <w:color w:val="auto"/>
              </w:rPr>
            </w:pPr>
            <w:r>
              <w:rPr>
                <w:rFonts w:ascii="Arial" w:cs="Arial" w:eastAsia="Arial" w:hAnsi="Arial"/>
                <w:sz w:val="13"/>
                <w:szCs w:val="13"/>
                <w:color w:val="auto"/>
              </w:rPr>
              <w:t>Options exercised</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(324)</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0.29 - 6.19</w:t>
            </w:r>
          </w:p>
        </w:tc>
        <w:tc>
          <w:tcPr>
            <w:tcW w:w="24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0.34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Options and restricted stock forfeited</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4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(359)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0.29</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- 10.00</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0" w:type="dxa"/>
            <w:vAlign w:val="bottom"/>
          </w:tcPr>
          <w:p>
            <w:pPr>
              <w:ind w:left="40"/>
              <w:spacing w:after="0"/>
              <w:rPr>
                <w:sz w:val="20"/>
                <w:szCs w:val="20"/>
                <w:color w:val="auto"/>
              </w:rPr>
            </w:pPr>
            <w:r>
              <w:rPr>
                <w:rFonts w:ascii="Arial" w:cs="Arial" w:eastAsia="Arial" w:hAnsi="Arial"/>
                <w:sz w:val="13"/>
                <w:szCs w:val="13"/>
                <w:color w:val="auto"/>
              </w:rPr>
              <w:t>Net restricted stock purchased, granted and forfeited</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(367)</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at December 31, 2006</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1,796</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2,187</w:t>
            </w:r>
          </w:p>
        </w:tc>
        <w:tc>
          <w:tcPr>
            <w:tcW w:w="2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0.29</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- 12.68</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7.62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0" w:type="dxa"/>
            <w:vAlign w:val="bottom"/>
          </w:tcPr>
          <w:p>
            <w:pPr>
              <w:ind w:left="40"/>
              <w:spacing w:after="0"/>
              <w:rPr>
                <w:sz w:val="20"/>
                <w:szCs w:val="20"/>
                <w:color w:val="auto"/>
              </w:rPr>
            </w:pPr>
            <w:r>
              <w:rPr>
                <w:rFonts w:ascii="Arial" w:cs="Arial" w:eastAsia="Arial" w:hAnsi="Arial"/>
                <w:sz w:val="13"/>
                <w:szCs w:val="13"/>
                <w:color w:val="auto"/>
              </w:rPr>
              <w:t>Options granted</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(1,059)</w:t>
            </w:r>
          </w:p>
        </w:tc>
        <w:tc>
          <w:tcPr>
            <w:tcW w:w="500" w:type="dxa"/>
            <w:vAlign w:val="bottom"/>
          </w:tcPr>
          <w:p>
            <w:pPr>
              <w:jc w:val="right"/>
              <w:spacing w:after="0"/>
              <w:rPr>
                <w:sz w:val="20"/>
                <w:szCs w:val="20"/>
                <w:color w:val="auto"/>
              </w:rPr>
            </w:pPr>
            <w:r>
              <w:rPr>
                <w:rFonts w:ascii="Arial" w:cs="Arial" w:eastAsia="Arial" w:hAnsi="Arial"/>
                <w:sz w:val="13"/>
                <w:szCs w:val="13"/>
                <w:color w:val="auto"/>
              </w:rPr>
              <w:t>1,059</w:t>
            </w:r>
          </w:p>
        </w:tc>
        <w:tc>
          <w:tcPr>
            <w:tcW w:w="22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14.00</w:t>
            </w:r>
          </w:p>
        </w:tc>
        <w:tc>
          <w:tcPr>
            <w:tcW w:w="380" w:type="dxa"/>
            <w:vAlign w:val="bottom"/>
          </w:tcPr>
          <w:p>
            <w:pPr>
              <w:jc w:val="right"/>
              <w:spacing w:after="0"/>
              <w:rPr>
                <w:sz w:val="20"/>
                <w:szCs w:val="20"/>
                <w:color w:val="auto"/>
              </w:rPr>
            </w:pPr>
            <w:r>
              <w:rPr>
                <w:rFonts w:ascii="Arial" w:cs="Arial" w:eastAsia="Arial" w:hAnsi="Arial"/>
                <w:sz w:val="13"/>
                <w:szCs w:val="13"/>
                <w:color w:val="auto"/>
                <w:w w:val="88"/>
              </w:rPr>
              <w:t>- 42.77</w:t>
            </w:r>
          </w:p>
        </w:tc>
        <w:tc>
          <w:tcPr>
            <w:tcW w:w="24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28.06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Options exercised</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(342)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0.29</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- 14.00</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0" w:type="dxa"/>
            <w:vAlign w:val="bottom"/>
          </w:tcPr>
          <w:p>
            <w:pPr>
              <w:ind w:left="40"/>
              <w:spacing w:after="0"/>
              <w:rPr>
                <w:sz w:val="20"/>
                <w:szCs w:val="20"/>
                <w:color w:val="auto"/>
              </w:rPr>
            </w:pPr>
            <w:r>
              <w:rPr>
                <w:rFonts w:ascii="Arial" w:cs="Arial" w:eastAsia="Arial" w:hAnsi="Arial"/>
                <w:sz w:val="13"/>
                <w:szCs w:val="13"/>
                <w:color w:val="auto"/>
              </w:rPr>
              <w:t>Options forfeited</w:t>
            </w:r>
          </w:p>
        </w:tc>
        <w:tc>
          <w:tcPr>
            <w:tcW w:w="620" w:type="dxa"/>
            <w:vAlign w:val="bottom"/>
          </w:tcPr>
          <w:p>
            <w:pPr>
              <w:jc w:val="right"/>
              <w:spacing w:after="0"/>
              <w:rPr>
                <w:sz w:val="20"/>
                <w:szCs w:val="20"/>
                <w:color w:val="auto"/>
              </w:rPr>
            </w:pPr>
            <w:r>
              <w:rPr>
                <w:rFonts w:ascii="Arial" w:cs="Arial" w:eastAsia="Arial" w:hAnsi="Arial"/>
                <w:sz w:val="13"/>
                <w:szCs w:val="13"/>
                <w:color w:val="auto"/>
              </w:rPr>
              <w:t>73</w:t>
            </w:r>
          </w:p>
        </w:tc>
        <w:tc>
          <w:tcPr>
            <w:tcW w:w="40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(73)</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0.29</w:t>
            </w:r>
          </w:p>
        </w:tc>
        <w:tc>
          <w:tcPr>
            <w:tcW w:w="380" w:type="dxa"/>
            <w:vAlign w:val="bottom"/>
          </w:tcPr>
          <w:p>
            <w:pPr>
              <w:jc w:val="right"/>
              <w:spacing w:after="0"/>
              <w:rPr>
                <w:sz w:val="20"/>
                <w:szCs w:val="20"/>
                <w:color w:val="auto"/>
              </w:rPr>
            </w:pPr>
            <w:r>
              <w:rPr>
                <w:rFonts w:ascii="Arial" w:cs="Arial" w:eastAsia="Arial" w:hAnsi="Arial"/>
                <w:sz w:val="13"/>
                <w:szCs w:val="13"/>
                <w:color w:val="auto"/>
                <w:w w:val="88"/>
              </w:rPr>
              <w:t>- 38.62</w:t>
            </w:r>
          </w:p>
        </w:tc>
        <w:tc>
          <w:tcPr>
            <w:tcW w:w="24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12.40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Restricted stock granted and forfeited</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(56)</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spacing w:after="0"/>
              <w:rPr>
                <w:sz w:val="20"/>
                <w:szCs w:val="20"/>
                <w:color w:val="auto"/>
              </w:rPr>
            </w:pPr>
            <w:r>
              <w:rPr>
                <w:rFonts w:ascii="Arial" w:cs="Arial" w:eastAsia="Arial" w:hAnsi="Arial"/>
                <w:sz w:val="13"/>
                <w:szCs w:val="13"/>
                <w:color w:val="auto"/>
              </w:rPr>
              <w:t>Balance at December 31, 2007</w:t>
            </w: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00" w:type="dxa"/>
            <w:vAlign w:val="bottom"/>
            <w:gridSpan w:val="3"/>
            <w:vMerge w:val="continue"/>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754</w:t>
            </w:r>
          </w:p>
        </w:tc>
        <w:tc>
          <w:tcPr>
            <w:tcW w:w="4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2,831</w:t>
            </w:r>
          </w:p>
        </w:tc>
        <w:tc>
          <w:tcPr>
            <w:tcW w:w="220" w:type="dxa"/>
            <w:vAlign w:val="bottom"/>
          </w:tcPr>
          <w:p>
            <w:pPr>
              <w:spacing w:after="0"/>
              <w:rPr>
                <w:sz w:val="14"/>
                <w:szCs w:val="1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0.29</w:t>
            </w:r>
          </w:p>
        </w:tc>
        <w:tc>
          <w:tcPr>
            <w:tcW w:w="380" w:type="dxa"/>
            <w:vAlign w:val="bottom"/>
          </w:tcPr>
          <w:p>
            <w:pPr>
              <w:jc w:val="right"/>
              <w:spacing w:after="0"/>
              <w:rPr>
                <w:sz w:val="20"/>
                <w:szCs w:val="20"/>
                <w:color w:val="auto"/>
              </w:rPr>
            </w:pPr>
            <w:r>
              <w:rPr>
                <w:rFonts w:ascii="Arial" w:cs="Arial" w:eastAsia="Arial" w:hAnsi="Arial"/>
                <w:sz w:val="13"/>
                <w:szCs w:val="13"/>
                <w:color w:val="auto"/>
                <w:w w:val="88"/>
              </w:rPr>
              <w:t>- 42.77</w:t>
            </w:r>
          </w:p>
        </w:tc>
        <w:tc>
          <w:tcPr>
            <w:tcW w:w="24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15.51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Expected to vest at December 31, 2007</w:t>
            </w: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1,691</w:t>
            </w:r>
          </w:p>
        </w:tc>
        <w:tc>
          <w:tcPr>
            <w:tcW w:w="2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0.29</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- 42.77</w:t>
            </w:r>
          </w:p>
        </w:tc>
        <w:tc>
          <w:tcPr>
            <w:tcW w:w="24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16.93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500" w:type="dxa"/>
            <w:vAlign w:val="bottom"/>
            <w:gridSpan w:val="3"/>
          </w:tcPr>
          <w:p>
            <w:pPr>
              <w:spacing w:after="0"/>
              <w:rPr>
                <w:sz w:val="20"/>
                <w:szCs w:val="20"/>
                <w:color w:val="auto"/>
              </w:rPr>
            </w:pPr>
            <w:r>
              <w:rPr>
                <w:rFonts w:ascii="Arial" w:cs="Arial" w:eastAsia="Arial" w:hAnsi="Arial"/>
                <w:sz w:val="13"/>
                <w:szCs w:val="13"/>
                <w:color w:val="auto"/>
              </w:rPr>
              <w:t>Vested and exercisable at December 31, 2007</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744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500" w:type="dxa"/>
            <w:vAlign w:val="bottom"/>
            <w:tcBorders>
              <w:bottom w:val="single" w:sz="8" w:color="auto"/>
            </w:tcBorders>
            <w:shd w:val="clear" w:color="auto" w:fill="000000"/>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740" w:type="dxa"/>
            <w:vAlign w:val="bottom"/>
            <w:gridSpan w:val="10"/>
          </w:tcPr>
          <w:p>
            <w:pPr>
              <w:jc w:val="right"/>
              <w:ind w:right="160"/>
              <w:spacing w:after="0"/>
              <w:rPr>
                <w:sz w:val="20"/>
                <w:szCs w:val="20"/>
                <w:color w:val="auto"/>
              </w:rPr>
            </w:pPr>
            <w:r>
              <w:rPr>
                <w:rFonts w:ascii="Arial" w:cs="Arial" w:eastAsia="Arial" w:hAnsi="Arial"/>
                <w:sz w:val="13"/>
                <w:szCs w:val="13"/>
                <w:color w:val="auto"/>
                <w:w w:val="94"/>
              </w:rPr>
              <w:t>A summary of the Company’s non-vested restricted stock at December 31, 2007, and changes during the year ended December 31, 2007, is presented below:</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5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Non-Vested Restricted Stock</w:t>
            </w: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Number of</w:t>
            </w:r>
          </w:p>
        </w:tc>
        <w:tc>
          <w:tcPr>
            <w:tcW w:w="0" w:type="dxa"/>
            <w:vAlign w:val="bottom"/>
          </w:tcPr>
          <w:p>
            <w:pPr>
              <w:spacing w:after="0"/>
              <w:rPr>
                <w:sz w:val="1"/>
                <w:szCs w:val="1"/>
                <w:color w:val="auto"/>
              </w:rPr>
            </w:pPr>
          </w:p>
        </w:tc>
      </w:tr>
      <w:tr>
        <w:trPr>
          <w:trHeight w:val="126"/>
        </w:trPr>
        <w:tc>
          <w:tcPr>
            <w:tcW w:w="5500" w:type="dxa"/>
            <w:vAlign w:val="bottom"/>
            <w:gridSpan w:val="3"/>
            <w:vMerge w:val="continue"/>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Awards</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Non-vested at January 1, 2007</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0" w:type="dxa"/>
            <w:vAlign w:val="bottom"/>
          </w:tcPr>
          <w:p>
            <w:pPr>
              <w:ind w:left="40"/>
              <w:spacing w:after="0"/>
              <w:rPr>
                <w:sz w:val="20"/>
                <w:szCs w:val="20"/>
                <w:color w:val="auto"/>
              </w:rPr>
            </w:pPr>
            <w:r>
              <w:rPr>
                <w:rFonts w:ascii="Arial" w:cs="Arial" w:eastAsia="Arial" w:hAnsi="Arial"/>
                <w:sz w:val="13"/>
                <w:szCs w:val="13"/>
                <w:color w:val="auto"/>
              </w:rPr>
              <w:t>Granted</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Vested</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0" w:type="dxa"/>
            <w:vAlign w:val="bottom"/>
          </w:tcPr>
          <w:p>
            <w:pPr>
              <w:ind w:left="40"/>
              <w:spacing w:after="0"/>
              <w:rPr>
                <w:sz w:val="20"/>
                <w:szCs w:val="20"/>
                <w:color w:val="auto"/>
              </w:rPr>
            </w:pPr>
            <w:r>
              <w:rPr>
                <w:rFonts w:ascii="Arial" w:cs="Arial" w:eastAsia="Arial" w:hAnsi="Arial"/>
                <w:sz w:val="13"/>
                <w:szCs w:val="13"/>
                <w:color w:val="auto"/>
              </w:rPr>
              <w:t>Forfeited</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Non-vested at December 31, 2007</w:t>
            </w: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December 31, 2007 and 2006, the weighted average remaining contractual life of outstanding options was approximately 8.3 and 7.5 years, respectively. Options vested as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December 31, 2007 have an aggregate intrinsic value of approximately $20.8 million. Options outstanding as of December 31, 2007 have an aggregate intrinsic value of approximately</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$56.8 million The total intrinsic value (the excess of the market price over the exercise price) for stock options exercised in 2007 was approximately $8.9 million, and insignificant for 2006</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2005. The amount of cash received from the exercise of stock options was approximately $1.6 million in 2007. For</w:t>
      </w:r>
    </w:p>
    <w:p>
      <w:pPr>
        <w:spacing w:after="0" w:line="29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60" w:lineRule="exact"/>
        <w:rPr>
          <w:sz w:val="20"/>
          <w:szCs w:val="20"/>
          <w:color w:val="auto"/>
        </w:rPr>
      </w:pPr>
    </w:p>
    <w:p>
      <w:pPr>
        <w:ind w:left="680" w:right="260"/>
        <w:spacing w:after="0" w:line="279" w:lineRule="auto"/>
        <w:rPr>
          <w:sz w:val="20"/>
          <w:szCs w:val="20"/>
          <w:color w:val="auto"/>
        </w:rPr>
      </w:pPr>
      <w:r>
        <w:rPr>
          <w:rFonts w:ascii="Arial" w:cs="Arial" w:eastAsia="Arial" w:hAnsi="Arial"/>
          <w:sz w:val="13"/>
          <w:szCs w:val="13"/>
          <w:color w:val="auto"/>
        </w:rPr>
        <w:t>the years ended December 31, 2007 and 2006, the total fair value of vested options was approximately $2.5 million and $326, respectively, and the minimum value was $62 for the year ended December 31, 2005.</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information about vested stock options at December 31, 2007:</w:t>
      </w:r>
    </w:p>
    <w:p>
      <w:pPr>
        <w:spacing w:after="0" w:line="116" w:lineRule="exact"/>
        <w:rPr>
          <w:sz w:val="20"/>
          <w:szCs w:val="20"/>
          <w:color w:val="auto"/>
        </w:rPr>
      </w:pPr>
    </w:p>
    <w:tbl>
      <w:tblPr>
        <w:tblLayout w:type="fixed"/>
        <w:tblInd w:w="68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2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Vested Stock Options</w:t>
            </w: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744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00" w:type="dxa"/>
            <w:vAlign w:val="bottom"/>
            <w:gridSpan w:val="3"/>
          </w:tcPr>
          <w:p>
            <w:pPr>
              <w:spacing w:after="0"/>
              <w:rPr>
                <w:sz w:val="20"/>
                <w:szCs w:val="20"/>
                <w:color w:val="auto"/>
              </w:rPr>
            </w:pPr>
            <w:r>
              <w:rPr>
                <w:rFonts w:ascii="Arial" w:cs="Arial" w:eastAsia="Arial" w:hAnsi="Arial"/>
                <w:sz w:val="13"/>
                <w:szCs w:val="13"/>
                <w:color w:val="auto"/>
              </w:rPr>
              <w:t>Weighted Average Exercise Price</w:t>
            </w: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  7.46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00" w:type="dxa"/>
            <w:vAlign w:val="bottom"/>
            <w:gridSpan w:val="4"/>
            <w:shd w:val="clear" w:color="auto" w:fill="CCEEFF"/>
          </w:tcPr>
          <w:p>
            <w:pPr>
              <w:spacing w:after="0"/>
              <w:rPr>
                <w:sz w:val="20"/>
                <w:szCs w:val="20"/>
                <w:color w:val="auto"/>
              </w:rPr>
            </w:pPr>
            <w:r>
              <w:rPr>
                <w:rFonts w:ascii="Arial" w:cs="Arial" w:eastAsia="Arial" w:hAnsi="Arial"/>
                <w:sz w:val="13"/>
                <w:szCs w:val="13"/>
                <w:color w:val="auto"/>
                <w:w w:val="94"/>
              </w:rPr>
              <w:t>Weighted Average Remaining Contractual Life (in years)</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580" w:type="dxa"/>
            <w:vAlign w:val="bottom"/>
            <w:gridSpan w:val="8"/>
          </w:tcPr>
          <w:p>
            <w:pPr>
              <w:ind w:left="40"/>
              <w:spacing w:after="0"/>
              <w:rPr>
                <w:sz w:val="20"/>
                <w:szCs w:val="20"/>
                <w:color w:val="auto"/>
              </w:rPr>
            </w:pPr>
            <w:r>
              <w:rPr>
                <w:rFonts w:ascii="Arial" w:cs="Arial" w:eastAsia="Arial" w:hAnsi="Arial"/>
                <w:sz w:val="13"/>
                <w:szCs w:val="13"/>
                <w:color w:val="auto"/>
              </w:rPr>
              <w:t>The following table summarizes stock options outstanding and exercisable at December 31, 2007:</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ind w:left="880"/>
              <w:spacing w:after="0"/>
              <w:rPr>
                <w:sz w:val="20"/>
                <w:szCs w:val="20"/>
                <w:color w:val="auto"/>
              </w:rPr>
            </w:pPr>
            <w:r>
              <w:rPr>
                <w:rFonts w:ascii="Arial" w:cs="Arial" w:eastAsia="Arial" w:hAnsi="Arial"/>
                <w:sz w:val="11"/>
                <w:szCs w:val="11"/>
                <w:b w:val="1"/>
                <w:bCs w:val="1"/>
                <w:color w:val="auto"/>
                <w:w w:val="89"/>
              </w:rPr>
              <w:t>Outstanding</w:t>
            </w: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80" w:type="dxa"/>
            <w:vAlign w:val="bottom"/>
            <w:gridSpan w:val="3"/>
          </w:tcPr>
          <w:p>
            <w:pPr>
              <w:jc w:val="right"/>
              <w:ind w:right="980"/>
              <w:spacing w:after="0"/>
              <w:rPr>
                <w:sz w:val="20"/>
                <w:szCs w:val="20"/>
                <w:color w:val="auto"/>
              </w:rPr>
            </w:pPr>
            <w:r>
              <w:rPr>
                <w:rFonts w:ascii="Arial" w:cs="Arial" w:eastAsia="Arial" w:hAnsi="Arial"/>
                <w:sz w:val="11"/>
                <w:szCs w:val="11"/>
                <w:b w:val="1"/>
                <w:bCs w:val="1"/>
                <w:color w:val="auto"/>
              </w:rPr>
              <w:t>Exercisable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Borders>
              <w:top w:val="single" w:sz="8" w:color="auto"/>
            </w:tcBorders>
          </w:tcPr>
          <w:p>
            <w:pPr>
              <w:jc w:val="right"/>
              <w:ind w:right="37"/>
              <w:spacing w:after="0" w:line="82" w:lineRule="exact"/>
              <w:rPr>
                <w:sz w:val="20"/>
                <w:szCs w:val="20"/>
                <w:color w:val="auto"/>
              </w:rPr>
            </w:pPr>
            <w:r>
              <w:rPr>
                <w:rFonts w:ascii="Arial" w:cs="Arial" w:eastAsia="Arial" w:hAnsi="Arial"/>
                <w:sz w:val="9"/>
                <w:szCs w:val="9"/>
                <w:b w:val="1"/>
                <w:bCs w:val="1"/>
                <w:color w:val="auto"/>
              </w:rPr>
              <w:t>Number of</w:t>
            </w:r>
          </w:p>
        </w:tc>
        <w:tc>
          <w:tcPr>
            <w:tcW w:w="4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80" w:type="dxa"/>
            <w:vAlign w:val="bottom"/>
            <w:tcBorders>
              <w:top w:val="single" w:sz="8" w:color="auto"/>
            </w:tcBorders>
            <w:gridSpan w:val="2"/>
          </w:tcPr>
          <w:p>
            <w:pPr>
              <w:jc w:val="center"/>
              <w:ind w:right="520"/>
              <w:spacing w:after="0" w:line="82" w:lineRule="exact"/>
              <w:rPr>
                <w:sz w:val="20"/>
                <w:szCs w:val="20"/>
                <w:color w:val="auto"/>
              </w:rPr>
            </w:pPr>
            <w:r>
              <w:rPr>
                <w:rFonts w:ascii="Arial" w:cs="Arial" w:eastAsia="Arial" w:hAnsi="Arial"/>
                <w:sz w:val="9"/>
                <w:szCs w:val="9"/>
                <w:b w:val="1"/>
                <w:bCs w:val="1"/>
                <w:color w:val="auto"/>
              </w:rPr>
              <w:t>Weighted-Average</w:t>
            </w:r>
          </w:p>
        </w:tc>
        <w:tc>
          <w:tcPr>
            <w:tcW w:w="1800" w:type="dxa"/>
            <w:vAlign w:val="bottom"/>
            <w:tcBorders>
              <w:top w:val="single" w:sz="8" w:color="auto"/>
            </w:tcBorders>
          </w:tcPr>
          <w:p>
            <w:pPr>
              <w:jc w:val="center"/>
              <w:ind w:left="210"/>
              <w:spacing w:after="0" w:line="82" w:lineRule="exact"/>
              <w:rPr>
                <w:sz w:val="20"/>
                <w:szCs w:val="20"/>
                <w:color w:val="auto"/>
              </w:rPr>
            </w:pPr>
            <w:r>
              <w:rPr>
                <w:rFonts w:ascii="Arial" w:cs="Arial" w:eastAsia="Arial" w:hAnsi="Arial"/>
                <w:sz w:val="9"/>
                <w:szCs w:val="9"/>
                <w:b w:val="1"/>
                <w:bCs w:val="1"/>
                <w:color w:val="auto"/>
              </w:rPr>
              <w:t>Weighted-Average Remaining</w:t>
            </w:r>
          </w:p>
        </w:tc>
        <w:tc>
          <w:tcPr>
            <w:tcW w:w="28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Borders>
              <w:top w:val="single" w:sz="8" w:color="auto"/>
            </w:tcBorders>
          </w:tcPr>
          <w:p>
            <w:pPr>
              <w:jc w:val="right"/>
              <w:ind w:right="39"/>
              <w:spacing w:after="0" w:line="82" w:lineRule="exact"/>
              <w:rPr>
                <w:sz w:val="20"/>
                <w:szCs w:val="20"/>
                <w:color w:val="auto"/>
              </w:rPr>
            </w:pPr>
            <w:r>
              <w:rPr>
                <w:rFonts w:ascii="Arial" w:cs="Arial" w:eastAsia="Arial" w:hAnsi="Arial"/>
                <w:sz w:val="9"/>
                <w:szCs w:val="9"/>
                <w:b w:val="1"/>
                <w:bCs w:val="1"/>
                <w:color w:val="auto"/>
              </w:rPr>
              <w:t>Number of</w:t>
            </w:r>
          </w:p>
        </w:tc>
        <w:tc>
          <w:tcPr>
            <w:tcW w:w="40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jc w:val="right"/>
              <w:ind w:right="120"/>
              <w:spacing w:after="0" w:line="82" w:lineRule="exact"/>
              <w:rPr>
                <w:sz w:val="20"/>
                <w:szCs w:val="20"/>
                <w:color w:val="auto"/>
              </w:rPr>
            </w:pPr>
            <w:r>
              <w:rPr>
                <w:rFonts w:ascii="Arial" w:cs="Arial" w:eastAsia="Arial" w:hAnsi="Arial"/>
                <w:sz w:val="9"/>
                <w:szCs w:val="9"/>
                <w:b w:val="1"/>
                <w:bCs w:val="1"/>
                <w:color w:val="auto"/>
              </w:rPr>
              <w:t>Weighted Average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420" w:type="dxa"/>
            <w:vAlign w:val="bottom"/>
            <w:gridSpan w:val="4"/>
          </w:tcPr>
          <w:p>
            <w:pPr>
              <w:spacing w:after="0"/>
              <w:rPr>
                <w:sz w:val="20"/>
                <w:szCs w:val="20"/>
                <w:color w:val="auto"/>
              </w:rPr>
            </w:pPr>
            <w:r>
              <w:rPr>
                <w:rFonts w:ascii="Arial" w:cs="Arial" w:eastAsia="Arial" w:hAnsi="Arial"/>
                <w:sz w:val="11"/>
                <w:szCs w:val="11"/>
                <w:b w:val="1"/>
                <w:bCs w:val="1"/>
                <w:color w:val="auto"/>
              </w:rPr>
              <w:t>Range of Exercise Price</w:t>
            </w:r>
          </w:p>
        </w:tc>
        <w:tc>
          <w:tcPr>
            <w:tcW w:w="700" w:type="dxa"/>
            <w:vAlign w:val="bottom"/>
          </w:tcPr>
          <w:p>
            <w:pPr>
              <w:jc w:val="right"/>
              <w:ind w:right="117"/>
              <w:spacing w:after="0"/>
              <w:rPr>
                <w:sz w:val="20"/>
                <w:szCs w:val="20"/>
                <w:color w:val="auto"/>
              </w:rPr>
            </w:pPr>
            <w:r>
              <w:rPr>
                <w:rFonts w:ascii="Arial" w:cs="Arial" w:eastAsia="Arial" w:hAnsi="Arial"/>
                <w:sz w:val="11"/>
                <w:szCs w:val="11"/>
                <w:b w:val="1"/>
                <w:bCs w:val="1"/>
                <w:color w:val="auto"/>
              </w:rPr>
              <w:t>Options</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1"/>
                <w:szCs w:val="11"/>
                <w:b w:val="1"/>
                <w:bCs w:val="1"/>
                <w:color w:val="auto"/>
                <w:w w:val="85"/>
              </w:rPr>
              <w:t>Exercise Price</w:t>
            </w:r>
          </w:p>
        </w:tc>
        <w:tc>
          <w:tcPr>
            <w:tcW w:w="1800" w:type="dxa"/>
            <w:vAlign w:val="bottom"/>
          </w:tcPr>
          <w:p>
            <w:pPr>
              <w:jc w:val="center"/>
              <w:ind w:left="230"/>
              <w:spacing w:after="0"/>
              <w:rPr>
                <w:sz w:val="20"/>
                <w:szCs w:val="20"/>
                <w:color w:val="auto"/>
              </w:rPr>
            </w:pPr>
            <w:r>
              <w:rPr>
                <w:rFonts w:ascii="Arial" w:cs="Arial" w:eastAsia="Arial" w:hAnsi="Arial"/>
                <w:sz w:val="11"/>
                <w:szCs w:val="11"/>
                <w:b w:val="1"/>
                <w:bCs w:val="1"/>
                <w:color w:val="auto"/>
                <w:w w:val="88"/>
              </w:rPr>
              <w:t>Contractual Life (in years)</w:t>
            </w: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jc w:val="right"/>
              <w:ind w:right="99"/>
              <w:spacing w:after="0"/>
              <w:rPr>
                <w:sz w:val="20"/>
                <w:szCs w:val="20"/>
                <w:color w:val="auto"/>
              </w:rPr>
            </w:pPr>
            <w:r>
              <w:rPr>
                <w:rFonts w:ascii="Arial" w:cs="Arial" w:eastAsia="Arial" w:hAnsi="Arial"/>
                <w:sz w:val="11"/>
                <w:szCs w:val="11"/>
                <w:b w:val="1"/>
                <w:bCs w:val="1"/>
                <w:color w:val="auto"/>
              </w:rPr>
              <w:t>Options</w:t>
            </w:r>
          </w:p>
        </w:tc>
        <w:tc>
          <w:tcPr>
            <w:tcW w:w="400" w:type="dxa"/>
            <w:vAlign w:val="bottom"/>
          </w:tcPr>
          <w:p>
            <w:pPr>
              <w:spacing w:after="0"/>
              <w:rPr>
                <w:sz w:val="10"/>
                <w:szCs w:val="10"/>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Exercise Price</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$ 0.29</w:t>
            </w:r>
          </w:p>
        </w:tc>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$ 1.84</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4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0.91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180" w:type="dxa"/>
            <w:vAlign w:val="bottom"/>
            <w:gridSpan w:val="2"/>
          </w:tcPr>
          <w:p>
            <w:pPr>
              <w:ind w:left="60"/>
              <w:spacing w:after="0"/>
              <w:rPr>
                <w:sz w:val="20"/>
                <w:szCs w:val="20"/>
                <w:color w:val="auto"/>
              </w:rPr>
            </w:pPr>
            <w:r>
              <w:rPr>
                <w:rFonts w:ascii="Arial" w:cs="Arial" w:eastAsia="Arial" w:hAnsi="Arial"/>
                <w:sz w:val="13"/>
                <w:szCs w:val="13"/>
                <w:color w:val="auto"/>
              </w:rPr>
              <w:t>6.19 - 7.35</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283</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6.93</w:t>
            </w:r>
          </w:p>
        </w:tc>
        <w:tc>
          <w:tcPr>
            <w:tcW w:w="4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8.4</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73</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6.97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1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8.92 - 10.00</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9.09</w:t>
            </w:r>
          </w:p>
        </w:tc>
        <w:tc>
          <w:tcPr>
            <w:tcW w:w="4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9.06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2"/>
              </w:rPr>
              <w:t>12.68</w:t>
            </w:r>
          </w:p>
        </w:tc>
        <w:tc>
          <w:tcPr>
            <w:tcW w:w="1840" w:type="dxa"/>
            <w:vAlign w:val="bottom"/>
          </w:tcPr>
          <w:p>
            <w:pPr>
              <w:ind w:left="20"/>
              <w:spacing w:after="0"/>
              <w:rPr>
                <w:sz w:val="20"/>
                <w:szCs w:val="20"/>
                <w:color w:val="auto"/>
              </w:rPr>
            </w:pPr>
            <w:r>
              <w:rPr>
                <w:rFonts w:ascii="Arial" w:cs="Arial" w:eastAsia="Arial" w:hAnsi="Arial"/>
                <w:sz w:val="13"/>
                <w:szCs w:val="13"/>
                <w:color w:val="auto"/>
              </w:rPr>
              <w:t>- 16.19</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417</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13.44</w:t>
            </w:r>
          </w:p>
        </w:tc>
        <w:tc>
          <w:tcPr>
            <w:tcW w:w="4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9.0</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106</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13.13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17.90</w:t>
            </w:r>
          </w:p>
        </w:tc>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- 24.46</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23.53</w:t>
            </w:r>
          </w:p>
        </w:tc>
        <w:tc>
          <w:tcPr>
            <w:tcW w:w="4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2"/>
              </w:rPr>
              <w:t>27.84</w:t>
            </w:r>
          </w:p>
        </w:tc>
        <w:tc>
          <w:tcPr>
            <w:tcW w:w="1840" w:type="dxa"/>
            <w:vAlign w:val="bottom"/>
          </w:tcPr>
          <w:p>
            <w:pPr>
              <w:ind w:left="20"/>
              <w:spacing w:after="0"/>
              <w:rPr>
                <w:sz w:val="20"/>
                <w:szCs w:val="20"/>
                <w:color w:val="auto"/>
              </w:rPr>
            </w:pPr>
            <w:r>
              <w:rPr>
                <w:rFonts w:ascii="Arial" w:cs="Arial" w:eastAsia="Arial" w:hAnsi="Arial"/>
                <w:sz w:val="13"/>
                <w:szCs w:val="13"/>
                <w:color w:val="auto"/>
              </w:rPr>
              <w:t>- 35.85</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233</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31.59</w:t>
            </w:r>
          </w:p>
        </w:tc>
        <w:tc>
          <w:tcPr>
            <w:tcW w:w="4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8.1</w:t>
            </w:r>
          </w:p>
        </w:tc>
        <w:tc>
          <w:tcPr>
            <w:tcW w:w="4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36.08</w:t>
            </w:r>
          </w:p>
        </w:tc>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- 42.77</w:t>
            </w:r>
          </w:p>
        </w:tc>
        <w:tc>
          <w:tcPr>
            <w:tcW w:w="22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36.53</w:t>
            </w:r>
          </w:p>
        </w:tc>
        <w:tc>
          <w:tcPr>
            <w:tcW w:w="4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4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2,831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744</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Stock Purchases and Grants</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Under the 2000 Plan and 2006 Plan, certain eligible individuals may be granted or given the opportunity to purchase the Company’s common stock at a price not less than the par</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value of the shares. The Company’s board of directors determines the purchase price at its sole discretion. Shares awarded or sold under the 2000 Plan and 2006 Plan are subject to certain</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special forfeiture conditions, rights of repurchase, rights of first refusal and other transfer restrictions as the Company’s board of directors may determine. Under most circumstances, the</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1"/>
          <w:szCs w:val="11"/>
          <w:color w:val="auto"/>
        </w:rPr>
        <w:t>right of repurchase shall lapse with respect to the first 25% of the purchased shares when the purchaser completes 12 months of continuous service and shall lapse as to an additional 1/48 of</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purchased shares when the purchaser completes each month of continuous service thereafter. In March 2006, 111 shares of restricted stock were purchased by a board member. The</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purchase price of these shares was $8.98 per share. The shares are not subject to any vesting schedule. In April 2006, the Company’s board of directors awarded 191 shares of restricted</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stock at a fair value of $8.98 per share to certain employees of the Company. In October 2006, the Company’s board of directors awarded 33 shares of restricted stock at a fair value of</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1"/>
          <w:szCs w:val="11"/>
          <w:color w:val="auto"/>
        </w:rPr>
        <w:t>$8.98 per share to certain management employees of the Company. In December 2006, the Company’s board of directors awarded 35 shares of restricted stock at a fair value of $12.68 per</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share to certain management employees of the Company. In January 2007, the Company’s board of directors was awarded 19 shares of restricted stock at a fair value of $14 per share. In</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December 2007, the Company’s board of directors awarded 29 shares of restricted stock at a fair value of $36.10 per share to certain management employees of the Company. Also in</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2007, the Company’s board of directors awarded 12 shares of restricted stock at a fair value of $33.32 per share to a management employee of the Company.</w:t>
      </w:r>
    </w:p>
    <w:p>
      <w:pPr>
        <w:spacing w:after="0" w:line="166" w:lineRule="exact"/>
        <w:rPr>
          <w:sz w:val="20"/>
          <w:szCs w:val="20"/>
          <w:color w:val="auto"/>
        </w:rPr>
      </w:pPr>
    </w:p>
    <w:p>
      <w:pPr>
        <w:ind w:left="1000" w:hanging="313"/>
        <w:spacing w:after="0"/>
        <w:tabs>
          <w:tab w:leader="none" w:pos="1000"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color w:val="auto"/>
        </w:rPr>
        <w:t>401(k) Plan</w:t>
      </w:r>
    </w:p>
    <w:p>
      <w:pPr>
        <w:spacing w:after="0" w:line="102" w:lineRule="exact"/>
        <w:rPr>
          <w:sz w:val="20"/>
          <w:szCs w:val="20"/>
          <w:color w:val="auto"/>
        </w:rPr>
      </w:pPr>
    </w:p>
    <w:p>
      <w:pPr>
        <w:ind w:left="680" w:right="140" w:firstLine="399"/>
        <w:spacing w:after="0" w:line="266" w:lineRule="auto"/>
        <w:rPr>
          <w:sz w:val="20"/>
          <w:szCs w:val="20"/>
          <w:color w:val="auto"/>
        </w:rPr>
      </w:pPr>
      <w:r>
        <w:rPr>
          <w:rFonts w:ascii="Arial" w:cs="Arial" w:eastAsia="Arial" w:hAnsi="Arial"/>
          <w:sz w:val="13"/>
          <w:szCs w:val="13"/>
          <w:color w:val="auto"/>
        </w:rPr>
        <w:t>The Company has a 401(k) plan (the “Plan”) covering all eligible employees. The Plan allows for a discretionary employer match. In 2007, the Company elected to increase its match as a percentage of employee deferrals. The Company incurred and expensed $503, $90 and $71 for the years ended December 31, 2007, 2006 and 2005, respectively, in Plan match contributions.</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6" w:lineRule="exact"/>
        <w:rPr>
          <w:sz w:val="20"/>
          <w:szCs w:val="20"/>
          <w:color w:val="auto"/>
        </w:rPr>
      </w:pPr>
    </w:p>
    <w:p>
      <w:pPr>
        <w:ind w:left="1200" w:hanging="513"/>
        <w:spacing w:after="0"/>
        <w:tabs>
          <w:tab w:leader="none" w:pos="1200"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2" w:lineRule="exact"/>
        <w:rPr>
          <w:sz w:val="20"/>
          <w:szCs w:val="20"/>
          <w:color w:val="auto"/>
        </w:rPr>
      </w:pPr>
    </w:p>
    <w:p>
      <w:pPr>
        <w:ind w:left="680" w:firstLine="399"/>
        <w:spacing w:after="0" w:line="279" w:lineRule="auto"/>
        <w:rPr>
          <w:sz w:val="20"/>
          <w:szCs w:val="20"/>
          <w:color w:val="auto"/>
        </w:rPr>
      </w:pPr>
      <w:r>
        <w:rPr>
          <w:rFonts w:ascii="Arial" w:cs="Arial" w:eastAsia="Arial" w:hAnsi="Arial"/>
          <w:sz w:val="13"/>
          <w:szCs w:val="13"/>
          <w:color w:val="auto"/>
        </w:rPr>
        <w:t>Deferred income taxes reflect the net effects of temporary differences between the carrying amounts of assets and liabilities for financial reporting purposes and the amounts used for income tax purposes. Significant components of the Company’s deferred tax assets are as follows:</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December 31,</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8"/>
              <w:spacing w:after="0" w:line="99" w:lineRule="exact"/>
              <w:rPr>
                <w:sz w:val="20"/>
                <w:szCs w:val="20"/>
                <w:color w:val="auto"/>
              </w:rPr>
            </w:pPr>
            <w:r>
              <w:rPr>
                <w:rFonts w:ascii="Arial" w:cs="Arial" w:eastAsia="Arial" w:hAnsi="Arial"/>
                <w:sz w:val="11"/>
                <w:szCs w:val="11"/>
                <w:b w:val="1"/>
                <w:bCs w:val="1"/>
                <w:color w:val="auto"/>
                <w:w w:val="97"/>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3"/>
          </w:tcPr>
          <w:p>
            <w:pPr>
              <w:jc w:val="right"/>
              <w:ind w:right="74"/>
              <w:spacing w:after="0" w:line="99" w:lineRule="exact"/>
              <w:rPr>
                <w:sz w:val="20"/>
                <w:szCs w:val="20"/>
                <w:color w:val="auto"/>
              </w:rPr>
            </w:pPr>
            <w:r>
              <w:rPr>
                <w:rFonts w:ascii="Arial" w:cs="Arial" w:eastAsia="Arial" w:hAnsi="Arial"/>
                <w:sz w:val="11"/>
                <w:szCs w:val="11"/>
                <w:b w:val="1"/>
                <w:bCs w:val="1"/>
                <w:color w:val="auto"/>
                <w:w w:val="81"/>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0" w:type="dxa"/>
            <w:vAlign w:val="bottom"/>
          </w:tcPr>
          <w:p>
            <w:pPr>
              <w:ind w:left="120"/>
              <w:spacing w:after="0"/>
              <w:rPr>
                <w:sz w:val="20"/>
                <w:szCs w:val="20"/>
                <w:color w:val="auto"/>
              </w:rPr>
            </w:pPr>
            <w:r>
              <w:rPr>
                <w:rFonts w:ascii="Arial" w:cs="Arial" w:eastAsia="Arial" w:hAnsi="Arial"/>
                <w:sz w:val="13"/>
                <w:szCs w:val="13"/>
                <w:color w:val="auto"/>
              </w:rPr>
              <w:t>Accrued liabilities</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revenue</w:t>
            </w: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0" w:type="dxa"/>
            <w:vAlign w:val="bottom"/>
          </w:tcPr>
          <w:p>
            <w:pPr>
              <w:ind w:left="120"/>
              <w:spacing w:after="0"/>
              <w:rPr>
                <w:sz w:val="20"/>
                <w:szCs w:val="20"/>
                <w:color w:val="auto"/>
              </w:rPr>
            </w:pPr>
            <w:r>
              <w:rPr>
                <w:rFonts w:ascii="Arial" w:cs="Arial" w:eastAsia="Arial" w:hAnsi="Arial"/>
                <w:sz w:val="13"/>
                <w:szCs w:val="13"/>
                <w:color w:val="auto"/>
              </w:rPr>
              <w:t>Bad debts reserve</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178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State net operating loss carryforwards</w:t>
            </w: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812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0" w:type="dxa"/>
            <w:vAlign w:val="bottom"/>
          </w:tcPr>
          <w:p>
            <w:pPr>
              <w:ind w:left="120"/>
              <w:spacing w:after="0"/>
              <w:rPr>
                <w:sz w:val="20"/>
                <w:szCs w:val="20"/>
                <w:color w:val="auto"/>
              </w:rPr>
            </w:pPr>
            <w:r>
              <w:rPr>
                <w:rFonts w:ascii="Arial" w:cs="Arial" w:eastAsia="Arial" w:hAnsi="Arial"/>
                <w:sz w:val="13"/>
                <w:szCs w:val="13"/>
                <w:color w:val="auto"/>
              </w:rPr>
              <w:t>Depreciation</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801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82"/>
              </w:rPr>
              <w:t>669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compensation</w:t>
            </w:r>
          </w:p>
        </w:tc>
        <w:tc>
          <w:tcPr>
            <w:tcW w:w="12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1,079</w:t>
            </w:r>
          </w:p>
        </w:tc>
        <w:tc>
          <w:tcPr>
            <w:tcW w:w="4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292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220" w:type="dxa"/>
            <w:vAlign w:val="bottom"/>
            <w:gridSpan w:val="2"/>
          </w:tcPr>
          <w:p>
            <w:pPr>
              <w:spacing w:after="0"/>
              <w:rPr>
                <w:sz w:val="20"/>
                <w:szCs w:val="20"/>
                <w:color w:val="auto"/>
              </w:rPr>
            </w:pPr>
            <w:r>
              <w:rPr>
                <w:rFonts w:ascii="Arial" w:cs="Arial" w:eastAsia="Arial" w:hAnsi="Arial"/>
                <w:sz w:val="13"/>
                <w:szCs w:val="13"/>
                <w:color w:val="auto"/>
              </w:rPr>
              <w:t>Net deferred income taxes</w:t>
            </w:r>
          </w:p>
        </w:tc>
        <w:tc>
          <w:tcPr>
            <w:tcW w:w="13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2,745</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spacing w:after="0"/>
              <w:rPr>
                <w:sz w:val="20"/>
                <w:szCs w:val="20"/>
                <w:color w:val="auto"/>
              </w:rPr>
            </w:pPr>
            <w:r>
              <w:rPr>
                <w:rFonts w:ascii="Arial" w:cs="Arial" w:eastAsia="Arial" w:hAnsi="Arial"/>
                <w:sz w:val="13"/>
                <w:szCs w:val="13"/>
                <w:color w:val="auto"/>
              </w:rPr>
              <w:t>1,955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0" w:type="dxa"/>
            <w:vAlign w:val="bottom"/>
          </w:tcPr>
          <w:p>
            <w:pPr>
              <w:ind w:left="380"/>
              <w:spacing w:after="0"/>
              <w:rPr>
                <w:sz w:val="20"/>
                <w:szCs w:val="20"/>
                <w:color w:val="auto"/>
              </w:rPr>
            </w:pPr>
            <w:r>
              <w:rPr>
                <w:rFonts w:ascii="Arial" w:cs="Arial" w:eastAsia="Arial" w:hAnsi="Arial"/>
                <w:sz w:val="13"/>
                <w:szCs w:val="13"/>
                <w:color w:val="auto"/>
              </w:rPr>
              <w:t>The following table indicates where net deferred income taxes have been classified in the Balance Sheet:</w:t>
            </w:r>
          </w:p>
        </w:tc>
        <w:tc>
          <w:tcPr>
            <w:tcW w:w="12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December 31,</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8"/>
              <w:spacing w:after="0" w:line="99" w:lineRule="exact"/>
              <w:rPr>
                <w:sz w:val="20"/>
                <w:szCs w:val="20"/>
                <w:color w:val="auto"/>
              </w:rPr>
            </w:pPr>
            <w:r>
              <w:rPr>
                <w:rFonts w:ascii="Arial" w:cs="Arial" w:eastAsia="Arial" w:hAnsi="Arial"/>
                <w:sz w:val="11"/>
                <w:szCs w:val="11"/>
                <w:b w:val="1"/>
                <w:bCs w:val="1"/>
                <w:color w:val="auto"/>
                <w:w w:val="97"/>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3"/>
          </w:tcPr>
          <w:p>
            <w:pPr>
              <w:jc w:val="right"/>
              <w:ind w:right="74"/>
              <w:spacing w:after="0" w:line="99" w:lineRule="exact"/>
              <w:rPr>
                <w:sz w:val="20"/>
                <w:szCs w:val="20"/>
                <w:color w:val="auto"/>
              </w:rPr>
            </w:pPr>
            <w:r>
              <w:rPr>
                <w:rFonts w:ascii="Arial" w:cs="Arial" w:eastAsia="Arial" w:hAnsi="Arial"/>
                <w:sz w:val="11"/>
                <w:szCs w:val="11"/>
                <w:b w:val="1"/>
                <w:bCs w:val="1"/>
                <w:color w:val="auto"/>
                <w:w w:val="81"/>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Current deferred tax assets</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312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0" w:type="dxa"/>
            <w:vAlign w:val="bottom"/>
          </w:tcPr>
          <w:p>
            <w:pPr>
              <w:spacing w:after="0"/>
              <w:rPr>
                <w:sz w:val="20"/>
                <w:szCs w:val="20"/>
                <w:color w:val="auto"/>
              </w:rPr>
            </w:pPr>
            <w:r>
              <w:rPr>
                <w:rFonts w:ascii="Arial" w:cs="Arial" w:eastAsia="Arial" w:hAnsi="Arial"/>
                <w:sz w:val="13"/>
                <w:szCs w:val="13"/>
                <w:color w:val="auto"/>
              </w:rPr>
              <w:t>Non-current deferred tax</w:t>
            </w:r>
          </w:p>
        </w:tc>
        <w:tc>
          <w:tcPr>
            <w:tcW w:w="1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2,498</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1,643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Net deferred tax asset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1,955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0" w:type="dxa"/>
            <w:vAlign w:val="bottom"/>
          </w:tcPr>
          <w:p>
            <w:pPr>
              <w:ind w:left="380"/>
              <w:spacing w:after="0"/>
              <w:rPr>
                <w:sz w:val="20"/>
                <w:szCs w:val="20"/>
                <w:color w:val="auto"/>
              </w:rPr>
            </w:pPr>
            <w:r>
              <w:rPr>
                <w:rFonts w:ascii="Arial" w:cs="Arial" w:eastAsia="Arial" w:hAnsi="Arial"/>
                <w:sz w:val="13"/>
                <w:szCs w:val="13"/>
                <w:color w:val="auto"/>
              </w:rPr>
              <w:t>A reconciliation of the beginning and ending amount of unrecognized tax benefits is as follows:</w:t>
            </w:r>
          </w:p>
        </w:tc>
        <w:tc>
          <w:tcPr>
            <w:tcW w:w="12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7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Unrecognized tax benefits balance at January 1, 2007</w:t>
            </w: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0" w:type="dxa"/>
            <w:vAlign w:val="bottom"/>
          </w:tcPr>
          <w:p>
            <w:pPr>
              <w:spacing w:after="0"/>
              <w:rPr>
                <w:sz w:val="20"/>
                <w:szCs w:val="20"/>
                <w:color w:val="auto"/>
              </w:rPr>
            </w:pPr>
            <w:r>
              <w:rPr>
                <w:rFonts w:ascii="Arial" w:cs="Arial" w:eastAsia="Arial" w:hAnsi="Arial"/>
                <w:sz w:val="13"/>
                <w:szCs w:val="13"/>
                <w:color w:val="auto"/>
              </w:rPr>
              <w:t>Additions for tax positions of current period (excludes accrued interest)</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649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Unrecognized tax benefits balance at December 31, 2007</w:t>
            </w: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649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279" w:lineRule="auto"/>
        <w:rPr>
          <w:sz w:val="20"/>
          <w:szCs w:val="20"/>
          <w:color w:val="auto"/>
        </w:rPr>
      </w:pPr>
      <w:r>
        <w:rPr>
          <w:rFonts w:ascii="Arial" w:cs="Arial" w:eastAsia="Arial" w:hAnsi="Arial"/>
          <w:sz w:val="13"/>
          <w:szCs w:val="13"/>
          <w:color w:val="auto"/>
        </w:rPr>
        <w:t>The Company recognizes interest and penalties, if any, related to unrecognized tax benefits in interest expense. The liability for unrecognized tax benefits includes accrued interest of $29 and $0 at December 31, 2007 and 2006, respectively.</w:t>
      </w:r>
    </w:p>
    <w:p>
      <w:pPr>
        <w:spacing w:after="0" w:line="58" w:lineRule="exact"/>
        <w:rPr>
          <w:sz w:val="20"/>
          <w:szCs w:val="20"/>
          <w:color w:val="auto"/>
        </w:rPr>
      </w:pPr>
    </w:p>
    <w:p>
      <w:pPr>
        <w:ind w:left="680" w:right="100" w:firstLine="399"/>
        <w:spacing w:after="0" w:line="266" w:lineRule="auto"/>
        <w:rPr>
          <w:sz w:val="20"/>
          <w:szCs w:val="20"/>
          <w:color w:val="auto"/>
        </w:rPr>
      </w:pPr>
      <w:r>
        <w:rPr>
          <w:rFonts w:ascii="Arial" w:cs="Arial" w:eastAsia="Arial" w:hAnsi="Arial"/>
          <w:sz w:val="13"/>
          <w:szCs w:val="13"/>
          <w:color w:val="auto"/>
        </w:rPr>
        <w:t>At December 31, 2007 and 2006, the Company has approximately $9.5 million and $12.5 million of state net operating loss carryforwards available to offset future taxable income, respectively. The state net operating loss carryforwards will begin expiring in 2021 if not utilized. In addition, the utilization of the state net operating loss carryforwards is subject to a $3.0 million annual limitation. All taxes, expenses and benefits discussed are domestic.</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6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of the statutory tax rates and the effective tax rates for the years ended December 31, 2007, 2006 and 2005 are as follows:</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180" w:type="dxa"/>
            <w:vAlign w:val="bottom"/>
          </w:tcPr>
          <w:p>
            <w:pPr>
              <w:spacing w:after="0"/>
              <w:rPr>
                <w:sz w:val="10"/>
                <w:szCs w:val="10"/>
                <w:color w:val="auto"/>
              </w:rPr>
            </w:pPr>
          </w:p>
        </w:tc>
        <w:tc>
          <w:tcPr>
            <w:tcW w:w="1780" w:type="dxa"/>
            <w:vAlign w:val="bottom"/>
            <w:gridSpan w:val="6"/>
          </w:tcPr>
          <w:p>
            <w:pPr>
              <w:jc w:val="center"/>
              <w:ind w:right="160"/>
              <w:spacing w:after="0"/>
              <w:rPr>
                <w:sz w:val="20"/>
                <w:szCs w:val="20"/>
                <w:color w:val="auto"/>
              </w:rPr>
            </w:pPr>
            <w:r>
              <w:rPr>
                <w:rFonts w:ascii="Arial" w:cs="Arial" w:eastAsia="Arial" w:hAnsi="Arial"/>
                <w:sz w:val="11"/>
                <w:szCs w:val="11"/>
                <w:b w:val="1"/>
                <w:bCs w:val="1"/>
                <w:color w:val="auto"/>
                <w:w w:val="87"/>
              </w:rPr>
              <w:t>Year Ended December 31,</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180" w:type="dxa"/>
            <w:vAlign w:val="bottom"/>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w w:val="81"/>
              </w:rPr>
              <w:t>2007</w:t>
            </w:r>
          </w:p>
        </w:tc>
        <w:tc>
          <w:tcPr>
            <w:tcW w:w="460" w:type="dxa"/>
            <w:vAlign w:val="bottom"/>
            <w:tcBorders>
              <w:top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w w:val="81"/>
              </w:rPr>
              <w:t>2006</w:t>
            </w:r>
          </w:p>
        </w:tc>
        <w:tc>
          <w:tcPr>
            <w:tcW w:w="420" w:type="dxa"/>
            <w:vAlign w:val="bottom"/>
            <w:tcBorders>
              <w:top w:val="single" w:sz="8" w:color="auto"/>
            </w:tcBorders>
          </w:tcPr>
          <w:p>
            <w:pPr>
              <w:spacing w:after="0"/>
              <w:rPr>
                <w:sz w:val="8"/>
                <w:szCs w:val="8"/>
                <w:color w:val="auto"/>
              </w:rPr>
            </w:pPr>
          </w:p>
        </w:tc>
        <w:tc>
          <w:tcPr>
            <w:tcW w:w="26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w w:val="89"/>
              </w:rPr>
              <w:t>2005</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3"/>
                <w:szCs w:val="13"/>
                <w:color w:val="auto"/>
              </w:rPr>
              <w:t>Statutory rate</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35%</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180" w:type="dxa"/>
            <w:vAlign w:val="bottom"/>
          </w:tcPr>
          <w:p>
            <w:pPr>
              <w:spacing w:after="0"/>
              <w:rPr>
                <w:sz w:val="20"/>
                <w:szCs w:val="20"/>
                <w:color w:val="auto"/>
              </w:rPr>
            </w:pPr>
            <w:r>
              <w:rPr>
                <w:rFonts w:ascii="Arial" w:cs="Arial" w:eastAsia="Arial" w:hAnsi="Arial"/>
                <w:sz w:val="13"/>
                <w:szCs w:val="13"/>
                <w:color w:val="auto"/>
              </w:rPr>
              <w:t>State taxes, net of federal benefit</w:t>
            </w: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4%</w:t>
            </w:r>
          </w:p>
        </w:tc>
        <w:tc>
          <w:tcPr>
            <w:tcW w:w="660" w:type="dxa"/>
            <w:vAlign w:val="bottom"/>
            <w:gridSpan w:val="2"/>
          </w:tcPr>
          <w:p>
            <w:pPr>
              <w:jc w:val="right"/>
              <w:ind w:right="320"/>
              <w:spacing w:after="0"/>
              <w:rPr>
                <w:sz w:val="20"/>
                <w:szCs w:val="20"/>
                <w:color w:val="auto"/>
              </w:rPr>
            </w:pPr>
            <w:r>
              <w:rPr>
                <w:rFonts w:ascii="Arial" w:cs="Arial" w:eastAsia="Arial" w:hAnsi="Arial"/>
                <w:sz w:val="13"/>
                <w:szCs w:val="13"/>
                <w:color w:val="auto"/>
              </w:rPr>
              <w:t>6%</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3"/>
                <w:szCs w:val="13"/>
                <w:color w:val="auto"/>
              </w:rPr>
              <w:t>Permanent adjustments</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180" w:type="dxa"/>
            <w:vAlign w:val="bottom"/>
          </w:tcPr>
          <w:p>
            <w:pPr>
              <w:spacing w:after="0"/>
              <w:rPr>
                <w:sz w:val="20"/>
                <w:szCs w:val="20"/>
                <w:color w:val="auto"/>
              </w:rPr>
            </w:pPr>
            <w:r>
              <w:rPr>
                <w:rFonts w:ascii="Arial" w:cs="Arial" w:eastAsia="Arial" w:hAnsi="Arial"/>
                <w:sz w:val="13"/>
                <w:szCs w:val="13"/>
                <w:color w:val="auto"/>
              </w:rPr>
              <w:t>Research and development credit</w:t>
            </w: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rPr>
              <w:t>(3)%</w:t>
            </w:r>
          </w:p>
        </w:tc>
        <w:tc>
          <w:tcPr>
            <w:tcW w:w="660" w:type="dxa"/>
            <w:vAlign w:val="bottom"/>
            <w:gridSpan w:val="2"/>
          </w:tcPr>
          <w:p>
            <w:pPr>
              <w:jc w:val="right"/>
              <w:ind w:right="320"/>
              <w:spacing w:after="0"/>
              <w:rPr>
                <w:sz w:val="20"/>
                <w:szCs w:val="20"/>
                <w:color w:val="auto"/>
              </w:rPr>
            </w:pPr>
            <w:r>
              <w:rPr>
                <w:rFonts w:ascii="Arial" w:cs="Arial" w:eastAsia="Arial" w:hAnsi="Arial"/>
                <w:sz w:val="13"/>
                <w:szCs w:val="13"/>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3"/>
                <w:szCs w:val="13"/>
                <w:color w:val="auto"/>
              </w:rPr>
              <w:t>Valuation allowance</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3"/>
                <w:szCs w:val="13"/>
                <w:color w:val="auto"/>
              </w:rPr>
              <w:t>Net</w:t>
            </w:r>
          </w:p>
        </w:tc>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200" w:type="dxa"/>
            <w:vAlign w:val="bottom"/>
            <w:gridSpan w:val="2"/>
            <w:vMerge w:val="continue"/>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37%</w:t>
            </w:r>
          </w:p>
        </w:tc>
        <w:tc>
          <w:tcPr>
            <w:tcW w:w="660" w:type="dxa"/>
            <w:vAlign w:val="bottom"/>
            <w:gridSpan w:val="2"/>
          </w:tcPr>
          <w:p>
            <w:pPr>
              <w:jc w:val="right"/>
              <w:ind w:right="320"/>
              <w:spacing w:after="0"/>
              <w:rPr>
                <w:sz w:val="20"/>
                <w:szCs w:val="20"/>
                <w:color w:val="auto"/>
              </w:rPr>
            </w:pPr>
            <w:r>
              <w:rPr>
                <w:rFonts w:ascii="Arial" w:cs="Arial" w:eastAsia="Arial" w:hAnsi="Arial"/>
                <w:sz w:val="13"/>
                <w:szCs w:val="13"/>
                <w:color w:val="auto"/>
              </w:rPr>
              <w:t>42%</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Income tax (expense) benefit consisted of the following components:</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1"/>
                <w:szCs w:val="11"/>
                <w:b w:val="1"/>
                <w:bCs w:val="1"/>
                <w:color w:val="auto"/>
                <w:w w:val="84"/>
              </w:rPr>
              <w:t>Year Ended December 31,</w:t>
            </w: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99" w:lineRule="exact"/>
              <w:rPr>
                <w:sz w:val="20"/>
                <w:szCs w:val="20"/>
                <w:color w:val="auto"/>
              </w:rPr>
            </w:pPr>
            <w:r>
              <w:rPr>
                <w:rFonts w:ascii="Arial" w:cs="Arial" w:eastAsia="Arial" w:hAnsi="Arial"/>
                <w:sz w:val="11"/>
                <w:szCs w:val="11"/>
                <w:b w:val="1"/>
                <w:bCs w:val="1"/>
                <w:color w:val="auto"/>
              </w:rPr>
              <w:t>2007</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6"/>
              <w:spacing w:after="0" w:line="99" w:lineRule="exact"/>
              <w:rPr>
                <w:sz w:val="20"/>
                <w:szCs w:val="20"/>
                <w:color w:val="auto"/>
              </w:rPr>
            </w:pPr>
            <w:r>
              <w:rPr>
                <w:rFonts w:ascii="Arial" w:cs="Arial" w:eastAsia="Arial" w:hAnsi="Arial"/>
                <w:sz w:val="11"/>
                <w:szCs w:val="11"/>
                <w:b w:val="1"/>
                <w:bCs w:val="1"/>
                <w:color w:val="auto"/>
                <w:w w:val="97"/>
              </w:rPr>
              <w:t>2006</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9" w:lineRule="exact"/>
              <w:rPr>
                <w:sz w:val="20"/>
                <w:szCs w:val="20"/>
                <w:color w:val="auto"/>
              </w:rPr>
            </w:pPr>
            <w:r>
              <w:rPr>
                <w:rFonts w:ascii="Arial" w:cs="Arial" w:eastAsia="Arial" w:hAnsi="Arial"/>
                <w:sz w:val="11"/>
                <w:szCs w:val="11"/>
                <w:b w:val="1"/>
                <w:bCs w:val="1"/>
                <w:color w:val="auto"/>
                <w:w w:val="89"/>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2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400" w:type="dxa"/>
            <w:vAlign w:val="bottom"/>
          </w:tcPr>
          <w:p>
            <w:pPr>
              <w:ind w:left="120"/>
              <w:spacing w:after="0"/>
              <w:rPr>
                <w:sz w:val="20"/>
                <w:szCs w:val="20"/>
                <w:color w:val="auto"/>
              </w:rPr>
            </w:pPr>
            <w:r>
              <w:rPr>
                <w:rFonts w:ascii="Arial" w:cs="Arial" w:eastAsia="Arial" w:hAnsi="Arial"/>
                <w:sz w:val="13"/>
                <w:szCs w:val="13"/>
                <w:color w:val="auto"/>
              </w:rPr>
              <w:t>Federal</w:t>
            </w:r>
          </w:p>
        </w:tc>
        <w:tc>
          <w:tcPr>
            <w:tcW w:w="304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7"/>
              <w:spacing w:after="0"/>
              <w:rPr>
                <w:sz w:val="20"/>
                <w:szCs w:val="20"/>
                <w:color w:val="auto"/>
              </w:rPr>
            </w:pPr>
            <w:r>
              <w:rPr>
                <w:rFonts w:ascii="Arial" w:cs="Arial" w:eastAsia="Arial" w:hAnsi="Arial"/>
                <w:sz w:val="13"/>
                <w:szCs w:val="13"/>
                <w:color w:val="auto"/>
              </w:rPr>
              <w:t>(12,431)</w:t>
            </w: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(2,957)</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State</w:t>
            </w:r>
          </w:p>
        </w:tc>
        <w:tc>
          <w:tcPr>
            <w:tcW w:w="2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7"/>
              <w:spacing w:after="0"/>
              <w:rPr>
                <w:sz w:val="20"/>
                <w:szCs w:val="20"/>
                <w:color w:val="auto"/>
              </w:rPr>
            </w:pPr>
            <w:r>
              <w:rPr>
                <w:rFonts w:ascii="Arial" w:cs="Arial" w:eastAsia="Arial" w:hAnsi="Arial"/>
                <w:sz w:val="13"/>
                <w:szCs w:val="13"/>
                <w:color w:val="auto"/>
              </w:rPr>
              <w:t>(2,347)</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(1,664)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400" w:type="dxa"/>
            <w:vAlign w:val="bottom"/>
          </w:tcPr>
          <w:p>
            <w:pPr>
              <w:spacing w:after="0"/>
              <w:rPr>
                <w:sz w:val="20"/>
                <w:szCs w:val="20"/>
                <w:color w:val="auto"/>
              </w:rPr>
            </w:pPr>
            <w:r>
              <w:rPr>
                <w:rFonts w:ascii="Arial" w:cs="Arial" w:eastAsia="Arial" w:hAnsi="Arial"/>
                <w:sz w:val="13"/>
                <w:szCs w:val="13"/>
                <w:color w:val="auto"/>
              </w:rPr>
              <w:t>Deferred:</w:t>
            </w:r>
          </w:p>
        </w:tc>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Federal</w:t>
            </w:r>
          </w:p>
        </w:tc>
        <w:tc>
          <w:tcPr>
            <w:tcW w:w="2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901</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(2,624)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400" w:type="dxa"/>
            <w:vAlign w:val="bottom"/>
          </w:tcPr>
          <w:p>
            <w:pPr>
              <w:ind w:left="120"/>
              <w:spacing w:after="0"/>
              <w:rPr>
                <w:sz w:val="20"/>
                <w:szCs w:val="20"/>
                <w:color w:val="auto"/>
              </w:rPr>
            </w:pPr>
            <w:r>
              <w:rPr>
                <w:rFonts w:ascii="Arial" w:cs="Arial" w:eastAsia="Arial" w:hAnsi="Arial"/>
                <w:sz w:val="13"/>
                <w:szCs w:val="13"/>
                <w:color w:val="auto"/>
              </w:rPr>
              <w:t>State</w:t>
            </w:r>
          </w:p>
        </w:tc>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107"/>
              <w:spacing w:after="0"/>
              <w:rPr>
                <w:sz w:val="20"/>
                <w:szCs w:val="20"/>
                <w:color w:val="auto"/>
              </w:rPr>
            </w:pPr>
            <w:r>
              <w:rPr>
                <w:rFonts w:ascii="Arial" w:cs="Arial" w:eastAsia="Arial" w:hAnsi="Arial"/>
                <w:sz w:val="13"/>
                <w:szCs w:val="13"/>
                <w:color w:val="auto"/>
              </w:rPr>
              <w:t>(111)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1,065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p>
        </w:tc>
        <w:tc>
          <w:tcPr>
            <w:tcW w:w="28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07"/>
              <w:spacing w:after="0"/>
              <w:rPr>
                <w:sz w:val="20"/>
                <w:szCs w:val="20"/>
                <w:color w:val="auto"/>
              </w:rPr>
            </w:pPr>
            <w:r>
              <w:rPr>
                <w:rFonts w:ascii="Arial" w:cs="Arial" w:eastAsia="Arial" w:hAnsi="Arial"/>
                <w:sz w:val="13"/>
                <w:szCs w:val="13"/>
                <w:color w:val="auto"/>
              </w:rPr>
              <w:t>(13,988)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(7,310)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1200" w:hanging="513"/>
        <w:spacing w:after="0"/>
        <w:tabs>
          <w:tab w:leader="none" w:pos="1200"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8"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3"/>
          <w:szCs w:val="13"/>
          <w:color w:val="auto"/>
        </w:rPr>
        <w:t>The Company leases office space, automobiles and office equipment under non-cancellable operating lease agreements, which expire through March 2012. Aggregate annual future minimum lease payments under these non-cancellable leases are as follows at December 31, 2007:</w:t>
      </w:r>
    </w:p>
    <w:p>
      <w:pPr>
        <w:spacing w:after="0" w:line="76" w:lineRule="exact"/>
        <w:rPr>
          <w:sz w:val="20"/>
          <w:szCs w:val="20"/>
          <w:color w:val="auto"/>
        </w:rPr>
      </w:pPr>
    </w:p>
    <w:tbl>
      <w:tblPr>
        <w:tblLayout w:type="fixed"/>
        <w:tblInd w:w="68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Period ended December 31:</w:t>
            </w: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9380" w:type="dxa"/>
            <w:vAlign w:val="bottom"/>
          </w:tcPr>
          <w:p>
            <w:pPr>
              <w:ind w:left="120"/>
              <w:spacing w:after="0"/>
              <w:rPr>
                <w:sz w:val="20"/>
                <w:szCs w:val="20"/>
                <w:color w:val="auto"/>
              </w:rPr>
            </w:pPr>
            <w:r>
              <w:rPr>
                <w:rFonts w:ascii="Arial" w:cs="Arial" w:eastAsia="Arial" w:hAnsi="Arial"/>
                <w:sz w:val="13"/>
                <w:szCs w:val="13"/>
                <w:color w:val="auto"/>
              </w:rPr>
              <w:t>2008</w:t>
            </w: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1,531</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9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2009</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1,191</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9380" w:type="dxa"/>
            <w:vAlign w:val="bottom"/>
          </w:tcPr>
          <w:p>
            <w:pPr>
              <w:ind w:left="120"/>
              <w:spacing w:after="0"/>
              <w:rPr>
                <w:sz w:val="20"/>
                <w:szCs w:val="20"/>
                <w:color w:val="auto"/>
              </w:rPr>
            </w:pPr>
            <w:r>
              <w:rPr>
                <w:rFonts w:ascii="Arial" w:cs="Arial" w:eastAsia="Arial" w:hAnsi="Arial"/>
                <w:sz w:val="13"/>
                <w:szCs w:val="13"/>
                <w:color w:val="auto"/>
              </w:rPr>
              <w:t>2010</w:t>
            </w: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726</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9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2011</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9380" w:type="dxa"/>
            <w:vAlign w:val="bottom"/>
          </w:tcPr>
          <w:p>
            <w:pPr>
              <w:ind w:left="120"/>
              <w:spacing w:after="0"/>
              <w:rPr>
                <w:sz w:val="20"/>
                <w:szCs w:val="20"/>
                <w:color w:val="auto"/>
              </w:rPr>
            </w:pPr>
            <w:r>
              <w:rPr>
                <w:rFonts w:ascii="Arial" w:cs="Arial" w:eastAsia="Arial" w:hAnsi="Arial"/>
                <w:sz w:val="13"/>
                <w:szCs w:val="13"/>
                <w:color w:val="auto"/>
              </w:rPr>
              <w:t>2012 and thereafter</w:t>
            </w: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9500" w:type="dxa"/>
            <w:vAlign w:val="bottom"/>
            <w:gridSpan w:val="2"/>
            <w:shd w:val="clear" w:color="auto" w:fill="CCEEFF"/>
          </w:tcPr>
          <w:p>
            <w:pPr>
              <w:ind w:left="93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4,302</w:t>
            </w:r>
          </w:p>
        </w:tc>
        <w:tc>
          <w:tcPr>
            <w:tcW w:w="100" w:type="dxa"/>
            <w:vAlign w:val="bottom"/>
            <w:shd w:val="clear" w:color="auto" w:fill="CCEEFF"/>
          </w:tcPr>
          <w:p>
            <w:pPr>
              <w:spacing w:after="0"/>
              <w:rPr>
                <w:sz w:val="13"/>
                <w:szCs w:val="13"/>
                <w:color w:val="auto"/>
              </w:rPr>
            </w:pPr>
          </w:p>
        </w:tc>
      </w:tr>
      <w:tr>
        <w:trPr>
          <w:trHeight w:val="30"/>
        </w:trPr>
        <w:tc>
          <w:tcPr>
            <w:tcW w:w="20" w:type="dxa"/>
            <w:vAlign w:val="bottom"/>
          </w:tcPr>
          <w:p>
            <w:pPr>
              <w:spacing w:after="0"/>
              <w:rPr>
                <w:sz w:val="2"/>
                <w:szCs w:val="2"/>
                <w:color w:val="auto"/>
              </w:rPr>
            </w:pPr>
          </w:p>
        </w:tc>
        <w:tc>
          <w:tcPr>
            <w:tcW w:w="9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Rent expense for the years ended December 31, 2007, 2006 and 2005 was $1,945, $1,522 and $1,353, respectively.</w:t>
      </w: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256" w:lineRule="exact"/>
        <w:rPr>
          <w:sz w:val="20"/>
          <w:szCs w:val="20"/>
          <w:color w:val="auto"/>
        </w:rPr>
      </w:pPr>
    </w:p>
    <w:p>
      <w:pPr>
        <w:ind w:left="1200" w:hanging="513"/>
        <w:spacing w:after="0"/>
        <w:tabs>
          <w:tab w:leader="none" w:pos="1200"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Parties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Omniglobe International, L.L.C.</w:t>
      </w:r>
    </w:p>
    <w:p>
      <w:pPr>
        <w:spacing w:after="0" w:line="98" w:lineRule="exact"/>
        <w:rPr>
          <w:sz w:val="20"/>
          <w:szCs w:val="20"/>
          <w:color w:val="auto"/>
        </w:rPr>
      </w:pPr>
    </w:p>
    <w:p>
      <w:pPr>
        <w:ind w:left="680" w:right="20" w:firstLine="399"/>
        <w:spacing w:after="0" w:line="287" w:lineRule="auto"/>
        <w:rPr>
          <w:sz w:val="20"/>
          <w:szCs w:val="20"/>
          <w:color w:val="auto"/>
        </w:rPr>
      </w:pPr>
      <w:r>
        <w:rPr>
          <w:rFonts w:ascii="Arial" w:cs="Arial" w:eastAsia="Arial" w:hAnsi="Arial"/>
          <w:sz w:val="12"/>
          <w:szCs w:val="12"/>
          <w:color w:val="auto"/>
        </w:rPr>
        <w:t>Omniglobe International, L.L.C., (“Omniglobe”) a Delaware limited liability company with operations in India, provides data entry services relating to the Company’s exception handling management. The Company pays Omniglobe an hourly rate for each hour worked by each of its data entry agents. As of December 31, 2007 and 2006, the Company has a service agreement with Omniglobe. Services provided include data entry and related services as well as development and testing services. The current agreement may be terminated by either party without cause with 30 or 60 days written notice prior to the end of the term. Unless terminated, the agreement will automatically renew in nine month increments. As of December 31, 2007, the Company fulfilled the overall minimum contractual commitment. The Company does not intend to terminate its arrangement with Omniglobe.</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March 12, 2004, certain of the Company’s executive officers and their family members acquired indirect equity interests in Omniglobe by purchasing an ownership interest in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Rumson Hitters, L.L.C., a Delaware limited liability company, as follows:</w:t>
      </w:r>
    </w:p>
    <w:p>
      <w:pPr>
        <w:spacing w:after="0" w:line="74"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Proceeds Received</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820" w:type="dxa"/>
            <w:vAlign w:val="bottom"/>
          </w:tcPr>
          <w:p>
            <w:pPr>
              <w:spacing w:after="0"/>
              <w:rPr>
                <w:sz w:val="9"/>
                <w:szCs w:val="9"/>
                <w:color w:val="auto"/>
              </w:rPr>
            </w:pPr>
          </w:p>
        </w:tc>
        <w:tc>
          <w:tcPr>
            <w:tcW w:w="960" w:type="dxa"/>
            <w:vAlign w:val="bottom"/>
            <w:gridSpan w:val="2"/>
          </w:tcPr>
          <w:p>
            <w:pPr>
              <w:jc w:val="center"/>
              <w:ind w:right="260"/>
              <w:spacing w:after="0" w:line="109" w:lineRule="exact"/>
              <w:rPr>
                <w:sz w:val="20"/>
                <w:szCs w:val="20"/>
                <w:color w:val="auto"/>
              </w:rPr>
            </w:pPr>
            <w:r>
              <w:rPr>
                <w:rFonts w:ascii="Arial" w:cs="Arial" w:eastAsia="Arial" w:hAnsi="Arial"/>
                <w:sz w:val="11"/>
                <w:szCs w:val="11"/>
                <w:b w:val="1"/>
                <w:bCs w:val="1"/>
                <w:color w:val="auto"/>
                <w:w w:val="89"/>
              </w:rPr>
              <w:t>Equity</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center"/>
              <w:ind w:right="60"/>
              <w:spacing w:after="0" w:line="109" w:lineRule="exact"/>
              <w:rPr>
                <w:sz w:val="20"/>
                <w:szCs w:val="20"/>
                <w:color w:val="auto"/>
              </w:rPr>
            </w:pPr>
            <w:r>
              <w:rPr>
                <w:rFonts w:ascii="Arial" w:cs="Arial" w:eastAsia="Arial" w:hAnsi="Arial"/>
                <w:sz w:val="11"/>
                <w:szCs w:val="11"/>
                <w:b w:val="1"/>
                <w:bCs w:val="1"/>
                <w:color w:val="auto"/>
                <w:w w:val="86"/>
              </w:rPr>
              <w:t>Purchase Price of</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w w:val="87"/>
              </w:rPr>
              <w:t>from Interest in</w:t>
            </w:r>
          </w:p>
        </w:tc>
        <w:tc>
          <w:tcPr>
            <w:tcW w:w="0" w:type="dxa"/>
            <w:vAlign w:val="bottom"/>
          </w:tcPr>
          <w:p>
            <w:pPr>
              <w:spacing w:after="0"/>
              <w:rPr>
                <w:sz w:val="1"/>
                <w:szCs w:val="1"/>
                <w:color w:val="auto"/>
              </w:rPr>
            </w:pPr>
          </w:p>
        </w:tc>
      </w:tr>
      <w:tr>
        <w:trPr>
          <w:trHeight w:val="119"/>
        </w:trPr>
        <w:tc>
          <w:tcPr>
            <w:tcW w:w="20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3820" w:type="dxa"/>
            <w:vAlign w:val="bottom"/>
            <w:vMerge w:val="restart"/>
          </w:tcPr>
          <w:p>
            <w:pPr>
              <w:ind w:left="2260"/>
              <w:spacing w:after="0"/>
              <w:rPr>
                <w:sz w:val="20"/>
                <w:szCs w:val="20"/>
                <w:color w:val="auto"/>
              </w:rPr>
            </w:pPr>
            <w:r>
              <w:rPr>
                <w:rFonts w:ascii="Arial" w:cs="Arial" w:eastAsia="Arial" w:hAnsi="Arial"/>
                <w:sz w:val="11"/>
                <w:szCs w:val="11"/>
                <w:b w:val="1"/>
                <w:bCs w:val="1"/>
                <w:color w:val="auto"/>
              </w:rPr>
              <w:t>Position with Synchronoss</w:t>
            </w:r>
          </w:p>
        </w:tc>
        <w:tc>
          <w:tcPr>
            <w:tcW w:w="96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w w:val="87"/>
              </w:rPr>
              <w:t>Interest in</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right="80"/>
              <w:spacing w:after="0" w:line="119" w:lineRule="exact"/>
              <w:rPr>
                <w:sz w:val="20"/>
                <w:szCs w:val="20"/>
                <w:color w:val="auto"/>
              </w:rPr>
            </w:pPr>
            <w:r>
              <w:rPr>
                <w:rFonts w:ascii="Arial" w:cs="Arial" w:eastAsia="Arial" w:hAnsi="Arial"/>
                <w:sz w:val="11"/>
                <w:szCs w:val="11"/>
                <w:b w:val="1"/>
                <w:bCs w:val="1"/>
                <w:color w:val="auto"/>
                <w:w w:val="86"/>
              </w:rPr>
              <w:t>Interest in Rumson</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20"/>
              <w:spacing w:after="0" w:line="119" w:lineRule="exact"/>
              <w:rPr>
                <w:sz w:val="20"/>
                <w:szCs w:val="20"/>
                <w:color w:val="auto"/>
              </w:rPr>
            </w:pPr>
            <w:r>
              <w:rPr>
                <w:rFonts w:ascii="Arial" w:cs="Arial" w:eastAsia="Arial" w:hAnsi="Arial"/>
                <w:sz w:val="11"/>
                <w:szCs w:val="11"/>
                <w:b w:val="1"/>
                <w:bCs w:val="1"/>
                <w:color w:val="auto"/>
                <w:w w:val="87"/>
              </w:rPr>
              <w:t>Rumson Hitters,</w:t>
            </w:r>
          </w:p>
        </w:tc>
        <w:tc>
          <w:tcPr>
            <w:tcW w:w="0" w:type="dxa"/>
            <w:vAlign w:val="bottom"/>
          </w:tcPr>
          <w:p>
            <w:pPr>
              <w:spacing w:after="0"/>
              <w:rPr>
                <w:sz w:val="1"/>
                <w:szCs w:val="1"/>
                <w:color w:val="auto"/>
              </w:rPr>
            </w:pPr>
          </w:p>
        </w:tc>
      </w:tr>
      <w:tr>
        <w:trPr>
          <w:trHeight w:val="126"/>
        </w:trPr>
        <w:tc>
          <w:tcPr>
            <w:tcW w:w="2080" w:type="dxa"/>
            <w:vAlign w:val="bottom"/>
            <w:gridSpan w:val="2"/>
            <w:vMerge w:val="continue"/>
          </w:tcPr>
          <w:p>
            <w:pPr>
              <w:spacing w:after="0"/>
              <w:rPr>
                <w:sz w:val="10"/>
                <w:szCs w:val="10"/>
                <w:color w:val="auto"/>
              </w:rPr>
            </w:pPr>
          </w:p>
        </w:tc>
        <w:tc>
          <w:tcPr>
            <w:tcW w:w="3820" w:type="dxa"/>
            <w:vAlign w:val="bottom"/>
            <w:vMerge w:val="continue"/>
          </w:tcPr>
          <w:p>
            <w:pPr>
              <w:spacing w:after="0"/>
              <w:rPr>
                <w:sz w:val="10"/>
                <w:szCs w:val="1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Omniglobe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right="80"/>
              <w:spacing w:after="0"/>
              <w:rPr>
                <w:sz w:val="20"/>
                <w:szCs w:val="20"/>
                <w:color w:val="auto"/>
              </w:rPr>
            </w:pPr>
            <w:r>
              <w:rPr>
                <w:rFonts w:ascii="Arial" w:cs="Arial" w:eastAsia="Arial" w:hAnsi="Arial"/>
                <w:sz w:val="11"/>
                <w:szCs w:val="11"/>
                <w:b w:val="1"/>
                <w:bCs w:val="1"/>
                <w:color w:val="auto"/>
                <w:w w:val="92"/>
              </w:rPr>
              <w:t>Hitters, L.L.C.</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L.L.C.</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3"/>
                <w:szCs w:val="13"/>
                <w:color w:val="auto"/>
              </w:rPr>
              <w:t>Stephen G. Waldis</w:t>
            </w:r>
          </w:p>
        </w:tc>
        <w:tc>
          <w:tcPr>
            <w:tcW w:w="3820" w:type="dxa"/>
            <w:vAlign w:val="bottom"/>
            <w:shd w:val="clear" w:color="auto" w:fill="CCEEFF"/>
          </w:tcPr>
          <w:p>
            <w:pPr>
              <w:ind w:left="1040"/>
              <w:spacing w:after="0"/>
              <w:rPr>
                <w:sz w:val="20"/>
                <w:szCs w:val="20"/>
                <w:color w:val="auto"/>
              </w:rPr>
            </w:pPr>
            <w:r>
              <w:rPr>
                <w:rFonts w:ascii="Arial" w:cs="Arial" w:eastAsia="Arial" w:hAnsi="Arial"/>
                <w:sz w:val="13"/>
                <w:szCs w:val="13"/>
                <w:color w:val="auto"/>
              </w:rPr>
              <w:t>Chairman of the Board of Directors, President</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3820" w:type="dxa"/>
            <w:vAlign w:val="bottom"/>
            <w:shd w:val="clear" w:color="auto" w:fill="CCEEFF"/>
          </w:tcPr>
          <w:p>
            <w:pPr>
              <w:ind w:left="1040"/>
              <w:spacing w:after="0"/>
              <w:rPr>
                <w:sz w:val="20"/>
                <w:szCs w:val="20"/>
                <w:color w:val="auto"/>
              </w:rPr>
            </w:pPr>
            <w:r>
              <w:rPr>
                <w:rFonts w:ascii="Arial" w:cs="Arial" w:eastAsia="Arial" w:hAnsi="Arial"/>
                <w:sz w:val="13"/>
                <w:szCs w:val="13"/>
                <w:color w:val="auto"/>
              </w:rPr>
              <w:t>and Chief Executive Officer</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12.23%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95,000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60" w:type="dxa"/>
            <w:vAlign w:val="bottom"/>
          </w:tcPr>
          <w:p>
            <w:pPr>
              <w:spacing w:after="0"/>
              <w:rPr>
                <w:sz w:val="20"/>
                <w:szCs w:val="20"/>
                <w:color w:val="auto"/>
              </w:rPr>
            </w:pPr>
            <w:r>
              <w:rPr>
                <w:rFonts w:ascii="Arial" w:cs="Arial" w:eastAsia="Arial" w:hAnsi="Arial"/>
                <w:sz w:val="13"/>
                <w:szCs w:val="13"/>
                <w:color w:val="auto"/>
              </w:rPr>
              <w:t>Lawrence R. Irving</w:t>
            </w:r>
          </w:p>
        </w:tc>
        <w:tc>
          <w:tcPr>
            <w:tcW w:w="3820" w:type="dxa"/>
            <w:vAlign w:val="bottom"/>
          </w:tcPr>
          <w:p>
            <w:pPr>
              <w:ind w:left="1040"/>
              <w:spacing w:after="0"/>
              <w:rPr>
                <w:sz w:val="20"/>
                <w:szCs w:val="20"/>
                <w:color w:val="auto"/>
              </w:rPr>
            </w:pPr>
            <w:r>
              <w:rPr>
                <w:rFonts w:ascii="Arial" w:cs="Arial" w:eastAsia="Arial" w:hAnsi="Arial"/>
                <w:sz w:val="13"/>
                <w:szCs w:val="13"/>
                <w:color w:val="auto"/>
              </w:rPr>
              <w:t>Chief Financial Officer and Treasurer</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2.58%</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20,000</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3"/>
                <w:szCs w:val="13"/>
                <w:color w:val="auto"/>
              </w:rPr>
              <w:t>David E. Berry</w:t>
            </w:r>
          </w:p>
        </w:tc>
        <w:tc>
          <w:tcPr>
            <w:tcW w:w="3820" w:type="dxa"/>
            <w:vAlign w:val="bottom"/>
            <w:shd w:val="clear" w:color="auto" w:fill="CCEEFF"/>
          </w:tcPr>
          <w:p>
            <w:pPr>
              <w:ind w:left="1040"/>
              <w:spacing w:after="0"/>
              <w:rPr>
                <w:sz w:val="20"/>
                <w:szCs w:val="20"/>
                <w:color w:val="auto"/>
              </w:rPr>
            </w:pPr>
            <w:r>
              <w:rPr>
                <w:rFonts w:ascii="Arial" w:cs="Arial" w:eastAsia="Arial" w:hAnsi="Arial"/>
                <w:sz w:val="13"/>
                <w:szCs w:val="13"/>
                <w:color w:val="auto"/>
              </w:rPr>
              <w:t>Former Vice President and Chief Technology</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3820" w:type="dxa"/>
            <w:vAlign w:val="bottom"/>
            <w:shd w:val="clear" w:color="auto" w:fill="CCEEFF"/>
          </w:tcPr>
          <w:p>
            <w:pPr>
              <w:ind w:left="1040"/>
              <w:spacing w:after="0"/>
              <w:rPr>
                <w:sz w:val="20"/>
                <w:szCs w:val="20"/>
                <w:color w:val="auto"/>
              </w:rPr>
            </w:pPr>
            <w:r>
              <w:rPr>
                <w:rFonts w:ascii="Arial" w:cs="Arial" w:eastAsia="Arial" w:hAnsi="Arial"/>
                <w:sz w:val="13"/>
                <w:szCs w:val="13"/>
                <w:color w:val="auto"/>
              </w:rPr>
              <w:t>Officer</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2.58%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20"/>
                <w:szCs w:val="20"/>
                <w:color w:val="auto"/>
              </w:rPr>
            </w:pPr>
            <w:r>
              <w:rPr>
                <w:rFonts w:ascii="Arial" w:cs="Arial" w:eastAsia="Arial" w:hAnsi="Arial"/>
                <w:sz w:val="13"/>
                <w:szCs w:val="13"/>
                <w:color w:val="auto"/>
              </w:rPr>
              <w:t>Robert Garcia</w:t>
            </w:r>
          </w:p>
        </w:tc>
        <w:tc>
          <w:tcPr>
            <w:tcW w:w="3820" w:type="dxa"/>
            <w:vAlign w:val="bottom"/>
          </w:tcPr>
          <w:p>
            <w:pPr>
              <w:ind w:left="1040"/>
              <w:spacing w:after="0"/>
              <w:rPr>
                <w:sz w:val="20"/>
                <w:szCs w:val="20"/>
                <w:color w:val="auto"/>
              </w:rPr>
            </w:pPr>
            <w:r>
              <w:rPr>
                <w:rFonts w:ascii="Arial" w:cs="Arial" w:eastAsia="Arial" w:hAnsi="Arial"/>
                <w:sz w:val="13"/>
                <w:szCs w:val="13"/>
                <w:color w:val="auto"/>
              </w:rPr>
              <w:t>Executive Vice President of Product</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820" w:type="dxa"/>
            <w:vAlign w:val="bottom"/>
          </w:tcPr>
          <w:p>
            <w:pPr>
              <w:ind w:left="1040"/>
              <w:spacing w:after="0"/>
              <w:rPr>
                <w:sz w:val="20"/>
                <w:szCs w:val="20"/>
                <w:color w:val="auto"/>
              </w:rPr>
            </w:pPr>
            <w:r>
              <w:rPr>
                <w:rFonts w:ascii="Arial" w:cs="Arial" w:eastAsia="Arial" w:hAnsi="Arial"/>
                <w:sz w:val="13"/>
                <w:szCs w:val="13"/>
                <w:color w:val="auto"/>
              </w:rPr>
              <w:t>Management and Service Delivery</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1.29%</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10,000</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-732790</wp:posOffset>
            </wp:positionV>
            <wp:extent cx="1905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3188970</wp:posOffset>
            </wp:positionH>
            <wp:positionV relativeFrom="paragraph">
              <wp:posOffset>-732790</wp:posOffset>
            </wp:positionV>
            <wp:extent cx="1905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62"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On June 20, 2006, members of Rumson Hitters repurchased, at the original purchase price, the equity interests in Rumson Hitters held by each of the Company’s employees and their family members, such that no employee of the Company or family member of such employee had any interest in Rumson Hitters or Omniglobe after June 20, 2006. Neither the Company nor any of its employees provided any of the funds to be used by members of Rumson Hitters in repurchasing such equity interests. Since June 20, 2006, Omniglobe is no longer a related party.</w:t>
      </w:r>
    </w:p>
    <w:p>
      <w:pPr>
        <w:spacing w:after="0" w:line="69"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color w:val="auto"/>
        </w:rPr>
        <w:t>From March 12, 2004 through June 12, 2006, Omniglobe has paid an aggregate of $1,300 in distributions to all of its interest holders, including Rumson Hitters. In turn, during this period, Rumson Hitters has paid an aggregate of $700 in distributions to its interest holders, including approximately $154 in distributions to Stephen G. Waldis and his family members, approximately $32 in distributions to Lawrence R. Irving, approximately $32 in distributions to David E. Berry and his family members and approximately $16 in distributions to Robert Garcia.</w:t>
      </w:r>
    </w:p>
    <w:p>
      <w:pPr>
        <w:spacing w:after="0" w:line="69" w:lineRule="exact"/>
        <w:rPr>
          <w:sz w:val="20"/>
          <w:szCs w:val="20"/>
          <w:color w:val="auto"/>
        </w:rPr>
      </w:pPr>
    </w:p>
    <w:p>
      <w:pPr>
        <w:ind w:left="680" w:right="60" w:firstLine="399"/>
        <w:spacing w:after="0" w:line="266" w:lineRule="auto"/>
        <w:rPr>
          <w:sz w:val="20"/>
          <w:szCs w:val="20"/>
          <w:color w:val="auto"/>
        </w:rPr>
      </w:pPr>
      <w:r>
        <w:rPr>
          <w:rFonts w:ascii="Arial" w:cs="Arial" w:eastAsia="Arial" w:hAnsi="Arial"/>
          <w:sz w:val="13"/>
          <w:szCs w:val="13"/>
          <w:color w:val="auto"/>
        </w:rPr>
        <w:t>During the period in which the Company’s employees and their family members owned equity interests in Rumson Hitters, fees paid for services rendered related to these agreements for 2006 were $3.7 million through June 20, 2006 when Omniglobe was no longer a related party, and $8.0 million for the year ended December 31, 2005. Since June 20, 2006, Omniglobe is no longer a related party.</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73"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98" w:lineRule="exact"/>
        <w:rPr>
          <w:sz w:val="20"/>
          <w:szCs w:val="20"/>
          <w:color w:val="auto"/>
        </w:rPr>
      </w:pPr>
    </w:p>
    <w:p>
      <w:pPr>
        <w:ind w:left="680" w:firstLine="399"/>
        <w:spacing w:after="0" w:line="291" w:lineRule="auto"/>
        <w:rPr>
          <w:sz w:val="20"/>
          <w:szCs w:val="20"/>
          <w:color w:val="auto"/>
        </w:rPr>
      </w:pPr>
      <w:r>
        <w:rPr>
          <w:rFonts w:ascii="Arial" w:cs="Arial" w:eastAsia="Arial" w:hAnsi="Arial"/>
          <w:sz w:val="12"/>
          <w:szCs w:val="12"/>
          <w:color w:val="auto"/>
        </w:rPr>
        <w:t>Under the supervision and with the participation of our management, including our Chief Executive Officer and Chief Financial Officer, we evaluated the effectiveness of our disclosure controls and procedures as of December 31, 2007. Based upon that evaluation, our Chief Executive Officer and Chief Financial Officer concluded that, as of December 31, 2007, our disclosure controls and procedures were effective, in that they provide reasonable assurance that information required to be disclosed by us in the reports that we file or submit under the Exchange Act is recorded, processed, summarized and reported within the time periods specified in the Securities and Exchange Commission’s rules and forms.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Management’s Annual Report on Internal Control over Financial Reporting</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Internal control over financial reporting is defined in</w:t>
      </w:r>
    </w:p>
    <w:p>
      <w:pPr>
        <w:spacing w:after="0" w:line="16" w:lineRule="exact"/>
        <w:rPr>
          <w:sz w:val="20"/>
          <w:szCs w:val="20"/>
          <w:color w:val="auto"/>
        </w:rPr>
      </w:pPr>
    </w:p>
    <w:p>
      <w:pPr>
        <w:ind w:left="680" w:right="140"/>
        <w:spacing w:after="0" w:line="292" w:lineRule="auto"/>
        <w:rPr>
          <w:sz w:val="20"/>
          <w:szCs w:val="20"/>
          <w:color w:val="auto"/>
        </w:rPr>
      </w:pPr>
      <w:r>
        <w:rPr>
          <w:rFonts w:ascii="Arial" w:cs="Arial" w:eastAsia="Arial" w:hAnsi="Arial"/>
          <w:sz w:val="12"/>
          <w:szCs w:val="12"/>
          <w:color w:val="auto"/>
        </w:rPr>
        <w:t>Rules 13a-15(f) or 15d-15(f) promulgated under the Securities Exchange Act of 1934 as a process designed by, or under the supervision of, our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53" w:lineRule="exact"/>
        <w:rPr>
          <w:sz w:val="20"/>
          <w:szCs w:val="20"/>
          <w:color w:val="auto"/>
        </w:rPr>
      </w:pPr>
    </w:p>
    <w:p>
      <w:pPr>
        <w:ind w:left="1300" w:hanging="207"/>
        <w:spacing w:after="0"/>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assets of the company;</w:t>
      </w:r>
    </w:p>
    <w:p>
      <w:pPr>
        <w:spacing w:after="0" w:line="87" w:lineRule="exact"/>
        <w:rPr>
          <w:rFonts w:ascii="Arial" w:cs="Arial" w:eastAsia="Arial" w:hAnsi="Arial"/>
          <w:sz w:val="13"/>
          <w:szCs w:val="13"/>
          <w:color w:val="auto"/>
        </w:rPr>
      </w:pPr>
    </w:p>
    <w:p>
      <w:pPr>
        <w:jc w:val="both"/>
        <w:ind w:left="1300" w:right="500" w:hanging="207"/>
        <w:spacing w:after="0" w:line="374" w:lineRule="auto"/>
        <w:tabs>
          <w:tab w:leader="none" w:pos="1300" w:val="left"/>
        </w:tabs>
        <w:numPr>
          <w:ilvl w:val="0"/>
          <w:numId w:val="25"/>
        </w:numPr>
        <w:rPr>
          <w:rFonts w:ascii="Arial" w:cs="Arial" w:eastAsia="Arial" w:hAnsi="Arial"/>
          <w:sz w:val="11"/>
          <w:szCs w:val="11"/>
          <w:color w:val="auto"/>
        </w:rPr>
      </w:pPr>
      <w:r>
        <w:rPr>
          <w:rFonts w:ascii="Arial" w:cs="Arial" w:eastAsia="Arial" w:hAnsi="Arial"/>
          <w:sz w:val="11"/>
          <w:szCs w:val="11"/>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 w:lineRule="exact"/>
        <w:rPr>
          <w:rFonts w:ascii="Arial" w:cs="Arial" w:eastAsia="Arial" w:hAnsi="Arial"/>
          <w:sz w:val="11"/>
          <w:szCs w:val="11"/>
          <w:color w:val="auto"/>
        </w:rPr>
      </w:pPr>
    </w:p>
    <w:p>
      <w:pPr>
        <w:ind w:left="1300" w:hanging="207"/>
        <w:spacing w:after="0" w:line="279" w:lineRule="auto"/>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58" w:lineRule="exact"/>
        <w:rPr>
          <w:sz w:val="20"/>
          <w:szCs w:val="20"/>
          <w:color w:val="auto"/>
        </w:rPr>
      </w:pPr>
    </w:p>
    <w:p>
      <w:pPr>
        <w:jc w:val="both"/>
        <w:ind w:left="680" w:right="120" w:firstLine="399"/>
        <w:spacing w:after="0" w:line="266" w:lineRule="auto"/>
        <w:rPr>
          <w:sz w:val="20"/>
          <w:szCs w:val="20"/>
          <w:color w:val="auto"/>
        </w:rPr>
      </w:pPr>
      <w:r>
        <w:rPr>
          <w:rFonts w:ascii="Arial" w:cs="Arial" w:eastAsia="Arial" w:hAnsi="Arial"/>
          <w:sz w:val="13"/>
          <w:szCs w:val="13"/>
          <w:color w:val="auto"/>
        </w:rPr>
        <w:t>To assist management, we established procedures to verify and monitor our internal controls. Because of its inherent limitations, however,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7" w:lineRule="exact"/>
        <w:rPr>
          <w:sz w:val="20"/>
          <w:szCs w:val="20"/>
          <w:color w:val="auto"/>
        </w:rPr>
      </w:pPr>
    </w:p>
    <w:p>
      <w:pPr>
        <w:ind w:left="680" w:right="140" w:firstLine="399"/>
        <w:spacing w:after="0" w:line="279" w:lineRule="auto"/>
        <w:rPr>
          <w:sz w:val="20"/>
          <w:szCs w:val="20"/>
          <w:color w:val="auto"/>
        </w:rPr>
      </w:pPr>
      <w:r>
        <w:rPr>
          <w:rFonts w:ascii="Arial" w:cs="Arial" w:eastAsia="Arial" w:hAnsi="Arial"/>
          <w:sz w:val="13"/>
          <w:szCs w:val="13"/>
          <w:color w:val="auto"/>
        </w:rPr>
        <w:t xml:space="preserve">Our management assessed the effectiveness of the Company’s internal control over financial reporting as of December 31, 2007. In making this assessment, our management used the criteria set forth by the Committee of Sponsoring Organizations of the Treadway Commission (COSO) in </w:t>
      </w:r>
      <w:r>
        <w:rPr>
          <w:rFonts w:ascii="Arial" w:cs="Arial" w:eastAsia="Arial" w:hAnsi="Arial"/>
          <w:sz w:val="13"/>
          <w:szCs w:val="13"/>
          <w:i w:val="1"/>
          <w:iCs w:val="1"/>
          <w:color w:val="auto"/>
        </w:rPr>
        <w:t>Internal Control — Integrated Framework.</w:t>
      </w:r>
    </w:p>
    <w:p>
      <w:pPr>
        <w:spacing w:after="0" w:line="58"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3"/>
          <w:szCs w:val="13"/>
          <w:color w:val="auto"/>
        </w:rPr>
        <w:t>Based on our assessment, management concluded that, as of December 31, 2007, our internal control over financial reporting was effective based on those criteria at the reasonable assurance level.</w:t>
      </w:r>
    </w:p>
    <w:p>
      <w:pPr>
        <w:spacing w:after="0" w:line="58" w:lineRule="exact"/>
        <w:rPr>
          <w:sz w:val="20"/>
          <w:szCs w:val="20"/>
          <w:color w:val="auto"/>
        </w:rPr>
      </w:pPr>
    </w:p>
    <w:p>
      <w:pPr>
        <w:ind w:left="680" w:right="200" w:firstLine="399"/>
        <w:spacing w:after="0" w:line="279" w:lineRule="auto"/>
        <w:rPr>
          <w:sz w:val="20"/>
          <w:szCs w:val="20"/>
          <w:color w:val="auto"/>
        </w:rPr>
      </w:pPr>
      <w:r>
        <w:rPr>
          <w:rFonts w:ascii="Arial" w:cs="Arial" w:eastAsia="Arial" w:hAnsi="Arial"/>
          <w:sz w:val="13"/>
          <w:szCs w:val="13"/>
          <w:color w:val="auto"/>
        </w:rPr>
        <w:t>The effectiveness of the Company’s internal control over financial reporting as of December 31, 2007 has been audited by Ernst &amp; Young LLP, our independent registered public accounting firm, as stated in their report which is included in Item 9 of this Annual Report on Form 10-K.</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98" w:lineRule="exact"/>
        <w:rPr>
          <w:sz w:val="20"/>
          <w:szCs w:val="20"/>
          <w:color w:val="auto"/>
        </w:rPr>
      </w:pPr>
    </w:p>
    <w:p>
      <w:pPr>
        <w:ind w:left="680" w:right="100" w:firstLine="399"/>
        <w:spacing w:after="0" w:line="279" w:lineRule="auto"/>
        <w:rPr>
          <w:sz w:val="20"/>
          <w:szCs w:val="20"/>
          <w:color w:val="auto"/>
        </w:rPr>
      </w:pPr>
      <w:r>
        <w:rPr>
          <w:rFonts w:ascii="Arial" w:cs="Arial" w:eastAsia="Arial" w:hAnsi="Arial"/>
          <w:sz w:val="13"/>
          <w:szCs w:val="13"/>
          <w:color w:val="auto"/>
        </w:rPr>
        <w:t>There were no changes in our internal control over financial reporting identified in connection with the evaluation required by paragraph (d) of Exchange Act Rule 13a-15 that was conducted during the last fiscal quarter</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that have materially affected, or are reasonably likely to materially affect, our internal control over financial reporting.</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Inherent Limitations on Effectiveness of Controls</w:t>
      </w:r>
    </w:p>
    <w:p>
      <w:pPr>
        <w:spacing w:after="0" w:line="98"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Company’s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 of Synchronoss Technologies, Inc.</w:t>
      </w:r>
    </w:p>
    <w:p>
      <w:pPr>
        <w:spacing w:after="0" w:line="98"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 xml:space="preserve">We have audited Synchronoss Technologies Inc.’s internal control over financial reporting as of December 31, 2007, based on criteria established in Internal Control — Integrated Framework issued by the Committee of Sponsoring Organizations of the Treadway Commission (the COSO criteria). Synchronoss Technologies Inc.’s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3"/>
          <w:szCs w:val="13"/>
          <w:i w:val="1"/>
          <w:iCs w:val="1"/>
          <w:color w:val="auto"/>
        </w:rPr>
        <w:t>Management’s Annual Report on Internal Control over Financial Reporting</w:t>
      </w:r>
      <w:r>
        <w:rPr>
          <w:rFonts w:ascii="Arial" w:cs="Arial" w:eastAsia="Arial" w:hAnsi="Arial"/>
          <w:sz w:val="13"/>
          <w:szCs w:val="13"/>
          <w:color w:val="auto"/>
        </w:rPr>
        <w:t>. Our responsibility is to express an opinion on the company’s internal control over financial reporting based on</w:t>
      </w:r>
      <w:r>
        <w:rPr>
          <w:rFonts w:ascii="Arial" w:cs="Arial" w:eastAsia="Arial" w:hAnsi="Arial"/>
          <w:sz w:val="13"/>
          <w:szCs w:val="13"/>
          <w:i w:val="1"/>
          <w:iCs w:val="1"/>
          <w:color w:val="auto"/>
        </w:rPr>
        <w:t xml:space="preserve"> </w:t>
      </w:r>
      <w:r>
        <w:rPr>
          <w:rFonts w:ascii="Arial" w:cs="Arial" w:eastAsia="Arial" w:hAnsi="Arial"/>
          <w:sz w:val="13"/>
          <w:szCs w:val="13"/>
          <w:color w:val="auto"/>
        </w:rPr>
        <w:t>our audit.</w:t>
      </w:r>
    </w:p>
    <w:p>
      <w:pPr>
        <w:spacing w:after="0" w:line="70" w:lineRule="exact"/>
        <w:rPr>
          <w:sz w:val="20"/>
          <w:szCs w:val="20"/>
          <w:color w:val="auto"/>
        </w:rPr>
      </w:pPr>
    </w:p>
    <w:p>
      <w:pPr>
        <w:ind w:left="680" w:firstLine="399"/>
        <w:spacing w:after="0" w:line="324"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 w:lineRule="exact"/>
        <w:rPr>
          <w:sz w:val="20"/>
          <w:szCs w:val="20"/>
          <w:color w:val="auto"/>
        </w:rPr>
      </w:pPr>
    </w:p>
    <w:p>
      <w:pPr>
        <w:ind w:left="680" w:right="20" w:firstLine="399"/>
        <w:spacing w:after="0" w:line="284"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8" w:lineRule="exact"/>
        <w:rPr>
          <w:sz w:val="20"/>
          <w:szCs w:val="20"/>
          <w:color w:val="auto"/>
        </w:rPr>
      </w:pPr>
    </w:p>
    <w:p>
      <w:pPr>
        <w:ind w:left="680" w:right="140" w:firstLine="399"/>
        <w:spacing w:after="0" w:line="322"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3"/>
          <w:szCs w:val="13"/>
          <w:color w:val="auto"/>
        </w:rPr>
        <w:t>In our opinion, Synchronoss Technologies, Inc. maintained, in all material respects, effective internal control over financial reporting as of December 31, 2007, based on the COSO criteria.</w:t>
      </w:r>
    </w:p>
    <w:p>
      <w:pPr>
        <w:spacing w:after="0" w:line="58"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the consolidated balance sheets of Synchronoss Technologies, Inc. as of December 31, 2007 and 2006, and the related consolidated statements of operations, stockholders’ equity (deficiency), and cash flows for each of the three years in the period ended December 31, 2007 of Synchronoss Technologies, Inc. and our report dated February 22, 2008 expressed an unqualified opinion thereon.</w:t>
      </w:r>
    </w:p>
    <w:p>
      <w:pPr>
        <w:spacing w:after="0" w:line="4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MetroPark, New Jersey</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22, 2008</w:t>
      </w:r>
    </w:p>
    <w:p>
      <w:pPr>
        <w:spacing w:after="0" w:line="29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00"/>
          </w:cols>
          <w:pgMar w:left="220" w:top="345" w:right="107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3"/>
          <w:szCs w:val="13"/>
          <w:b w:val="1"/>
          <w:bCs w:val="1"/>
          <w:i w:val="1"/>
          <w:iCs w:val="1"/>
          <w:color w:val="auto"/>
        </w:rPr>
        <w:t>OTHER INFORMATION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52"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7"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2"/>
          <w:szCs w:val="12"/>
          <w:b w:val="1"/>
          <w:bCs w:val="1"/>
          <w:i w:val="1"/>
          <w:iCs w:val="1"/>
          <w:color w:val="auto"/>
        </w:rPr>
        <w:t>DIRECTORS AND EXECUTIVE OFFICERS OF THE REGISTRANT</w:t>
      </w:r>
    </w:p>
    <w:p>
      <w:pPr>
        <w:spacing w:after="0" w:line="102" w:lineRule="exact"/>
        <w:rPr>
          <w:sz w:val="20"/>
          <w:szCs w:val="20"/>
          <w:color w:val="auto"/>
        </w:rPr>
      </w:pPr>
    </w:p>
    <w:p>
      <w:pPr>
        <w:ind w:left="680" w:firstLine="406"/>
        <w:spacing w:after="0" w:line="279" w:lineRule="auto"/>
        <w:tabs>
          <w:tab w:leader="none" w:pos="1258" w:val="left"/>
        </w:tabs>
        <w:numPr>
          <w:ilvl w:val="0"/>
          <w:numId w:val="26"/>
        </w:numPr>
        <w:rPr>
          <w:rFonts w:ascii="Arial" w:cs="Arial" w:eastAsia="Arial" w:hAnsi="Arial"/>
          <w:sz w:val="13"/>
          <w:szCs w:val="13"/>
          <w:color w:val="auto"/>
        </w:rPr>
      </w:pPr>
      <w:r>
        <w:rPr>
          <w:rFonts w:ascii="Arial" w:cs="Arial" w:eastAsia="Arial" w:hAnsi="Arial"/>
          <w:sz w:val="13"/>
          <w:szCs w:val="13"/>
          <w:color w:val="auto"/>
        </w:rPr>
        <w:t>Identification of Directors. Information concerning the directors of Synchronoss is set forth under the heading “Election of Directors” in the Synchronoss Proxy Statement for the 2008 Annual Meeting of Stockholders and is incorporated herein by reference.</w:t>
      </w:r>
    </w:p>
    <w:p>
      <w:pPr>
        <w:spacing w:after="0" w:line="57" w:lineRule="exact"/>
        <w:rPr>
          <w:rFonts w:ascii="Arial" w:cs="Arial" w:eastAsia="Arial" w:hAnsi="Arial"/>
          <w:sz w:val="13"/>
          <w:szCs w:val="13"/>
          <w:color w:val="auto"/>
        </w:rPr>
      </w:pPr>
    </w:p>
    <w:p>
      <w:pPr>
        <w:ind w:left="680" w:right="80" w:firstLine="406"/>
        <w:spacing w:after="0" w:line="279" w:lineRule="auto"/>
        <w:tabs>
          <w:tab w:leader="none" w:pos="1258" w:val="left"/>
        </w:tabs>
        <w:numPr>
          <w:ilvl w:val="0"/>
          <w:numId w:val="26"/>
        </w:numPr>
        <w:rPr>
          <w:rFonts w:ascii="Arial" w:cs="Arial" w:eastAsia="Arial" w:hAnsi="Arial"/>
          <w:sz w:val="13"/>
          <w:szCs w:val="13"/>
          <w:color w:val="auto"/>
        </w:rPr>
      </w:pPr>
      <w:r>
        <w:rPr>
          <w:rFonts w:ascii="Arial" w:cs="Arial" w:eastAsia="Arial" w:hAnsi="Arial"/>
          <w:sz w:val="13"/>
          <w:szCs w:val="13"/>
          <w:color w:val="auto"/>
        </w:rPr>
        <w:t>Audit Committee Financial Expert. Information concerning Synchronoss’ audit committee financial expert is set forth under the heading “Audit Committee” in the Synchronoss Proxy Statement for the 2008 Annual Meeting of Stockholders and is incorporated herein by reference.</w:t>
      </w:r>
    </w:p>
    <w:p>
      <w:pPr>
        <w:spacing w:after="0" w:line="57" w:lineRule="exact"/>
        <w:rPr>
          <w:rFonts w:ascii="Arial" w:cs="Arial" w:eastAsia="Arial" w:hAnsi="Arial"/>
          <w:sz w:val="13"/>
          <w:szCs w:val="13"/>
          <w:color w:val="auto"/>
        </w:rPr>
      </w:pPr>
    </w:p>
    <w:p>
      <w:pPr>
        <w:ind w:left="680" w:right="120" w:firstLine="406"/>
        <w:spacing w:after="0" w:line="279" w:lineRule="auto"/>
        <w:tabs>
          <w:tab w:leader="none" w:pos="1258" w:val="left"/>
        </w:tabs>
        <w:numPr>
          <w:ilvl w:val="0"/>
          <w:numId w:val="26"/>
        </w:numPr>
        <w:rPr>
          <w:rFonts w:ascii="Arial" w:cs="Arial" w:eastAsia="Arial" w:hAnsi="Arial"/>
          <w:sz w:val="13"/>
          <w:szCs w:val="13"/>
          <w:color w:val="auto"/>
        </w:rPr>
      </w:pPr>
      <w:r>
        <w:rPr>
          <w:rFonts w:ascii="Arial" w:cs="Arial" w:eastAsia="Arial" w:hAnsi="Arial"/>
          <w:sz w:val="13"/>
          <w:szCs w:val="13"/>
          <w:color w:val="auto"/>
        </w:rPr>
        <w:t>Identification of the Audit Committee. Information concerning the audit committee of Synchronoss is set forth under the heading “Audit Committee” in the Synchronoss Proxy Statement for the 2008 Annual Meeting of Stockholders and is incorporated herein by reference.</w:t>
      </w:r>
    </w:p>
    <w:p>
      <w:pPr>
        <w:spacing w:after="0" w:line="57" w:lineRule="exact"/>
        <w:rPr>
          <w:rFonts w:ascii="Arial" w:cs="Arial" w:eastAsia="Arial" w:hAnsi="Arial"/>
          <w:sz w:val="13"/>
          <w:szCs w:val="13"/>
          <w:color w:val="auto"/>
        </w:rPr>
      </w:pPr>
    </w:p>
    <w:p>
      <w:pPr>
        <w:ind w:left="680" w:right="120" w:firstLine="406"/>
        <w:spacing w:after="0" w:line="322" w:lineRule="auto"/>
        <w:tabs>
          <w:tab w:leader="none" w:pos="1266" w:val="left"/>
        </w:tabs>
        <w:numPr>
          <w:ilvl w:val="0"/>
          <w:numId w:val="26"/>
        </w:numPr>
        <w:rPr>
          <w:rFonts w:ascii="Arial" w:cs="Arial" w:eastAsia="Arial" w:hAnsi="Arial"/>
          <w:sz w:val="12"/>
          <w:szCs w:val="12"/>
          <w:color w:val="auto"/>
        </w:rPr>
      </w:pPr>
      <w:r>
        <w:rPr>
          <w:rFonts w:ascii="Arial" w:cs="Arial" w:eastAsia="Arial" w:hAnsi="Arial"/>
          <w:sz w:val="12"/>
          <w:szCs w:val="12"/>
          <w:color w:val="auto"/>
        </w:rPr>
        <w:t>Section 16(a) Beneficial Ownership Reporting Compliance. Information concerning compliance with beneficial ownership reporting requirements is set forth under the caption “Section 16(a) Beneficial Ownership Reporting Compliance” in the Synchronoss Proxy Statement for the 2008 Annual Meeting of Stockholders and is incorporated herein by reference.</w:t>
      </w:r>
    </w:p>
    <w:p>
      <w:pPr>
        <w:spacing w:after="0" w:line="35" w:lineRule="exact"/>
        <w:rPr>
          <w:rFonts w:ascii="Arial" w:cs="Arial" w:eastAsia="Arial" w:hAnsi="Arial"/>
          <w:sz w:val="12"/>
          <w:szCs w:val="12"/>
          <w:color w:val="auto"/>
        </w:rPr>
      </w:pPr>
    </w:p>
    <w:p>
      <w:pPr>
        <w:ind w:left="680" w:right="100" w:firstLine="406"/>
        <w:spacing w:after="0" w:line="374" w:lineRule="auto"/>
        <w:tabs>
          <w:tab w:leader="none" w:pos="1258" w:val="left"/>
        </w:tabs>
        <w:numPr>
          <w:ilvl w:val="0"/>
          <w:numId w:val="26"/>
        </w:numPr>
        <w:rPr>
          <w:rFonts w:ascii="Arial" w:cs="Arial" w:eastAsia="Arial" w:hAnsi="Arial"/>
          <w:sz w:val="11"/>
          <w:szCs w:val="11"/>
          <w:color w:val="auto"/>
        </w:rPr>
      </w:pPr>
      <w:r>
        <w:rPr>
          <w:rFonts w:ascii="Arial" w:cs="Arial" w:eastAsia="Arial" w:hAnsi="Arial"/>
          <w:sz w:val="11"/>
          <w:szCs w:val="11"/>
          <w:color w:val="auto"/>
        </w:rPr>
        <w:t>Code of Ethics. Information concerning the Synchronoss Code of Business Conduct is set forth under the caption “Code of Business Conduct” in the Synchronoss Proxy Statement for the 2008 Annual Meeting of Stockholders and is incorporated herein by reference. The Code of Business Conduct can also be found on our website, www.synchronoss.com.</w:t>
      </w:r>
    </w:p>
    <w:p>
      <w:pPr>
        <w:spacing w:after="0" w:line="86"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3"/>
          <w:szCs w:val="13"/>
          <w:b w:val="1"/>
          <w:bCs w:val="1"/>
          <w:i w:val="1"/>
          <w:iCs w:val="1"/>
          <w:color w:val="auto"/>
        </w:rPr>
        <w:t>EXECUTIVE COMPENSATION</w:t>
      </w:r>
    </w:p>
    <w:p>
      <w:pPr>
        <w:spacing w:after="0" w:line="102" w:lineRule="exact"/>
        <w:rPr>
          <w:sz w:val="20"/>
          <w:szCs w:val="20"/>
          <w:color w:val="auto"/>
        </w:rPr>
      </w:pPr>
    </w:p>
    <w:p>
      <w:pPr>
        <w:ind w:left="680" w:right="260" w:firstLine="399"/>
        <w:spacing w:after="0" w:line="279" w:lineRule="auto"/>
        <w:rPr>
          <w:sz w:val="20"/>
          <w:szCs w:val="20"/>
          <w:color w:val="auto"/>
        </w:rPr>
      </w:pPr>
      <w:r>
        <w:rPr>
          <w:rFonts w:ascii="Arial" w:cs="Arial" w:eastAsia="Arial" w:hAnsi="Arial"/>
          <w:sz w:val="13"/>
          <w:szCs w:val="13"/>
          <w:color w:val="auto"/>
        </w:rPr>
        <w:t>Information concerning executive compensation is set forth under the headings “Compensation of Executive Officers” in the Synchronoss Proxy Statement for the 2008 Annual Meeting of Stockholders and is incorporated herein by reference.</w:t>
      </w:r>
    </w:p>
    <w:p>
      <w:pPr>
        <w:spacing w:after="0" w:line="13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102" w:lineRule="exact"/>
        <w:rPr>
          <w:sz w:val="20"/>
          <w:szCs w:val="20"/>
          <w:color w:val="auto"/>
        </w:rPr>
      </w:pPr>
    </w:p>
    <w:p>
      <w:pPr>
        <w:ind w:left="680" w:right="60" w:firstLine="399"/>
        <w:spacing w:after="0" w:line="322" w:lineRule="auto"/>
        <w:rPr>
          <w:sz w:val="20"/>
          <w:szCs w:val="20"/>
          <w:color w:val="auto"/>
        </w:rPr>
      </w:pPr>
      <w:r>
        <w:rPr>
          <w:rFonts w:ascii="Arial" w:cs="Arial" w:eastAsia="Arial" w:hAnsi="Arial"/>
          <w:sz w:val="12"/>
          <w:szCs w:val="12"/>
          <w:color w:val="auto"/>
        </w:rPr>
        <w:t>Information concerning shares of Synchronoss equity securities beneficially owned by certain beneficial owners and by management is set forth under the heading “Equity Security Ownership of Certain Beneficial Owners and Management” in the Synchronoss Proxy Statement for the 2008 Annual Meeting of Stockholders and is incorporated herein by reference.</w:t>
      </w:r>
    </w:p>
    <w:p>
      <w:pPr>
        <w:spacing w:after="0" w:line="110"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i w:val="1"/>
          <w:iCs w:val="1"/>
          <w:color w:val="auto"/>
        </w:rPr>
        <w:t>CERTAIN RELATIONSHIPS AND RELATED TRANSACTIONS</w:t>
      </w:r>
    </w:p>
    <w:p>
      <w:pPr>
        <w:spacing w:after="0" w:line="102" w:lineRule="exact"/>
        <w:rPr>
          <w:sz w:val="20"/>
          <w:szCs w:val="20"/>
          <w:color w:val="auto"/>
        </w:rPr>
      </w:pPr>
    </w:p>
    <w:p>
      <w:pPr>
        <w:ind w:left="680" w:right="60" w:firstLine="399"/>
        <w:spacing w:after="0" w:line="279" w:lineRule="auto"/>
        <w:rPr>
          <w:sz w:val="20"/>
          <w:szCs w:val="20"/>
          <w:color w:val="auto"/>
        </w:rPr>
      </w:pPr>
      <w:r>
        <w:rPr>
          <w:rFonts w:ascii="Arial" w:cs="Arial" w:eastAsia="Arial" w:hAnsi="Arial"/>
          <w:sz w:val="13"/>
          <w:szCs w:val="13"/>
          <w:color w:val="auto"/>
        </w:rPr>
        <w:t>Information concerning certain relationships and related transactions is set forth under the heading “Certain Related Party Transactions” in the Synchronoss Proxy Statement for the 2008 Annual Meeting of Stockholders and is incorporated herein by reference.</w:t>
      </w:r>
    </w:p>
    <w:p>
      <w:pPr>
        <w:spacing w:after="0" w:line="13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2"/>
          <w:szCs w:val="12"/>
          <w:b w:val="1"/>
          <w:bCs w:val="1"/>
          <w:i w:val="1"/>
          <w:iCs w:val="1"/>
          <w:color w:val="auto"/>
        </w:rPr>
        <w:t>PRINCIPAL ACCOUNTANT FEES AND SERVICES</w:t>
      </w:r>
    </w:p>
    <w:p>
      <w:pPr>
        <w:spacing w:after="0" w:line="102" w:lineRule="exact"/>
        <w:rPr>
          <w:sz w:val="20"/>
          <w:szCs w:val="20"/>
          <w:color w:val="auto"/>
        </w:rPr>
      </w:pPr>
    </w:p>
    <w:p>
      <w:pPr>
        <w:ind w:left="680" w:right="320" w:firstLine="399"/>
        <w:spacing w:after="0" w:line="322" w:lineRule="auto"/>
        <w:rPr>
          <w:sz w:val="20"/>
          <w:szCs w:val="20"/>
          <w:color w:val="auto"/>
        </w:rPr>
      </w:pPr>
      <w:r>
        <w:rPr>
          <w:rFonts w:ascii="Arial" w:cs="Arial" w:eastAsia="Arial" w:hAnsi="Arial"/>
          <w:sz w:val="12"/>
          <w:szCs w:val="12"/>
          <w:color w:val="auto"/>
        </w:rPr>
        <w:t>Information concerning fees and services of the Company’s principal accountants is set forth under the heading “Report of the Audit Committee” and “Independent Registered Public Accounting Firm’s Fees” in the Synchronoss Proxy Statement for the 2008 Annual Meeting of Stockholders and is incorporated herein by reference.</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49"/>
        </w:trPr>
        <w:tc>
          <w:tcPr>
            <w:tcW w:w="5020" w:type="dxa"/>
            <w:vAlign w:val="bottom"/>
            <w:gridSpan w:val="2"/>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5600" w:type="dxa"/>
            <w:vAlign w:val="bottom"/>
          </w:tcPr>
          <w:p>
            <w:pPr>
              <w:spacing w:after="0"/>
              <w:rPr>
                <w:sz w:val="13"/>
                <w:szCs w:val="13"/>
                <w:color w:val="auto"/>
              </w:rPr>
            </w:pPr>
          </w:p>
        </w:tc>
      </w:tr>
      <w:tr>
        <w:trPr>
          <w:trHeight w:val="414"/>
        </w:trPr>
        <w:tc>
          <w:tcPr>
            <w:tcW w:w="980" w:type="dxa"/>
            <w:vAlign w:val="bottom"/>
            <w:tcBorders>
              <w:top w:val="single" w:sz="8" w:color="0000EE"/>
            </w:tcBorders>
          </w:tcPr>
          <w:p>
            <w:pPr>
              <w:spacing w:after="0"/>
              <w:rPr>
                <w:sz w:val="24"/>
                <w:szCs w:val="24"/>
                <w:color w:val="auto"/>
              </w:rPr>
            </w:pPr>
          </w:p>
        </w:tc>
        <w:tc>
          <w:tcPr>
            <w:tcW w:w="4040" w:type="dxa"/>
            <w:vAlign w:val="bottom"/>
          </w:tcPr>
          <w:p>
            <w:pPr>
              <w:spacing w:after="0"/>
              <w:rPr>
                <w:sz w:val="24"/>
                <w:szCs w:val="24"/>
                <w:color w:val="auto"/>
              </w:rPr>
            </w:pPr>
          </w:p>
        </w:tc>
        <w:tc>
          <w:tcPr>
            <w:tcW w:w="5600" w:type="dxa"/>
            <w:vAlign w:val="bottom"/>
          </w:tcPr>
          <w:p>
            <w:pPr>
              <w:jc w:val="right"/>
              <w:ind w:right="4614"/>
              <w:spacing w:after="0"/>
              <w:rPr>
                <w:sz w:val="20"/>
                <w:szCs w:val="20"/>
                <w:color w:val="auto"/>
              </w:rPr>
            </w:pPr>
            <w:r>
              <w:rPr>
                <w:rFonts w:ascii="Arial" w:cs="Arial" w:eastAsia="Arial" w:hAnsi="Arial"/>
                <w:sz w:val="13"/>
                <w:szCs w:val="13"/>
                <w:b w:val="1"/>
                <w:bCs w:val="1"/>
                <w:color w:val="auto"/>
              </w:rPr>
              <w:t>PART IV</w:t>
            </w:r>
          </w:p>
        </w:tc>
      </w:tr>
      <w:tr>
        <w:trPr>
          <w:trHeight w:val="326"/>
        </w:trPr>
        <w:tc>
          <w:tcPr>
            <w:tcW w:w="5020" w:type="dxa"/>
            <w:vAlign w:val="bottom"/>
            <w:gridSpan w:val="2"/>
          </w:tcPr>
          <w:p>
            <w:pPr>
              <w:ind w:left="680"/>
              <w:spacing w:after="0"/>
              <w:rPr>
                <w:sz w:val="20"/>
                <w:szCs w:val="20"/>
                <w:color w:val="auto"/>
              </w:rPr>
            </w:pPr>
            <w:r>
              <w:rPr>
                <w:rFonts w:ascii="Arial" w:cs="Arial" w:eastAsia="Arial" w:hAnsi="Arial"/>
                <w:sz w:val="13"/>
                <w:szCs w:val="13"/>
                <w:b w:val="1"/>
                <w:bCs w:val="1"/>
                <w:color w:val="auto"/>
              </w:rPr>
              <w:t xml:space="preserve">ITEM 15. </w:t>
            </w:r>
            <w:r>
              <w:rPr>
                <w:rFonts w:ascii="Arial" w:cs="Arial" w:eastAsia="Arial" w:hAnsi="Arial"/>
                <w:sz w:val="13"/>
                <w:szCs w:val="13"/>
                <w:b w:val="1"/>
                <w:bCs w:val="1"/>
                <w:i w:val="1"/>
                <w:iCs w:val="1"/>
                <w:color w:val="auto"/>
              </w:rPr>
              <w:t>EXHIBITS AND FINANCIAL STATEMENT SCHEDULES</w:t>
            </w:r>
          </w:p>
        </w:tc>
        <w:tc>
          <w:tcPr>
            <w:tcW w:w="5600" w:type="dxa"/>
            <w:vAlign w:val="bottom"/>
          </w:tcPr>
          <w:p>
            <w:pPr>
              <w:spacing w:after="0"/>
              <w:rPr>
                <w:sz w:val="24"/>
                <w:szCs w:val="24"/>
                <w:color w:val="auto"/>
              </w:rPr>
            </w:pPr>
          </w:p>
        </w:tc>
      </w:tr>
      <w:tr>
        <w:trPr>
          <w:trHeight w:val="247"/>
        </w:trPr>
        <w:tc>
          <w:tcPr>
            <w:tcW w:w="980" w:type="dxa"/>
            <w:vAlign w:val="bottom"/>
          </w:tcPr>
          <w:p>
            <w:pPr>
              <w:spacing w:after="0"/>
              <w:rPr>
                <w:sz w:val="21"/>
                <w:szCs w:val="21"/>
                <w:color w:val="auto"/>
              </w:rPr>
            </w:pPr>
          </w:p>
        </w:tc>
        <w:tc>
          <w:tcPr>
            <w:tcW w:w="4040" w:type="dxa"/>
            <w:vAlign w:val="bottom"/>
          </w:tcPr>
          <w:p>
            <w:pPr>
              <w:ind w:left="100"/>
              <w:spacing w:after="0"/>
              <w:rPr>
                <w:sz w:val="20"/>
                <w:szCs w:val="20"/>
                <w:color w:val="auto"/>
              </w:rPr>
            </w:pPr>
            <w:r>
              <w:rPr>
                <w:rFonts w:ascii="Arial" w:cs="Arial" w:eastAsia="Arial" w:hAnsi="Arial"/>
                <w:sz w:val="13"/>
                <w:szCs w:val="13"/>
                <w:color w:val="auto"/>
              </w:rPr>
              <w:t>(a)(1) Financial Statements:</w:t>
            </w:r>
          </w:p>
        </w:tc>
        <w:tc>
          <w:tcPr>
            <w:tcW w:w="5600" w:type="dxa"/>
            <w:vAlign w:val="bottom"/>
          </w:tcPr>
          <w:p>
            <w:pPr>
              <w:spacing w:after="0"/>
              <w:rPr>
                <w:sz w:val="21"/>
                <w:szCs w:val="21"/>
                <w:color w:val="auto"/>
              </w:rPr>
            </w:pPr>
          </w:p>
        </w:tc>
      </w:tr>
      <w:tr>
        <w:trPr>
          <w:trHeight w:val="250"/>
        </w:trPr>
        <w:tc>
          <w:tcPr>
            <w:tcW w:w="5020" w:type="dxa"/>
            <w:vAlign w:val="bottom"/>
            <w:gridSpan w:val="2"/>
          </w:tcPr>
          <w:p>
            <w:pPr>
              <w:ind w:left="680"/>
              <w:spacing w:after="0"/>
              <w:rPr>
                <w:sz w:val="20"/>
                <w:szCs w:val="20"/>
                <w:color w:val="auto"/>
              </w:rPr>
            </w:pPr>
            <w:r>
              <w:rPr>
                <w:rFonts w:ascii="Arial" w:cs="Arial" w:eastAsia="Arial" w:hAnsi="Arial"/>
                <w:sz w:val="13"/>
                <w:szCs w:val="13"/>
                <w:color w:val="auto"/>
              </w:rPr>
              <w:t>Report of Independent Registered Public Accounting Firm</w:t>
            </w:r>
          </w:p>
        </w:tc>
        <w:tc>
          <w:tcPr>
            <w:tcW w:w="560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58"/>
        </w:trPr>
        <w:tc>
          <w:tcPr>
            <w:tcW w:w="5020" w:type="dxa"/>
            <w:vAlign w:val="bottom"/>
            <w:gridSpan w:val="2"/>
          </w:tcPr>
          <w:p>
            <w:pPr>
              <w:ind w:left="680"/>
              <w:spacing w:after="0"/>
              <w:rPr>
                <w:sz w:val="20"/>
                <w:szCs w:val="20"/>
                <w:color w:val="auto"/>
              </w:rPr>
            </w:pPr>
            <w:r>
              <w:rPr>
                <w:rFonts w:ascii="Arial" w:cs="Arial" w:eastAsia="Arial" w:hAnsi="Arial"/>
                <w:sz w:val="13"/>
                <w:szCs w:val="13"/>
                <w:color w:val="auto"/>
              </w:rPr>
              <w:t>Balance Sheets</w:t>
            </w:r>
          </w:p>
        </w:tc>
        <w:tc>
          <w:tcPr>
            <w:tcW w:w="560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58"/>
        </w:trPr>
        <w:tc>
          <w:tcPr>
            <w:tcW w:w="5020" w:type="dxa"/>
            <w:vAlign w:val="bottom"/>
            <w:gridSpan w:val="2"/>
          </w:tcPr>
          <w:p>
            <w:pPr>
              <w:ind w:left="680"/>
              <w:spacing w:after="0"/>
              <w:rPr>
                <w:sz w:val="20"/>
                <w:szCs w:val="20"/>
                <w:color w:val="auto"/>
              </w:rPr>
            </w:pPr>
            <w:r>
              <w:rPr>
                <w:rFonts w:ascii="Arial" w:cs="Arial" w:eastAsia="Arial" w:hAnsi="Arial"/>
                <w:sz w:val="13"/>
                <w:szCs w:val="13"/>
                <w:color w:val="auto"/>
              </w:rPr>
              <w:t>Statements of Operations</w:t>
            </w:r>
          </w:p>
        </w:tc>
        <w:tc>
          <w:tcPr>
            <w:tcW w:w="560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58"/>
        </w:trPr>
        <w:tc>
          <w:tcPr>
            <w:tcW w:w="5020" w:type="dxa"/>
            <w:vAlign w:val="bottom"/>
            <w:gridSpan w:val="2"/>
          </w:tcPr>
          <w:p>
            <w:pPr>
              <w:ind w:left="680"/>
              <w:spacing w:after="0"/>
              <w:rPr>
                <w:sz w:val="20"/>
                <w:szCs w:val="20"/>
                <w:color w:val="auto"/>
              </w:rPr>
            </w:pPr>
            <w:r>
              <w:rPr>
                <w:rFonts w:ascii="Arial" w:cs="Arial" w:eastAsia="Arial" w:hAnsi="Arial"/>
                <w:sz w:val="13"/>
                <w:szCs w:val="13"/>
                <w:color w:val="auto"/>
              </w:rPr>
              <w:t>Statements of Stockholders’ Equity (Deficiency)</w:t>
            </w:r>
          </w:p>
        </w:tc>
        <w:tc>
          <w:tcPr>
            <w:tcW w:w="560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58"/>
        </w:trPr>
        <w:tc>
          <w:tcPr>
            <w:tcW w:w="5020" w:type="dxa"/>
            <w:vAlign w:val="bottom"/>
            <w:gridSpan w:val="2"/>
          </w:tcPr>
          <w:p>
            <w:pPr>
              <w:ind w:left="680"/>
              <w:spacing w:after="0"/>
              <w:rPr>
                <w:sz w:val="20"/>
                <w:szCs w:val="20"/>
                <w:color w:val="auto"/>
              </w:rPr>
            </w:pPr>
            <w:r>
              <w:rPr>
                <w:rFonts w:ascii="Arial" w:cs="Arial" w:eastAsia="Arial" w:hAnsi="Arial"/>
                <w:sz w:val="13"/>
                <w:szCs w:val="13"/>
                <w:color w:val="auto"/>
              </w:rPr>
              <w:t>Statements of Cash Flows</w:t>
            </w:r>
          </w:p>
        </w:tc>
        <w:tc>
          <w:tcPr>
            <w:tcW w:w="560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165"/>
        </w:trPr>
        <w:tc>
          <w:tcPr>
            <w:tcW w:w="5020" w:type="dxa"/>
            <w:vAlign w:val="bottom"/>
            <w:gridSpan w:val="2"/>
          </w:tcPr>
          <w:p>
            <w:pPr>
              <w:ind w:left="680"/>
              <w:spacing w:after="0"/>
              <w:rPr>
                <w:sz w:val="20"/>
                <w:szCs w:val="20"/>
                <w:color w:val="auto"/>
              </w:rPr>
            </w:pPr>
            <w:r>
              <w:rPr>
                <w:rFonts w:ascii="Arial" w:cs="Arial" w:eastAsia="Arial" w:hAnsi="Arial"/>
                <w:sz w:val="13"/>
                <w:szCs w:val="13"/>
                <w:color w:val="auto"/>
              </w:rPr>
              <w:t>Notes to Financial Statements</w:t>
            </w:r>
          </w:p>
        </w:tc>
        <w:tc>
          <w:tcPr>
            <w:tcW w:w="5600" w:type="dxa"/>
            <w:vAlign w:val="bottom"/>
          </w:tcPr>
          <w:p>
            <w:pPr>
              <w:jc w:val="right"/>
              <w:spacing w:after="0"/>
              <w:rPr>
                <w:sz w:val="20"/>
                <w:szCs w:val="20"/>
                <w:color w:val="auto"/>
              </w:rPr>
            </w:pPr>
            <w:r>
              <w:rPr>
                <w:rFonts w:ascii="Arial" w:cs="Arial" w:eastAsia="Arial" w:hAnsi="Arial"/>
                <w:sz w:val="13"/>
                <w:szCs w:val="13"/>
                <w:color w:val="auto"/>
              </w:rPr>
              <w:t>42</w:t>
            </w:r>
          </w:p>
        </w:tc>
      </w:tr>
    </w:tbl>
    <w:p>
      <w:pPr>
        <w:spacing w:after="0" w:line="8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(a)(2) Schedule for the years ended December 31, 2007, 2006, 2005:</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II — Valuation and Qualifying Accounts</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other Schedules have been omitted because they are not applicable or the required information is shown in the financial statements or notes thereto.</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(a)(3) Exhibits: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840" w:type="dxa"/>
            <w:vAlign w:val="bottom"/>
          </w:tcPr>
          <w:p>
            <w:pPr>
              <w:jc w:val="right"/>
              <w:ind w:right="115"/>
              <w:spacing w:after="0"/>
              <w:rPr>
                <w:sz w:val="20"/>
                <w:szCs w:val="20"/>
                <w:color w:val="auto"/>
              </w:rPr>
            </w:pPr>
            <w:r>
              <w:rPr>
                <w:rFonts w:ascii="Arial" w:cs="Arial" w:eastAsia="Arial" w:hAnsi="Arial"/>
                <w:sz w:val="11"/>
                <w:szCs w:val="11"/>
                <w:b w:val="1"/>
                <w:bCs w:val="1"/>
                <w:color w:val="auto"/>
              </w:rPr>
              <w:t>Exhibit No.</w:t>
            </w:r>
          </w:p>
        </w:tc>
        <w:tc>
          <w:tcPr>
            <w:tcW w:w="4440" w:type="dxa"/>
            <w:vAlign w:val="bottom"/>
          </w:tcPr>
          <w:p>
            <w:pPr>
              <w:spacing w:after="0"/>
              <w:rPr>
                <w:sz w:val="11"/>
                <w:szCs w:val="11"/>
                <w:color w:val="auto"/>
              </w:rPr>
            </w:pPr>
          </w:p>
        </w:tc>
        <w:tc>
          <w:tcPr>
            <w:tcW w:w="5180" w:type="dxa"/>
            <w:vAlign w:val="bottom"/>
            <w:gridSpan w:val="2"/>
          </w:tcPr>
          <w:p>
            <w:pPr>
              <w:ind w:left="20"/>
              <w:spacing w:after="0"/>
              <w:rPr>
                <w:sz w:val="20"/>
                <w:szCs w:val="20"/>
                <w:color w:val="auto"/>
              </w:rPr>
            </w:pPr>
            <w:r>
              <w:rPr>
                <w:rFonts w:ascii="Arial" w:cs="Arial" w:eastAsia="Arial" w:hAnsi="Arial"/>
                <w:sz w:val="11"/>
                <w:szCs w:val="11"/>
                <w:b w:val="1"/>
                <w:bCs w:val="1"/>
                <w:color w:val="auto"/>
              </w:rPr>
              <w:t>Description</w:t>
            </w:r>
          </w:p>
        </w:tc>
      </w:tr>
      <w:tr>
        <w:trPr>
          <w:trHeight w:val="179"/>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3.1*</w:t>
            </w:r>
          </w:p>
        </w:tc>
        <w:tc>
          <w:tcPr>
            <w:tcW w:w="4440" w:type="dxa"/>
            <w:vAlign w:val="bottom"/>
          </w:tcPr>
          <w:p>
            <w:pPr>
              <w:ind w:left="160"/>
              <w:spacing w:after="0"/>
              <w:rPr>
                <w:sz w:val="20"/>
                <w:szCs w:val="20"/>
                <w:color w:val="auto"/>
              </w:rPr>
            </w:pPr>
            <w:r>
              <w:rPr>
                <w:rFonts w:ascii="Arial" w:cs="Arial" w:eastAsia="Arial" w:hAnsi="Arial"/>
                <w:sz w:val="13"/>
                <w:szCs w:val="13"/>
                <w:color w:val="auto"/>
              </w:rPr>
              <w:t>Amended and Restated Certificate of Incorporation of the Registrant.</w:t>
            </w:r>
          </w:p>
        </w:tc>
        <w:tc>
          <w:tcPr>
            <w:tcW w:w="100" w:type="dxa"/>
            <w:vAlign w:val="bottom"/>
            <w:tcBorders>
              <w:top w:val="single" w:sz="8" w:color="auto"/>
            </w:tcBorders>
          </w:tcPr>
          <w:p>
            <w:pPr>
              <w:spacing w:after="0"/>
              <w:rPr>
                <w:sz w:val="15"/>
                <w:szCs w:val="15"/>
                <w:color w:val="auto"/>
              </w:rPr>
            </w:pPr>
          </w:p>
        </w:tc>
        <w:tc>
          <w:tcPr>
            <w:tcW w:w="5080" w:type="dxa"/>
            <w:vAlign w:val="bottom"/>
          </w:tcPr>
          <w:p>
            <w:pPr>
              <w:spacing w:after="0"/>
              <w:rPr>
                <w:sz w:val="15"/>
                <w:szCs w:val="15"/>
                <w:color w:val="auto"/>
              </w:rPr>
            </w:pP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3.2*</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Amended and Restated Bylaws of the Registrant</w:t>
            </w:r>
          </w:p>
        </w:tc>
      </w:tr>
      <w:tr>
        <w:trPr>
          <w:trHeight w:val="158"/>
        </w:trPr>
        <w:tc>
          <w:tcPr>
            <w:tcW w:w="1840" w:type="dxa"/>
            <w:vAlign w:val="bottom"/>
          </w:tcPr>
          <w:p>
            <w:pPr>
              <w:jc w:val="right"/>
              <w:ind w:right="455"/>
              <w:spacing w:after="0"/>
              <w:rPr>
                <w:sz w:val="20"/>
                <w:szCs w:val="20"/>
                <w:color w:val="auto"/>
              </w:rPr>
            </w:pPr>
            <w:r>
              <w:rPr>
                <w:rFonts w:ascii="Arial" w:cs="Arial" w:eastAsia="Arial" w:hAnsi="Arial"/>
                <w:sz w:val="13"/>
                <w:szCs w:val="13"/>
                <w:color w:val="auto"/>
              </w:rPr>
              <w:t>4.1</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Reference is made to Exhibits 3.1 and 3.2</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4.2*</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Amended and Restated Investors Rights Agreement, dated December 22, 2000, by and among the Registrant, certain stockholders and the investors listed on the</w:t>
            </w:r>
          </w:p>
        </w:tc>
      </w:tr>
      <w:tr>
        <w:trPr>
          <w:trHeight w:val="158"/>
        </w:trPr>
        <w:tc>
          <w:tcPr>
            <w:tcW w:w="1840" w:type="dxa"/>
            <w:vAlign w:val="bottom"/>
          </w:tcPr>
          <w:p>
            <w:pPr>
              <w:spacing w:after="0"/>
              <w:rPr>
                <w:sz w:val="13"/>
                <w:szCs w:val="13"/>
                <w:color w:val="auto"/>
              </w:rPr>
            </w:pP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signature pages thereto.</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4.3*</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Amendment No. 1 to Synchronoss Technologies, Inc. Amended and Restated Investors Rights Agreement, dated April 27, 2001, by and among the Registrant,</w:t>
            </w:r>
          </w:p>
        </w:tc>
      </w:tr>
      <w:tr>
        <w:trPr>
          <w:trHeight w:val="158"/>
        </w:trPr>
        <w:tc>
          <w:tcPr>
            <w:tcW w:w="1840" w:type="dxa"/>
            <w:vAlign w:val="bottom"/>
          </w:tcPr>
          <w:p>
            <w:pPr>
              <w:spacing w:after="0"/>
              <w:rPr>
                <w:sz w:val="13"/>
                <w:szCs w:val="13"/>
                <w:color w:val="auto"/>
              </w:rPr>
            </w:pP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certain stockholders and the investors listed on the signature pages thereto.</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4.4*</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Registration Rights Agreement, dated November 13, 2000, by and among the Registrant and the investors listed on the signature pages thereto.</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4.5*</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Amendment No. 1 to Synchronoss Technologies, Inc. Registration Rights Agreement, dated May 21, 2001, by and among the Registrant, certain stockholders listed</w:t>
            </w:r>
          </w:p>
        </w:tc>
      </w:tr>
      <w:tr>
        <w:trPr>
          <w:trHeight w:val="158"/>
        </w:trPr>
        <w:tc>
          <w:tcPr>
            <w:tcW w:w="1840" w:type="dxa"/>
            <w:vAlign w:val="bottom"/>
          </w:tcPr>
          <w:p>
            <w:pPr>
              <w:spacing w:after="0"/>
              <w:rPr>
                <w:sz w:val="13"/>
                <w:szCs w:val="13"/>
                <w:color w:val="auto"/>
              </w:rPr>
            </w:pP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on the signature pages thereto and Silicon Valley Bank.</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10.1*</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Form of Indemnification Agreement between the Registrant and each of its directors and executive officers.</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10.2*</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Synchronoss Technologies, Inc. 2000 Stock Plan and forms of agreements thereunder.</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10.3*</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Amendment No. 1 to Synchronoss Technologies, Inc. 2000 Stock Plan.</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10.4*</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2006 Equity Incentive Plan and forms of agreements thereunder.</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10.5*</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Lease Agreement between the Registrant and BTCT Associates, L.L.C. for the premises located at 750 Route 202 South, Bridgewater, New Jersey, dated as of</w:t>
            </w:r>
          </w:p>
        </w:tc>
      </w:tr>
      <w:tr>
        <w:trPr>
          <w:trHeight w:val="158"/>
        </w:trPr>
        <w:tc>
          <w:tcPr>
            <w:tcW w:w="1840" w:type="dxa"/>
            <w:vAlign w:val="bottom"/>
          </w:tcPr>
          <w:p>
            <w:pPr>
              <w:spacing w:after="0"/>
              <w:rPr>
                <w:sz w:val="13"/>
                <w:szCs w:val="13"/>
                <w:color w:val="auto"/>
              </w:rPr>
            </w:pP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May 11, 2004.</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10.6*</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First Amendment dated December 23, 2003 to the Lease Agreement between the Registrant and BTCT Associates, L.L.C. for the premises located at 750 Route</w:t>
            </w:r>
          </w:p>
        </w:tc>
      </w:tr>
      <w:tr>
        <w:trPr>
          <w:trHeight w:val="158"/>
        </w:trPr>
        <w:tc>
          <w:tcPr>
            <w:tcW w:w="1840" w:type="dxa"/>
            <w:vAlign w:val="bottom"/>
          </w:tcPr>
          <w:p>
            <w:pPr>
              <w:spacing w:after="0"/>
              <w:rPr>
                <w:sz w:val="13"/>
                <w:szCs w:val="13"/>
                <w:color w:val="auto"/>
              </w:rPr>
            </w:pP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202 South, Bridgewater, New Jersey, dated as of May 11, 2004.</w:t>
            </w:r>
          </w:p>
        </w:tc>
      </w:tr>
      <w:tr>
        <w:trPr>
          <w:trHeight w:val="158"/>
        </w:trPr>
        <w:tc>
          <w:tcPr>
            <w:tcW w:w="1840" w:type="dxa"/>
            <w:vAlign w:val="bottom"/>
          </w:tcPr>
          <w:p>
            <w:pPr>
              <w:jc w:val="right"/>
              <w:ind w:right="335"/>
              <w:spacing w:after="0"/>
              <w:rPr>
                <w:sz w:val="20"/>
                <w:szCs w:val="20"/>
                <w:color w:val="auto"/>
              </w:rPr>
            </w:pPr>
            <w:r>
              <w:rPr>
                <w:rFonts w:ascii="Arial" w:cs="Arial" w:eastAsia="Arial" w:hAnsi="Arial"/>
                <w:sz w:val="13"/>
                <w:szCs w:val="13"/>
                <w:color w:val="auto"/>
              </w:rPr>
              <w:t>10.7**</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Second Amendment dated August 21, 2006 to the Lease Agreement between the Registrant and BTCT Associates, L.L.C. for the premises located at 750 Route</w:t>
            </w:r>
          </w:p>
        </w:tc>
      </w:tr>
      <w:tr>
        <w:trPr>
          <w:trHeight w:val="158"/>
        </w:trPr>
        <w:tc>
          <w:tcPr>
            <w:tcW w:w="1840" w:type="dxa"/>
            <w:vAlign w:val="bottom"/>
          </w:tcPr>
          <w:p>
            <w:pPr>
              <w:spacing w:after="0"/>
              <w:rPr>
                <w:sz w:val="13"/>
                <w:szCs w:val="13"/>
                <w:color w:val="auto"/>
              </w:rPr>
            </w:pP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202 South, Bridgewater, New Jersey, dated as of May 11, 2004.</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10.8*</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Lease Agreement between the Registrant and Liberty Property Limited Partnership for the premises located at 1525 Valley Center Parkway, Bethlehem,</w:t>
            </w:r>
          </w:p>
        </w:tc>
      </w:tr>
      <w:tr>
        <w:trPr>
          <w:trHeight w:val="158"/>
        </w:trPr>
        <w:tc>
          <w:tcPr>
            <w:tcW w:w="1840" w:type="dxa"/>
            <w:vAlign w:val="bottom"/>
          </w:tcPr>
          <w:p>
            <w:pPr>
              <w:spacing w:after="0"/>
              <w:rPr>
                <w:sz w:val="13"/>
                <w:szCs w:val="13"/>
                <w:color w:val="auto"/>
              </w:rPr>
            </w:pP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Pennsylvania, dated as of February 14, 2002.</w:t>
            </w:r>
          </w:p>
        </w:tc>
      </w:tr>
      <w:tr>
        <w:trPr>
          <w:trHeight w:val="165"/>
        </w:trPr>
        <w:tc>
          <w:tcPr>
            <w:tcW w:w="1840" w:type="dxa"/>
            <w:vAlign w:val="bottom"/>
          </w:tcPr>
          <w:p>
            <w:pPr>
              <w:jc w:val="right"/>
              <w:ind w:right="335"/>
              <w:spacing w:after="0"/>
              <w:rPr>
                <w:sz w:val="20"/>
                <w:szCs w:val="20"/>
                <w:color w:val="auto"/>
              </w:rPr>
            </w:pPr>
            <w:r>
              <w:rPr>
                <w:rFonts w:ascii="Arial" w:cs="Arial" w:eastAsia="Arial" w:hAnsi="Arial"/>
                <w:sz w:val="13"/>
                <w:szCs w:val="13"/>
                <w:color w:val="auto"/>
              </w:rPr>
              <w:t>10.10*</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Loan &amp; Security Agreement between the Registrant and Silicon Valley Bank, dated as of May 21, 2001.</w:t>
            </w:r>
          </w:p>
        </w:tc>
      </w:tr>
      <w:tr>
        <w:trPr>
          <w:trHeight w:val="455"/>
        </w:trPr>
        <w:tc>
          <w:tcPr>
            <w:tcW w:w="1840" w:type="dxa"/>
            <w:vAlign w:val="bottom"/>
          </w:tcPr>
          <w:p>
            <w:pPr>
              <w:spacing w:after="0"/>
              <w:rPr>
                <w:sz w:val="24"/>
                <w:szCs w:val="24"/>
                <w:color w:val="auto"/>
              </w:rPr>
            </w:pPr>
          </w:p>
        </w:tc>
        <w:tc>
          <w:tcPr>
            <w:tcW w:w="4440" w:type="dxa"/>
            <w:vAlign w:val="bottom"/>
          </w:tcPr>
          <w:p>
            <w:pPr>
              <w:ind w:left="3780"/>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165"/>
        </w:trPr>
        <w:tc>
          <w:tcPr>
            <w:tcW w:w="1840" w:type="dxa"/>
            <w:vAlign w:val="bottom"/>
            <w:tcBorders>
              <w:bottom w:val="single" w:sz="8" w:color="808080"/>
            </w:tcBorders>
          </w:tcPr>
          <w:p>
            <w:pPr>
              <w:spacing w:after="0"/>
              <w:rPr>
                <w:sz w:val="14"/>
                <w:szCs w:val="14"/>
                <w:color w:val="auto"/>
              </w:rPr>
            </w:pPr>
          </w:p>
        </w:tc>
        <w:tc>
          <w:tcPr>
            <w:tcW w:w="44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-2746375</wp:posOffset>
            </wp:positionV>
            <wp:extent cx="635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6" w:right="2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2" w:lineRule="exact"/>
        <w:rPr>
          <w:sz w:val="20"/>
          <w:szCs w:val="20"/>
          <w:color w:val="auto"/>
        </w:rPr>
      </w:pPr>
    </w:p>
    <w:tbl>
      <w:tblPr>
        <w:tblLayout w:type="fixed"/>
        <w:tblInd w:w="1080" w:type="dxa"/>
        <w:tblCellMar>
          <w:top w:w="0" w:type="dxa"/>
          <w:left w:w="0" w:type="dxa"/>
          <w:bottom w:w="0" w:type="dxa"/>
          <w:right w:w="0" w:type="dxa"/>
        </w:tblCellMar>
      </w:tblPr>
      <w:tr>
        <w:trPr>
          <w:trHeight w:val="136"/>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Exhibit No.</w:t>
            </w:r>
          </w:p>
        </w:tc>
        <w:tc>
          <w:tcPr>
            <w:tcW w:w="4440" w:type="dxa"/>
            <w:vAlign w:val="bottom"/>
          </w:tcPr>
          <w:p>
            <w:pPr>
              <w:spacing w:after="0"/>
              <w:rPr>
                <w:sz w:val="11"/>
                <w:szCs w:val="11"/>
                <w:color w:val="auto"/>
              </w:rPr>
            </w:pPr>
          </w:p>
        </w:tc>
        <w:tc>
          <w:tcPr>
            <w:tcW w:w="4340" w:type="dxa"/>
            <w:vAlign w:val="bottom"/>
            <w:gridSpan w:val="2"/>
          </w:tcPr>
          <w:p>
            <w:pPr>
              <w:ind w:left="20"/>
              <w:spacing w:after="0"/>
              <w:rPr>
                <w:sz w:val="20"/>
                <w:szCs w:val="20"/>
                <w:color w:val="auto"/>
              </w:rPr>
            </w:pPr>
            <w:r>
              <w:rPr>
                <w:rFonts w:ascii="Arial" w:cs="Arial" w:eastAsia="Arial" w:hAnsi="Arial"/>
                <w:sz w:val="11"/>
                <w:szCs w:val="11"/>
                <w:b w:val="1"/>
                <w:bCs w:val="1"/>
                <w:color w:val="auto"/>
              </w:rPr>
              <w:t>Description</w:t>
            </w:r>
          </w:p>
        </w:tc>
      </w:tr>
      <w:tr>
        <w:trPr>
          <w:trHeight w:val="20"/>
        </w:trPr>
        <w:tc>
          <w:tcPr>
            <w:tcW w:w="7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79"/>
        </w:trPr>
        <w:tc>
          <w:tcPr>
            <w:tcW w:w="760" w:type="dxa"/>
            <w:vAlign w:val="bottom"/>
          </w:tcPr>
          <w:p>
            <w:pPr>
              <w:spacing w:after="0"/>
              <w:rPr>
                <w:sz w:val="20"/>
                <w:szCs w:val="20"/>
                <w:color w:val="auto"/>
              </w:rPr>
            </w:pPr>
            <w:r>
              <w:rPr>
                <w:rFonts w:ascii="Arial" w:cs="Arial" w:eastAsia="Arial" w:hAnsi="Arial"/>
                <w:sz w:val="13"/>
                <w:szCs w:val="13"/>
                <w:color w:val="auto"/>
              </w:rPr>
              <w:t>10.11*‡</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rPr>
              <w:t>Cingular Master Services Agreement, effective September 1, 2005 by and between the Registrant and Cingular Wireless LLC.</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10.12*†</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rPr>
              <w:t>Employment Agreement between the Registrant and Stephen G. Waldis.</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10.13*†</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rPr>
              <w:t>Employment Agreement between the Registrant and Lawrence R. Irving.</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10.14*†</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rPr>
              <w:t>Employment Agreement between the Registrant and Robert Garcia.</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10.15**†</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rPr>
              <w:t>Employment Agreement between the Registrant and Chris Putnam.</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10.16**†</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rPr>
              <w:t>Employment Agreement between the Registrant and Omar Tellez.</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23.1</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rPr>
              <w:t>Consent of Ernst &amp; Young, LLP, Independent Registered Public Accounting Firm.</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24</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rPr>
              <w:t>Power of Attorney (see page 63)</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31.1</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w w:val="94"/>
              </w:rPr>
              <w:t>Certification of Chief Executive Officer pursuant to Rule 13a-14(a) of the Exchange Act, as adopted pursuant to section 302 of the Sarbanes-Oxley Act of 2002</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31.2</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w w:val="94"/>
              </w:rPr>
              <w:t>Certification of Chief Financial Officer pursuant to Rule 13a-14(a) of the Exchange Act, as adopted pursuant to section 302 of the Sarbanes-Oxley Act of 2002</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32.1</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w w:val="92"/>
              </w:rPr>
              <w:t>Certification of Chief Executive Officer pursuant to Rule 13a-14(b) of the Exchange Act and section 18 U.S.C. Section 1350, as adopted pursuant to section 906 of</w:t>
            </w:r>
          </w:p>
        </w:tc>
      </w:tr>
      <w:tr>
        <w:trPr>
          <w:trHeight w:val="158"/>
        </w:trPr>
        <w:tc>
          <w:tcPr>
            <w:tcW w:w="760" w:type="dxa"/>
            <w:vAlign w:val="bottom"/>
          </w:tcPr>
          <w:p>
            <w:pPr>
              <w:spacing w:after="0"/>
              <w:rPr>
                <w:sz w:val="13"/>
                <w:szCs w:val="13"/>
                <w:color w:val="auto"/>
              </w:rPr>
            </w:pP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rPr>
              <w:t>the Sarbanes-Oxley Act of 2002</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32.2</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w w:val="92"/>
              </w:rPr>
              <w:t>Certification of Chief Financial Officer pursuant to Rule 13a-14(b) of the Exchange Act and section 18 U.S.C. Section 1350, as adopted pursuant to section 906 of</w:t>
            </w:r>
          </w:p>
        </w:tc>
      </w:tr>
      <w:tr>
        <w:trPr>
          <w:trHeight w:val="165"/>
        </w:trPr>
        <w:tc>
          <w:tcPr>
            <w:tcW w:w="760" w:type="dxa"/>
            <w:vAlign w:val="bottom"/>
          </w:tcPr>
          <w:p>
            <w:pPr>
              <w:spacing w:after="0"/>
              <w:rPr>
                <w:sz w:val="14"/>
                <w:szCs w:val="14"/>
                <w:color w:val="auto"/>
              </w:rPr>
            </w:pP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rPr>
              <w:t>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-1436370</wp:posOffset>
            </wp:positionV>
            <wp:extent cx="635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63500</wp:posOffset>
            </wp:positionV>
            <wp:extent cx="82232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2325" cy="6350"/>
                    </a:xfrm>
                    <a:prstGeom prst="rect">
                      <a:avLst/>
                    </a:prstGeom>
                    <a:noFill/>
                  </pic:spPr>
                </pic:pic>
              </a:graphicData>
            </a:graphic>
          </wp:anchor>
        </w:drawing>
      </w:r>
    </w:p>
    <w:p>
      <w:pPr>
        <w:spacing w:after="0" w:line="131" w:lineRule="exact"/>
        <w:rPr>
          <w:sz w:val="20"/>
          <w:szCs w:val="20"/>
          <w:color w:val="auto"/>
        </w:rPr>
      </w:pPr>
    </w:p>
    <w:p>
      <w:pPr>
        <w:ind w:left="1200" w:hanging="513"/>
        <w:spacing w:after="0"/>
        <w:tabs>
          <w:tab w:leader="none" w:pos="12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Compensation Arrangement.</w:t>
      </w:r>
    </w:p>
    <w:p>
      <w:pPr>
        <w:spacing w:after="0" w:line="48" w:lineRule="exact"/>
        <w:rPr>
          <w:sz w:val="20"/>
          <w:szCs w:val="20"/>
          <w:color w:val="auto"/>
        </w:rPr>
      </w:pPr>
    </w:p>
    <w:p>
      <w:pPr>
        <w:ind w:left="1200" w:hanging="513"/>
        <w:spacing w:after="0"/>
        <w:tabs>
          <w:tab w:leader="none" w:pos="12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Incorporated by reference to Registrant’s Registration Statement on Form S-1 (Commission File No. 333-132080).</w:t>
      </w:r>
    </w:p>
    <w:p>
      <w:pPr>
        <w:spacing w:after="0" w:line="48" w:lineRule="exact"/>
        <w:rPr>
          <w:rFonts w:ascii="Arial" w:cs="Arial" w:eastAsia="Arial" w:hAnsi="Arial"/>
          <w:sz w:val="13"/>
          <w:szCs w:val="13"/>
          <w:color w:val="auto"/>
        </w:rPr>
      </w:pPr>
    </w:p>
    <w:p>
      <w:pPr>
        <w:ind w:left="68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1"/>
          <w:szCs w:val="11"/>
          <w:color w:val="auto"/>
        </w:rPr>
        <w:t>Incorporated by reference to Registrant’s Annual Report on Form 10-K for the year ended December 31, 2006.</w:t>
      </w:r>
    </w:p>
    <w:p>
      <w:pPr>
        <w:spacing w:after="0" w:line="48" w:lineRule="exact"/>
        <w:rPr>
          <w:sz w:val="20"/>
          <w:szCs w:val="20"/>
          <w:color w:val="auto"/>
        </w:rPr>
      </w:pPr>
    </w:p>
    <w:p>
      <w:pPr>
        <w:ind w:left="1080" w:right="240" w:hanging="393"/>
        <w:spacing w:after="0" w:line="396" w:lineRule="auto"/>
        <w:tabs>
          <w:tab w:leader="none" w:pos="1185"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Confidential treatment has been requested for portions of this document. The omitted portions of this document have been filed with the Securities and Exchange Commission. (10)</w:t>
      </w:r>
    </w:p>
    <w:p>
      <w:pPr>
        <w:spacing w:after="0" w:line="1" w:lineRule="exact"/>
        <w:rPr>
          <w:rFonts w:ascii="Arial" w:cs="Arial" w:eastAsia="Arial" w:hAnsi="Arial"/>
          <w:sz w:val="13"/>
          <w:szCs w:val="13"/>
          <w:color w:val="auto"/>
        </w:rPr>
      </w:pPr>
    </w:p>
    <w:p>
      <w:pPr>
        <w:ind w:left="1080"/>
        <w:spacing w:after="0"/>
        <w:rPr>
          <w:rFonts w:ascii="Arial" w:cs="Arial" w:eastAsia="Arial" w:hAnsi="Arial"/>
          <w:sz w:val="13"/>
          <w:szCs w:val="13"/>
          <w:color w:val="auto"/>
        </w:rPr>
      </w:pPr>
      <w:r>
        <w:rPr>
          <w:rFonts w:ascii="Arial" w:cs="Arial" w:eastAsia="Arial" w:hAnsi="Arial"/>
          <w:sz w:val="13"/>
          <w:szCs w:val="13"/>
          <w:color w:val="auto"/>
        </w:rPr>
        <w:t>(b) Exhibits.</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(a)(3) above.</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 Financial Statement Schedule.</w:t>
      </w:r>
    </w:p>
    <w:p>
      <w:pPr>
        <w:spacing w:after="0" w:line="25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SCHEDULE II — VALUATION AND QUALIFYING ACCOUNTS</w:t>
      </w:r>
    </w:p>
    <w:p>
      <w:pPr>
        <w:spacing w:after="0" w:line="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December 31, 2007, December 31, 2006, and December 31, 2005</w:t>
      </w:r>
    </w:p>
    <w:p>
      <w:pPr>
        <w:spacing w:after="0" w:line="74"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9"/>
              <w:spacing w:after="0"/>
              <w:rPr>
                <w:sz w:val="20"/>
                <w:szCs w:val="20"/>
                <w:color w:val="auto"/>
              </w:rPr>
            </w:pPr>
            <w:r>
              <w:rPr>
                <w:rFonts w:ascii="Arial" w:cs="Arial" w:eastAsia="Arial" w:hAnsi="Arial"/>
                <w:sz w:val="11"/>
                <w:szCs w:val="11"/>
                <w:b w:val="1"/>
                <w:bCs w:val="1"/>
                <w:color w:val="auto"/>
                <w:w w:val="81"/>
              </w:rPr>
              <w:t>Beginning</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gridSpan w:val="3"/>
          </w:tcPr>
          <w:p>
            <w:pPr>
              <w:ind w:left="20"/>
              <w:spacing w:after="0"/>
              <w:rPr>
                <w:sz w:val="20"/>
                <w:szCs w:val="20"/>
                <w:color w:val="auto"/>
              </w:rPr>
            </w:pPr>
            <w:r>
              <w:rPr>
                <w:rFonts w:ascii="Arial" w:cs="Arial" w:eastAsia="Arial" w:hAnsi="Arial"/>
                <w:sz w:val="11"/>
                <w:szCs w:val="11"/>
                <w:b w:val="1"/>
                <w:bCs w:val="1"/>
                <w:color w:val="auto"/>
              </w:rPr>
              <w:t>Ending</w:t>
            </w:r>
          </w:p>
        </w:tc>
      </w:tr>
      <w:tr>
        <w:trPr>
          <w:trHeight w:val="126"/>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w w:val="94"/>
              </w:rPr>
              <w:t>Balance</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w w:val="86"/>
              </w:rPr>
              <w:t>Additions</w:t>
            </w: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1"/>
                <w:szCs w:val="11"/>
                <w:b w:val="1"/>
                <w:bCs w:val="1"/>
                <w:color w:val="auto"/>
                <w:w w:val="83"/>
              </w:rPr>
              <w:t>Reductions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80"/>
              </w:rPr>
              <w:t>Balance</w:t>
            </w:r>
          </w:p>
        </w:tc>
        <w:tc>
          <w:tcPr>
            <w:tcW w:w="100" w:type="dxa"/>
            <w:vAlign w:val="bottom"/>
          </w:tcPr>
          <w:p>
            <w:pPr>
              <w:spacing w:after="0"/>
              <w:rPr>
                <w:sz w:val="10"/>
                <w:szCs w:val="10"/>
                <w:color w:val="auto"/>
              </w:rPr>
            </w:pPr>
          </w:p>
        </w:tc>
      </w:tr>
      <w:tr>
        <w:trPr>
          <w:trHeight w:val="126"/>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40" w:type="dxa"/>
            <w:vAlign w:val="bottom"/>
            <w:gridSpan w:val="5"/>
          </w:tcPr>
          <w:p>
            <w:pPr>
              <w:jc w:val="right"/>
              <w:ind w:right="740"/>
              <w:spacing w:after="0"/>
              <w:rPr>
                <w:sz w:val="20"/>
                <w:szCs w:val="20"/>
                <w:color w:val="auto"/>
              </w:rPr>
            </w:pPr>
            <w:r>
              <w:rPr>
                <w:rFonts w:ascii="Arial" w:cs="Arial" w:eastAsia="Arial" w:hAnsi="Arial"/>
                <w:sz w:val="11"/>
                <w:szCs w:val="11"/>
                <w:b w:val="1"/>
                <w:bCs w:val="1"/>
                <w:color w:val="auto"/>
              </w:rPr>
              <w:t>(In thousands)</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Allowance for doubtful receivables(1)</w:t>
            </w:r>
          </w:p>
        </w:tc>
        <w:tc>
          <w:tcPr>
            <w:tcW w:w="2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8"/>
        </w:trPr>
        <w:tc>
          <w:tcPr>
            <w:tcW w:w="20" w:type="dxa"/>
            <w:vAlign w:val="bottom"/>
          </w:tcPr>
          <w:p>
            <w:pPr>
              <w:spacing w:after="0"/>
              <w:rPr>
                <w:sz w:val="13"/>
                <w:szCs w:val="13"/>
                <w:color w:val="auto"/>
              </w:rPr>
            </w:pPr>
          </w:p>
        </w:tc>
        <w:tc>
          <w:tcPr>
            <w:tcW w:w="4200" w:type="dxa"/>
            <w:vAlign w:val="bottom"/>
          </w:tcPr>
          <w:p>
            <w:pPr>
              <w:spacing w:after="0"/>
              <w:rPr>
                <w:sz w:val="20"/>
                <w:szCs w:val="20"/>
                <w:color w:val="auto"/>
              </w:rPr>
            </w:pPr>
            <w:r>
              <w:rPr>
                <w:rFonts w:ascii="Arial" w:cs="Arial" w:eastAsia="Arial" w:hAnsi="Arial"/>
                <w:sz w:val="13"/>
                <w:szCs w:val="13"/>
                <w:color w:val="auto"/>
              </w:rPr>
              <w:t>2007</w:t>
            </w:r>
          </w:p>
        </w:tc>
        <w:tc>
          <w:tcPr>
            <w:tcW w:w="2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171</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277</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7"/>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448</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2006</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(90)</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100" w:type="dxa"/>
            <w:vAlign w:val="bottom"/>
            <w:shd w:val="clear" w:color="auto" w:fill="CCEEFF"/>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Arial" w:cs="Arial" w:eastAsia="Arial" w:hAnsi="Arial"/>
                <w:sz w:val="13"/>
                <w:szCs w:val="13"/>
                <w:color w:val="auto"/>
              </w:rPr>
              <w:t>2005</w:t>
            </w:r>
          </w:p>
        </w:tc>
        <w:tc>
          <w:tcPr>
            <w:tcW w:w="2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200</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21</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7"/>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221</w:t>
            </w:r>
          </w:p>
        </w:tc>
        <w:tc>
          <w:tcPr>
            <w:tcW w:w="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52070</wp:posOffset>
            </wp:positionV>
            <wp:extent cx="82232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2325" cy="6350"/>
                    </a:xfrm>
                    <a:prstGeom prst="rect">
                      <a:avLst/>
                    </a:prstGeom>
                    <a:noFill/>
                  </pic:spPr>
                </pic:pic>
              </a:graphicData>
            </a:graphic>
          </wp:anchor>
        </w:drawing>
      </w:r>
    </w:p>
    <w:p>
      <w:pPr>
        <w:spacing w:after="0" w:line="112" w:lineRule="exact"/>
        <w:rPr>
          <w:sz w:val="20"/>
          <w:szCs w:val="20"/>
          <w:color w:val="auto"/>
        </w:rPr>
      </w:pPr>
    </w:p>
    <w:p>
      <w:pPr>
        <w:ind w:left="5620" w:right="3160" w:hanging="4681"/>
        <w:spacing w:after="0" w:line="485" w:lineRule="auto"/>
        <w:tabs>
          <w:tab w:leader="none" w:pos="1201"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Reductions include the reinstatement and subsequent collections of accounts receivable that were previously written-off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89800"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2" w:lineRule="exact"/>
        <w:rPr>
          <w:sz w:val="20"/>
          <w:szCs w:val="20"/>
          <w:color w:val="auto"/>
        </w:rPr>
      </w:pPr>
    </w:p>
    <w:p>
      <w:pPr>
        <w:ind w:left="680" w:right="1160" w:firstLine="399"/>
        <w:spacing w:after="0" w:line="279"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SYNCHRONOSS TECHNOLOGIES, INC.</w:t>
      </w:r>
    </w:p>
    <w:p>
      <w:pPr>
        <w:spacing w:after="0" w:line="16" w:lineRule="exact"/>
        <w:rPr>
          <w:sz w:val="20"/>
          <w:szCs w:val="20"/>
          <w:color w:val="auto"/>
        </w:rPr>
      </w:pPr>
    </w:p>
    <w:p>
      <w:pPr>
        <w:ind w:left="7800"/>
        <w:spacing w:after="0"/>
        <w:rPr>
          <w:sz w:val="20"/>
          <w:szCs w:val="20"/>
          <w:color w:val="auto"/>
        </w:rPr>
      </w:pPr>
      <w:r>
        <w:rPr>
          <w:rFonts w:ascii="Arial" w:cs="Arial" w:eastAsia="Arial" w:hAnsi="Arial"/>
          <w:sz w:val="13"/>
          <w:szCs w:val="13"/>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80"/>
        <w:spacing w:after="0"/>
        <w:tabs>
          <w:tab w:leader="none" w:pos="5860" w:val="left"/>
        </w:tabs>
        <w:rPr>
          <w:sz w:val="20"/>
          <w:szCs w:val="20"/>
          <w:color w:val="auto"/>
        </w:rPr>
      </w:pPr>
      <w:r>
        <w:rPr>
          <w:rFonts w:ascii="Arial" w:cs="Arial" w:eastAsia="Arial" w:hAnsi="Arial"/>
          <w:sz w:val="13"/>
          <w:szCs w:val="13"/>
          <w:color w:val="auto"/>
        </w:rPr>
        <w:t>By</w:t>
        <w:tab/>
        <w:t>/s/ Stephen G. Waldis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17145</wp:posOffset>
            </wp:positionV>
            <wp:extent cx="359918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99180" cy="6350"/>
                    </a:xfrm>
                    <a:prstGeom prst="rect">
                      <a:avLst/>
                    </a:prstGeom>
                    <a:noFill/>
                  </pic:spPr>
                </pic:pic>
              </a:graphicData>
            </a:graphic>
          </wp:anchor>
        </w:drawing>
      </w:r>
    </w:p>
    <w:p>
      <w:pPr>
        <w:spacing w:after="0" w:line="8" w:lineRule="exact"/>
        <w:rPr>
          <w:sz w:val="20"/>
          <w:szCs w:val="20"/>
          <w:color w:val="auto"/>
        </w:rPr>
      </w:pPr>
    </w:p>
    <w:p>
      <w:pPr>
        <w:jc w:val="center"/>
        <w:ind w:left="5080"/>
        <w:spacing w:after="0"/>
        <w:rPr>
          <w:sz w:val="20"/>
          <w:szCs w:val="20"/>
          <w:color w:val="auto"/>
        </w:rPr>
      </w:pPr>
      <w:r>
        <w:rPr>
          <w:rFonts w:ascii="Arial" w:cs="Arial" w:eastAsia="Arial" w:hAnsi="Arial"/>
          <w:sz w:val="13"/>
          <w:szCs w:val="13"/>
          <w:color w:val="auto"/>
        </w:rPr>
        <w:t>Stephen G. Waldis</w:t>
      </w:r>
    </w:p>
    <w:p>
      <w:pPr>
        <w:spacing w:after="0" w:line="16" w:lineRule="exact"/>
        <w:rPr>
          <w:sz w:val="20"/>
          <w:szCs w:val="20"/>
          <w:color w:val="auto"/>
        </w:rPr>
      </w:pPr>
    </w:p>
    <w:p>
      <w:pPr>
        <w:jc w:val="center"/>
        <w:ind w:left="5080"/>
        <w:spacing w:after="0"/>
        <w:rPr>
          <w:sz w:val="20"/>
          <w:szCs w:val="20"/>
          <w:color w:val="auto"/>
        </w:rPr>
      </w:pPr>
      <w:r>
        <w:rPr>
          <w:rFonts w:ascii="Arial" w:cs="Arial" w:eastAsia="Arial" w:hAnsi="Arial"/>
          <w:sz w:val="13"/>
          <w:szCs w:val="13"/>
          <w:i w:val="1"/>
          <w:iCs w:val="1"/>
          <w:color w:val="auto"/>
        </w:rPr>
        <w:t>Chairman of the Board, Chief Executive Officer</w:t>
      </w:r>
    </w:p>
    <w:p>
      <w:pPr>
        <w:spacing w:after="0" w:line="9" w:lineRule="exact"/>
        <w:rPr>
          <w:sz w:val="20"/>
          <w:szCs w:val="20"/>
          <w:color w:val="auto"/>
        </w:rPr>
      </w:pPr>
    </w:p>
    <w:p>
      <w:pPr>
        <w:jc w:val="center"/>
        <w:ind w:left="5080"/>
        <w:spacing w:after="0"/>
        <w:rPr>
          <w:sz w:val="20"/>
          <w:szCs w:val="20"/>
          <w:color w:val="auto"/>
        </w:rPr>
      </w:pPr>
      <w:r>
        <w:rPr>
          <w:rFonts w:ascii="Arial" w:cs="Arial" w:eastAsia="Arial" w:hAnsi="Arial"/>
          <w:sz w:val="13"/>
          <w:szCs w:val="13"/>
          <w:i w:val="1"/>
          <w:iCs w:val="1"/>
          <w:color w:val="auto"/>
        </w:rPr>
        <w:t>and President</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29, 2008</w:t>
      </w: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POWER OF ATTORNEY</w:t>
      </w:r>
    </w:p>
    <w:p>
      <w:pPr>
        <w:spacing w:after="0" w:line="102" w:lineRule="exact"/>
        <w:rPr>
          <w:sz w:val="20"/>
          <w:szCs w:val="20"/>
          <w:color w:val="auto"/>
        </w:rPr>
      </w:pPr>
    </w:p>
    <w:p>
      <w:pPr>
        <w:ind w:left="680" w:right="1040" w:firstLine="399"/>
        <w:spacing w:after="0" w:line="262" w:lineRule="auto"/>
        <w:rPr>
          <w:sz w:val="20"/>
          <w:szCs w:val="20"/>
          <w:color w:val="auto"/>
        </w:rPr>
      </w:pPr>
      <w:r>
        <w:rPr>
          <w:rFonts w:ascii="Arial" w:cs="Arial" w:eastAsia="Arial" w:hAnsi="Arial"/>
          <w:sz w:val="13"/>
          <w:szCs w:val="13"/>
          <w:color w:val="auto"/>
        </w:rPr>
        <w:t>KNOW ALL PERSONS BY THESE PRESENTS, that each person whose signature appears below constitutes and appoints Ronald J. Prague or Lawrence R. Irving, or either of them, each with the power of substitution, their attorney-in-fact, to sign any amendments to this Form 10-K (including post-effective amendments),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69" w:lineRule="exact"/>
        <w:rPr>
          <w:sz w:val="20"/>
          <w:szCs w:val="20"/>
          <w:color w:val="auto"/>
        </w:rPr>
      </w:pPr>
    </w:p>
    <w:p>
      <w:pPr>
        <w:ind w:left="680" w:right="860" w:firstLine="399"/>
        <w:spacing w:after="0" w:line="279"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0" w:lineRule="exact"/>
        <w:rPr>
          <w:sz w:val="20"/>
          <w:szCs w:val="20"/>
          <w:color w:val="auto"/>
        </w:rPr>
      </w:pPr>
    </w:p>
    <w:p>
      <w:pPr>
        <w:ind w:left="2720"/>
        <w:spacing w:after="0"/>
        <w:tabs>
          <w:tab w:leader="none" w:pos="6900" w:val="left"/>
          <w:tab w:leader="none" w:pos="9840" w:val="left"/>
        </w:tabs>
        <w:rPr>
          <w:sz w:val="20"/>
          <w:szCs w:val="20"/>
          <w:color w:val="auto"/>
        </w:rPr>
      </w:pPr>
      <w:r>
        <w:rPr>
          <w:rFonts w:ascii="Arial" w:cs="Arial" w:eastAsia="Arial" w:hAnsi="Arial"/>
          <w:sz w:val="11"/>
          <w:szCs w:val="11"/>
          <w:b w:val="1"/>
          <w:bCs w:val="1"/>
          <w:u w:val="single" w:color="auto"/>
          <w:color w:val="auto"/>
        </w:rPr>
        <w:t>S</w:t>
      </w:r>
      <w:r>
        <w:rPr>
          <w:rFonts w:ascii="Arial" w:cs="Arial" w:eastAsia="Arial" w:hAnsi="Arial"/>
          <w:sz w:val="11"/>
          <w:szCs w:val="11"/>
          <w:b w:val="1"/>
          <w:bCs w:val="1"/>
          <w:color w:val="auto"/>
        </w:rPr>
        <w:t>ignature</w:t>
      </w:r>
      <w:r>
        <w:rPr>
          <w:sz w:val="20"/>
          <w:szCs w:val="20"/>
          <w:color w:val="auto"/>
        </w:rPr>
        <w:tab/>
      </w:r>
      <w:r>
        <w:rPr>
          <w:rFonts w:ascii="Arial" w:cs="Arial" w:eastAsia="Arial" w:hAnsi="Arial"/>
          <w:sz w:val="11"/>
          <w:szCs w:val="11"/>
          <w:b w:val="1"/>
          <w:bCs w:val="1"/>
          <w:u w:val="single" w:color="auto"/>
          <w:color w:val="auto"/>
        </w:rPr>
        <w:t>T</w:t>
      </w:r>
      <w:r>
        <w:rPr>
          <w:rFonts w:ascii="Arial" w:cs="Arial" w:eastAsia="Arial" w:hAnsi="Arial"/>
          <w:sz w:val="11"/>
          <w:szCs w:val="11"/>
          <w:b w:val="1"/>
          <w:bCs w:val="1"/>
          <w:color w:val="auto"/>
        </w:rPr>
        <w: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6259195</wp:posOffset>
            </wp:positionH>
            <wp:positionV relativeFrom="paragraph">
              <wp:posOffset>5715</wp:posOffset>
            </wp:positionV>
            <wp:extent cx="127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800" w:type="dxa"/>
            <w:vAlign w:val="bottom"/>
            <w:gridSpan w:val="2"/>
          </w:tcPr>
          <w:p>
            <w:pPr>
              <w:ind w:left="680"/>
              <w:spacing w:after="0"/>
              <w:rPr>
                <w:sz w:val="20"/>
                <w:szCs w:val="20"/>
                <w:color w:val="auto"/>
              </w:rPr>
            </w:pPr>
            <w:r>
              <w:rPr>
                <w:rFonts w:ascii="Arial" w:cs="Arial" w:eastAsia="Arial" w:hAnsi="Arial"/>
                <w:sz w:val="13"/>
                <w:szCs w:val="13"/>
                <w:color w:val="auto"/>
              </w:rPr>
              <w:t>/s/ Stephen G. Waldis</w:t>
            </w:r>
          </w:p>
        </w:tc>
        <w:tc>
          <w:tcPr>
            <w:tcW w:w="4240" w:type="dxa"/>
            <w:vAlign w:val="bottom"/>
          </w:tcPr>
          <w:p>
            <w:pPr>
              <w:jc w:val="center"/>
              <w:spacing w:after="0"/>
              <w:rPr>
                <w:sz w:val="20"/>
                <w:szCs w:val="20"/>
                <w:color w:val="auto"/>
              </w:rPr>
            </w:pPr>
            <w:r>
              <w:rPr>
                <w:rFonts w:ascii="Arial" w:cs="Arial" w:eastAsia="Arial" w:hAnsi="Arial"/>
                <w:sz w:val="13"/>
                <w:szCs w:val="13"/>
                <w:color w:val="auto"/>
                <w:w w:val="95"/>
              </w:rPr>
              <w:t>Chief Executive Officer and Director (Principal Executive Officer)</w:t>
            </w:r>
          </w:p>
        </w:tc>
        <w:tc>
          <w:tcPr>
            <w:tcW w:w="2420" w:type="dxa"/>
            <w:vAlign w:val="bottom"/>
          </w:tcPr>
          <w:p>
            <w:pPr>
              <w:ind w:left="340"/>
              <w:spacing w:after="0"/>
              <w:rPr>
                <w:sz w:val="20"/>
                <w:szCs w:val="20"/>
                <w:color w:val="auto"/>
              </w:rPr>
            </w:pPr>
            <w:r>
              <w:rPr>
                <w:rFonts w:ascii="Arial" w:cs="Arial" w:eastAsia="Arial" w:hAnsi="Arial"/>
                <w:sz w:val="13"/>
                <w:szCs w:val="13"/>
                <w:color w:val="auto"/>
              </w:rPr>
              <w:t>February 29, 2008</w:t>
            </w:r>
          </w:p>
        </w:tc>
      </w:tr>
      <w:tr>
        <w:trPr>
          <w:trHeight w:val="156"/>
        </w:trPr>
        <w:tc>
          <w:tcPr>
            <w:tcW w:w="700" w:type="dxa"/>
            <w:vAlign w:val="bottom"/>
          </w:tcPr>
          <w:p>
            <w:pPr>
              <w:spacing w:after="0"/>
              <w:rPr>
                <w:sz w:val="13"/>
                <w:szCs w:val="13"/>
                <w:color w:val="auto"/>
              </w:rPr>
            </w:pP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Stephen G. Waldis</w:t>
            </w:r>
          </w:p>
        </w:tc>
        <w:tc>
          <w:tcPr>
            <w:tcW w:w="424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308"/>
        </w:trPr>
        <w:tc>
          <w:tcPr>
            <w:tcW w:w="4800" w:type="dxa"/>
            <w:vAlign w:val="bottom"/>
            <w:gridSpan w:val="2"/>
          </w:tcPr>
          <w:p>
            <w:pPr>
              <w:ind w:left="680"/>
              <w:spacing w:after="0"/>
              <w:rPr>
                <w:sz w:val="20"/>
                <w:szCs w:val="20"/>
                <w:color w:val="auto"/>
              </w:rPr>
            </w:pPr>
            <w:r>
              <w:rPr>
                <w:rFonts w:ascii="Arial" w:cs="Arial" w:eastAsia="Arial" w:hAnsi="Arial"/>
                <w:sz w:val="13"/>
                <w:szCs w:val="13"/>
                <w:color w:val="auto"/>
              </w:rPr>
              <w:t>/s/ Lawrence R. Irving</w:t>
            </w:r>
          </w:p>
        </w:tc>
        <w:tc>
          <w:tcPr>
            <w:tcW w:w="4240" w:type="dxa"/>
            <w:vAlign w:val="bottom"/>
          </w:tcPr>
          <w:p>
            <w:pPr>
              <w:jc w:val="center"/>
              <w:spacing w:after="0"/>
              <w:rPr>
                <w:sz w:val="20"/>
                <w:szCs w:val="20"/>
                <w:color w:val="auto"/>
              </w:rPr>
            </w:pPr>
            <w:r>
              <w:rPr>
                <w:rFonts w:ascii="Arial" w:cs="Arial" w:eastAsia="Arial" w:hAnsi="Arial"/>
                <w:sz w:val="13"/>
                <w:szCs w:val="13"/>
                <w:color w:val="auto"/>
                <w:w w:val="95"/>
              </w:rPr>
              <w:t>Chief Financial Officer</w:t>
            </w:r>
          </w:p>
        </w:tc>
        <w:tc>
          <w:tcPr>
            <w:tcW w:w="2420" w:type="dxa"/>
            <w:vAlign w:val="bottom"/>
          </w:tcPr>
          <w:p>
            <w:pPr>
              <w:ind w:left="340"/>
              <w:spacing w:after="0"/>
              <w:rPr>
                <w:sz w:val="20"/>
                <w:szCs w:val="20"/>
                <w:color w:val="auto"/>
              </w:rPr>
            </w:pPr>
            <w:r>
              <w:rPr>
                <w:rFonts w:ascii="Arial" w:cs="Arial" w:eastAsia="Arial" w:hAnsi="Arial"/>
                <w:sz w:val="13"/>
                <w:szCs w:val="13"/>
                <w:color w:val="auto"/>
              </w:rPr>
              <w:t>February 29, 2008</w:t>
            </w:r>
          </w:p>
        </w:tc>
      </w:tr>
      <w:tr>
        <w:trPr>
          <w:trHeight w:val="157"/>
        </w:trPr>
        <w:tc>
          <w:tcPr>
            <w:tcW w:w="700" w:type="dxa"/>
            <w:vAlign w:val="bottom"/>
          </w:tcPr>
          <w:p>
            <w:pPr>
              <w:spacing w:after="0"/>
              <w:rPr>
                <w:sz w:val="13"/>
                <w:szCs w:val="13"/>
                <w:color w:val="auto"/>
              </w:rPr>
            </w:pP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Lawrence R. Irving</w:t>
            </w:r>
          </w:p>
        </w:tc>
        <w:tc>
          <w:tcPr>
            <w:tcW w:w="4240" w:type="dxa"/>
            <w:vAlign w:val="bottom"/>
          </w:tcPr>
          <w:p>
            <w:pPr>
              <w:jc w:val="center"/>
              <w:spacing w:after="0" w:line="146" w:lineRule="exact"/>
              <w:rPr>
                <w:sz w:val="20"/>
                <w:szCs w:val="20"/>
                <w:color w:val="auto"/>
              </w:rPr>
            </w:pPr>
            <w:r>
              <w:rPr>
                <w:rFonts w:ascii="Arial" w:cs="Arial" w:eastAsia="Arial" w:hAnsi="Arial"/>
                <w:sz w:val="13"/>
                <w:szCs w:val="13"/>
                <w:color w:val="auto"/>
                <w:w w:val="95"/>
              </w:rPr>
              <w:t>(Principal Financial and Accounting Officer)</w:t>
            </w:r>
          </w:p>
        </w:tc>
        <w:tc>
          <w:tcPr>
            <w:tcW w:w="2420" w:type="dxa"/>
            <w:vAlign w:val="bottom"/>
          </w:tcPr>
          <w:p>
            <w:pPr>
              <w:spacing w:after="0"/>
              <w:rPr>
                <w:sz w:val="13"/>
                <w:szCs w:val="13"/>
                <w:color w:val="auto"/>
              </w:rPr>
            </w:pPr>
          </w:p>
        </w:tc>
      </w:tr>
      <w:tr>
        <w:trPr>
          <w:trHeight w:val="308"/>
        </w:trPr>
        <w:tc>
          <w:tcPr>
            <w:tcW w:w="4800" w:type="dxa"/>
            <w:vAlign w:val="bottom"/>
            <w:gridSpan w:val="2"/>
          </w:tcPr>
          <w:p>
            <w:pPr>
              <w:ind w:left="680"/>
              <w:spacing w:after="0"/>
              <w:rPr>
                <w:sz w:val="20"/>
                <w:szCs w:val="20"/>
                <w:color w:val="auto"/>
              </w:rPr>
            </w:pPr>
            <w:r>
              <w:rPr>
                <w:rFonts w:ascii="Arial" w:cs="Arial" w:eastAsia="Arial" w:hAnsi="Arial"/>
                <w:sz w:val="13"/>
                <w:szCs w:val="13"/>
                <w:color w:val="auto"/>
              </w:rPr>
              <w:t>/s/ William J. Cadogan</w:t>
            </w:r>
          </w:p>
        </w:tc>
        <w:tc>
          <w:tcPr>
            <w:tcW w:w="424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20" w:type="dxa"/>
            <w:vAlign w:val="bottom"/>
          </w:tcPr>
          <w:p>
            <w:pPr>
              <w:ind w:left="340"/>
              <w:spacing w:after="0"/>
              <w:rPr>
                <w:sz w:val="20"/>
                <w:szCs w:val="20"/>
                <w:color w:val="auto"/>
              </w:rPr>
            </w:pPr>
            <w:r>
              <w:rPr>
                <w:rFonts w:ascii="Arial" w:cs="Arial" w:eastAsia="Arial" w:hAnsi="Arial"/>
                <w:sz w:val="13"/>
                <w:szCs w:val="13"/>
                <w:color w:val="auto"/>
              </w:rPr>
              <w:t>February 29, 2008</w:t>
            </w:r>
          </w:p>
        </w:tc>
      </w:tr>
      <w:tr>
        <w:trPr>
          <w:trHeight w:val="156"/>
        </w:trPr>
        <w:tc>
          <w:tcPr>
            <w:tcW w:w="700" w:type="dxa"/>
            <w:vAlign w:val="bottom"/>
          </w:tcPr>
          <w:p>
            <w:pPr>
              <w:spacing w:after="0"/>
              <w:rPr>
                <w:sz w:val="13"/>
                <w:szCs w:val="13"/>
                <w:color w:val="auto"/>
              </w:rPr>
            </w:pP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William J. Cadogan</w:t>
            </w:r>
          </w:p>
        </w:tc>
        <w:tc>
          <w:tcPr>
            <w:tcW w:w="424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308"/>
        </w:trPr>
        <w:tc>
          <w:tcPr>
            <w:tcW w:w="4800" w:type="dxa"/>
            <w:vAlign w:val="bottom"/>
            <w:gridSpan w:val="2"/>
          </w:tcPr>
          <w:p>
            <w:pPr>
              <w:ind w:left="680"/>
              <w:spacing w:after="0"/>
              <w:rPr>
                <w:sz w:val="20"/>
                <w:szCs w:val="20"/>
                <w:color w:val="auto"/>
              </w:rPr>
            </w:pPr>
            <w:r>
              <w:rPr>
                <w:rFonts w:ascii="Arial" w:cs="Arial" w:eastAsia="Arial" w:hAnsi="Arial"/>
                <w:sz w:val="13"/>
                <w:szCs w:val="13"/>
                <w:color w:val="auto"/>
              </w:rPr>
              <w:t>/s/ Charles E. Hoffman</w:t>
            </w:r>
          </w:p>
        </w:tc>
        <w:tc>
          <w:tcPr>
            <w:tcW w:w="424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20" w:type="dxa"/>
            <w:vAlign w:val="bottom"/>
          </w:tcPr>
          <w:p>
            <w:pPr>
              <w:ind w:left="340"/>
              <w:spacing w:after="0"/>
              <w:rPr>
                <w:sz w:val="20"/>
                <w:szCs w:val="20"/>
                <w:color w:val="auto"/>
              </w:rPr>
            </w:pPr>
            <w:r>
              <w:rPr>
                <w:rFonts w:ascii="Arial" w:cs="Arial" w:eastAsia="Arial" w:hAnsi="Arial"/>
                <w:sz w:val="13"/>
                <w:szCs w:val="13"/>
                <w:color w:val="auto"/>
              </w:rPr>
              <w:t>February 29, 2008</w:t>
            </w:r>
          </w:p>
        </w:tc>
      </w:tr>
      <w:tr>
        <w:trPr>
          <w:trHeight w:val="156"/>
        </w:trPr>
        <w:tc>
          <w:tcPr>
            <w:tcW w:w="700" w:type="dxa"/>
            <w:vAlign w:val="bottom"/>
          </w:tcPr>
          <w:p>
            <w:pPr>
              <w:spacing w:after="0"/>
              <w:rPr>
                <w:sz w:val="13"/>
                <w:szCs w:val="13"/>
                <w:color w:val="auto"/>
              </w:rPr>
            </w:pP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Charles E. Hoffman</w:t>
            </w:r>
          </w:p>
        </w:tc>
        <w:tc>
          <w:tcPr>
            <w:tcW w:w="424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308"/>
        </w:trPr>
        <w:tc>
          <w:tcPr>
            <w:tcW w:w="4800" w:type="dxa"/>
            <w:vAlign w:val="bottom"/>
            <w:gridSpan w:val="2"/>
          </w:tcPr>
          <w:p>
            <w:pPr>
              <w:ind w:left="680"/>
              <w:spacing w:after="0"/>
              <w:rPr>
                <w:sz w:val="20"/>
                <w:szCs w:val="20"/>
                <w:color w:val="auto"/>
              </w:rPr>
            </w:pPr>
            <w:r>
              <w:rPr>
                <w:rFonts w:ascii="Arial" w:cs="Arial" w:eastAsia="Arial" w:hAnsi="Arial"/>
                <w:sz w:val="13"/>
                <w:szCs w:val="13"/>
                <w:color w:val="auto"/>
              </w:rPr>
              <w:t>/s/ Thomas J. Hopkins</w:t>
            </w:r>
          </w:p>
        </w:tc>
        <w:tc>
          <w:tcPr>
            <w:tcW w:w="424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20" w:type="dxa"/>
            <w:vAlign w:val="bottom"/>
          </w:tcPr>
          <w:p>
            <w:pPr>
              <w:ind w:left="340"/>
              <w:spacing w:after="0"/>
              <w:rPr>
                <w:sz w:val="20"/>
                <w:szCs w:val="20"/>
                <w:color w:val="auto"/>
              </w:rPr>
            </w:pPr>
            <w:r>
              <w:rPr>
                <w:rFonts w:ascii="Arial" w:cs="Arial" w:eastAsia="Arial" w:hAnsi="Arial"/>
                <w:sz w:val="13"/>
                <w:szCs w:val="13"/>
                <w:color w:val="auto"/>
              </w:rPr>
              <w:t>February 29, 2008</w:t>
            </w:r>
          </w:p>
        </w:tc>
      </w:tr>
      <w:tr>
        <w:trPr>
          <w:trHeight w:val="156"/>
        </w:trPr>
        <w:tc>
          <w:tcPr>
            <w:tcW w:w="700" w:type="dxa"/>
            <w:vAlign w:val="bottom"/>
          </w:tcPr>
          <w:p>
            <w:pPr>
              <w:spacing w:after="0"/>
              <w:rPr>
                <w:sz w:val="13"/>
                <w:szCs w:val="13"/>
                <w:color w:val="auto"/>
              </w:rPr>
            </w:pP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Thomas J. Hopkins</w:t>
            </w:r>
          </w:p>
        </w:tc>
        <w:tc>
          <w:tcPr>
            <w:tcW w:w="424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308"/>
        </w:trPr>
        <w:tc>
          <w:tcPr>
            <w:tcW w:w="4800" w:type="dxa"/>
            <w:vAlign w:val="bottom"/>
            <w:gridSpan w:val="2"/>
          </w:tcPr>
          <w:p>
            <w:pPr>
              <w:ind w:left="680"/>
              <w:spacing w:after="0"/>
              <w:rPr>
                <w:sz w:val="20"/>
                <w:szCs w:val="20"/>
                <w:color w:val="auto"/>
              </w:rPr>
            </w:pPr>
            <w:r>
              <w:rPr>
                <w:rFonts w:ascii="Arial" w:cs="Arial" w:eastAsia="Arial" w:hAnsi="Arial"/>
                <w:sz w:val="13"/>
                <w:szCs w:val="13"/>
                <w:color w:val="auto"/>
              </w:rPr>
              <w:t>/s/ James M. McCormick</w:t>
            </w:r>
          </w:p>
        </w:tc>
        <w:tc>
          <w:tcPr>
            <w:tcW w:w="424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20" w:type="dxa"/>
            <w:vAlign w:val="bottom"/>
          </w:tcPr>
          <w:p>
            <w:pPr>
              <w:ind w:left="340"/>
              <w:spacing w:after="0"/>
              <w:rPr>
                <w:sz w:val="20"/>
                <w:szCs w:val="20"/>
                <w:color w:val="auto"/>
              </w:rPr>
            </w:pPr>
            <w:r>
              <w:rPr>
                <w:rFonts w:ascii="Arial" w:cs="Arial" w:eastAsia="Arial" w:hAnsi="Arial"/>
                <w:sz w:val="13"/>
                <w:szCs w:val="13"/>
                <w:color w:val="auto"/>
              </w:rPr>
              <w:t>February 29, 2008</w:t>
            </w:r>
          </w:p>
        </w:tc>
      </w:tr>
      <w:tr>
        <w:trPr>
          <w:trHeight w:val="156"/>
        </w:trPr>
        <w:tc>
          <w:tcPr>
            <w:tcW w:w="700" w:type="dxa"/>
            <w:vAlign w:val="bottom"/>
          </w:tcPr>
          <w:p>
            <w:pPr>
              <w:spacing w:after="0"/>
              <w:rPr>
                <w:sz w:val="13"/>
                <w:szCs w:val="13"/>
                <w:color w:val="auto"/>
              </w:rPr>
            </w:pP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James M. McCormick</w:t>
            </w:r>
          </w:p>
        </w:tc>
        <w:tc>
          <w:tcPr>
            <w:tcW w:w="424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308"/>
        </w:trPr>
        <w:tc>
          <w:tcPr>
            <w:tcW w:w="4800" w:type="dxa"/>
            <w:vAlign w:val="bottom"/>
            <w:gridSpan w:val="2"/>
          </w:tcPr>
          <w:p>
            <w:pPr>
              <w:ind w:left="680"/>
              <w:spacing w:after="0"/>
              <w:rPr>
                <w:sz w:val="20"/>
                <w:szCs w:val="20"/>
                <w:color w:val="auto"/>
              </w:rPr>
            </w:pPr>
            <w:r>
              <w:rPr>
                <w:rFonts w:ascii="Arial" w:cs="Arial" w:eastAsia="Arial" w:hAnsi="Arial"/>
                <w:sz w:val="13"/>
                <w:szCs w:val="13"/>
                <w:color w:val="auto"/>
              </w:rPr>
              <w:t>/s/ Donnie M. Moore</w:t>
            </w:r>
          </w:p>
        </w:tc>
        <w:tc>
          <w:tcPr>
            <w:tcW w:w="424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20" w:type="dxa"/>
            <w:vAlign w:val="bottom"/>
          </w:tcPr>
          <w:p>
            <w:pPr>
              <w:ind w:left="340"/>
              <w:spacing w:after="0"/>
              <w:rPr>
                <w:sz w:val="20"/>
                <w:szCs w:val="20"/>
                <w:color w:val="auto"/>
              </w:rPr>
            </w:pPr>
            <w:r>
              <w:rPr>
                <w:rFonts w:ascii="Arial" w:cs="Arial" w:eastAsia="Arial" w:hAnsi="Arial"/>
                <w:sz w:val="13"/>
                <w:szCs w:val="13"/>
                <w:color w:val="auto"/>
              </w:rPr>
              <w:t>February 29, 2008</w:t>
            </w:r>
          </w:p>
        </w:tc>
      </w:tr>
      <w:tr>
        <w:trPr>
          <w:trHeight w:val="156"/>
        </w:trPr>
        <w:tc>
          <w:tcPr>
            <w:tcW w:w="700" w:type="dxa"/>
            <w:vAlign w:val="bottom"/>
          </w:tcPr>
          <w:p>
            <w:pPr>
              <w:spacing w:after="0"/>
              <w:rPr>
                <w:sz w:val="13"/>
                <w:szCs w:val="13"/>
                <w:color w:val="auto"/>
              </w:rPr>
            </w:pP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Donnie M. Moore</w:t>
            </w:r>
          </w:p>
        </w:tc>
        <w:tc>
          <w:tcPr>
            <w:tcW w:w="424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436"/>
        </w:trPr>
        <w:tc>
          <w:tcPr>
            <w:tcW w:w="7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240" w:type="dxa"/>
            <w:vAlign w:val="bottom"/>
          </w:tcPr>
          <w:p>
            <w:pPr>
              <w:jc w:val="right"/>
              <w:ind w:right="3234"/>
              <w:spacing w:after="0"/>
              <w:rPr>
                <w:sz w:val="20"/>
                <w:szCs w:val="20"/>
                <w:color w:val="auto"/>
              </w:rPr>
            </w:pPr>
            <w:r>
              <w:rPr>
                <w:rFonts w:ascii="Arial" w:cs="Arial" w:eastAsia="Arial" w:hAnsi="Arial"/>
                <w:sz w:val="13"/>
                <w:szCs w:val="13"/>
                <w:color w:val="auto"/>
              </w:rPr>
              <w:t>63</w:t>
            </w:r>
          </w:p>
        </w:tc>
        <w:tc>
          <w:tcPr>
            <w:tcW w:w="2420" w:type="dxa"/>
            <w:vAlign w:val="bottom"/>
          </w:tcPr>
          <w:p>
            <w:pPr>
              <w:spacing w:after="0"/>
              <w:rPr>
                <w:sz w:val="24"/>
                <w:szCs w:val="24"/>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4240" w:type="dxa"/>
            <w:vAlign w:val="bottom"/>
            <w:tcBorders>
              <w:bottom w:val="single" w:sz="8" w:color="808080"/>
            </w:tcBorders>
          </w:tcPr>
          <w:p>
            <w:pPr>
              <w:spacing w:after="0"/>
              <w:rPr>
                <w:sz w:val="14"/>
                <w:szCs w:val="14"/>
                <w:color w:val="auto"/>
              </w:rPr>
            </w:pPr>
          </w:p>
        </w:tc>
        <w:tc>
          <w:tcPr>
            <w:tcW w:w="24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60" w:type="dxa"/>
            <w:vAlign w:val="bottom"/>
          </w:tcPr>
          <w:p>
            <w:pPr>
              <w:ind w:left="680"/>
              <w:spacing w:after="0"/>
              <w:rPr>
                <w:sz w:val="20"/>
                <w:szCs w:val="20"/>
                <w:color w:val="auto"/>
              </w:rPr>
            </w:pPr>
            <w:r>
              <w:rPr>
                <w:rFonts w:ascii="Arial" w:cs="Arial" w:eastAsia="Arial" w:hAnsi="Arial"/>
                <w:sz w:val="13"/>
                <w:szCs w:val="13"/>
                <w:b w:val="1"/>
                <w:bCs w:val="1"/>
                <w:color w:val="auto"/>
              </w:rPr>
              <w:t>(a)</w:t>
            </w:r>
          </w:p>
        </w:tc>
        <w:tc>
          <w:tcPr>
            <w:tcW w:w="880" w:type="dxa"/>
            <w:vAlign w:val="bottom"/>
          </w:tcPr>
          <w:p>
            <w:pPr>
              <w:ind w:left="140"/>
              <w:spacing w:after="0"/>
              <w:rPr>
                <w:sz w:val="20"/>
                <w:szCs w:val="20"/>
                <w:color w:val="auto"/>
              </w:rPr>
            </w:pPr>
            <w:r>
              <w:rPr>
                <w:rFonts w:ascii="Arial" w:cs="Arial" w:eastAsia="Arial" w:hAnsi="Arial"/>
                <w:sz w:val="13"/>
                <w:szCs w:val="13"/>
                <w:b w:val="1"/>
                <w:bCs w:val="1"/>
                <w:i w:val="1"/>
                <w:iCs w:val="1"/>
                <w:color w:val="auto"/>
              </w:rPr>
              <w:t>Exhibits</w:t>
            </w: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80" w:type="dxa"/>
            <w:vAlign w:val="bottom"/>
          </w:tcPr>
          <w:p>
            <w:pPr>
              <w:spacing w:after="0"/>
              <w:rPr>
                <w:sz w:val="14"/>
                <w:szCs w:val="14"/>
                <w:color w:val="auto"/>
              </w:rPr>
            </w:pPr>
          </w:p>
        </w:tc>
      </w:tr>
      <w:tr>
        <w:trPr>
          <w:trHeight w:val="219"/>
        </w:trPr>
        <w:tc>
          <w:tcPr>
            <w:tcW w:w="960" w:type="dxa"/>
            <w:vAlign w:val="bottom"/>
          </w:tcPr>
          <w:p>
            <w:pPr>
              <w:spacing w:after="0"/>
              <w:rPr>
                <w:sz w:val="19"/>
                <w:szCs w:val="19"/>
                <w:color w:val="auto"/>
              </w:rPr>
            </w:pPr>
          </w:p>
        </w:tc>
        <w:tc>
          <w:tcPr>
            <w:tcW w:w="880" w:type="dxa"/>
            <w:vAlign w:val="bottom"/>
          </w:tcPr>
          <w:p>
            <w:pPr>
              <w:ind w:left="180"/>
              <w:spacing w:after="0"/>
              <w:rPr>
                <w:sz w:val="20"/>
                <w:szCs w:val="20"/>
                <w:color w:val="auto"/>
              </w:rPr>
            </w:pPr>
            <w:r>
              <w:rPr>
                <w:rFonts w:ascii="Arial" w:cs="Arial" w:eastAsia="Arial" w:hAnsi="Arial"/>
                <w:sz w:val="11"/>
                <w:szCs w:val="11"/>
                <w:b w:val="1"/>
                <w:bCs w:val="1"/>
                <w:color w:val="auto"/>
              </w:rPr>
              <w:t>Exhibit No.</w:t>
            </w:r>
          </w:p>
        </w:tc>
        <w:tc>
          <w:tcPr>
            <w:tcW w:w="4440" w:type="dxa"/>
            <w:vAlign w:val="bottom"/>
          </w:tcPr>
          <w:p>
            <w:pPr>
              <w:spacing w:after="0"/>
              <w:rPr>
                <w:sz w:val="19"/>
                <w:szCs w:val="19"/>
                <w:color w:val="auto"/>
              </w:rPr>
            </w:pPr>
          </w:p>
        </w:tc>
        <w:tc>
          <w:tcPr>
            <w:tcW w:w="5180" w:type="dxa"/>
            <w:vAlign w:val="bottom"/>
            <w:gridSpan w:val="2"/>
          </w:tcPr>
          <w:p>
            <w:pPr>
              <w:ind w:left="20"/>
              <w:spacing w:after="0"/>
              <w:rPr>
                <w:sz w:val="20"/>
                <w:szCs w:val="20"/>
                <w:color w:val="auto"/>
              </w:rPr>
            </w:pPr>
            <w:r>
              <w:rPr>
                <w:rFonts w:ascii="Arial" w:cs="Arial" w:eastAsia="Arial" w:hAnsi="Arial"/>
                <w:sz w:val="11"/>
                <w:szCs w:val="11"/>
                <w:b w:val="1"/>
                <w:bCs w:val="1"/>
                <w:color w:val="auto"/>
              </w:rPr>
              <w:t>Description</w:t>
            </w:r>
          </w:p>
        </w:tc>
      </w:tr>
      <w:tr>
        <w:trPr>
          <w:trHeight w:val="179"/>
        </w:trPr>
        <w:tc>
          <w:tcPr>
            <w:tcW w:w="960" w:type="dxa"/>
            <w:vAlign w:val="bottom"/>
          </w:tcPr>
          <w:p>
            <w:pPr>
              <w:spacing w:after="0"/>
              <w:rPr>
                <w:sz w:val="15"/>
                <w:szCs w:val="15"/>
                <w:color w:val="auto"/>
              </w:rPr>
            </w:pPr>
          </w:p>
        </w:tc>
        <w:tc>
          <w:tcPr>
            <w:tcW w:w="880" w:type="dxa"/>
            <w:vAlign w:val="bottom"/>
          </w:tcPr>
          <w:p>
            <w:pPr>
              <w:ind w:left="180"/>
              <w:spacing w:after="0"/>
              <w:rPr>
                <w:sz w:val="20"/>
                <w:szCs w:val="20"/>
                <w:color w:val="auto"/>
              </w:rPr>
            </w:pPr>
            <w:r>
              <w:rPr>
                <w:rFonts w:ascii="Arial" w:cs="Arial" w:eastAsia="Arial" w:hAnsi="Arial"/>
                <w:sz w:val="13"/>
                <w:szCs w:val="13"/>
                <w:color w:val="auto"/>
              </w:rPr>
              <w:t>3.1*</w:t>
            </w:r>
          </w:p>
        </w:tc>
        <w:tc>
          <w:tcPr>
            <w:tcW w:w="4440" w:type="dxa"/>
            <w:vAlign w:val="bottom"/>
          </w:tcPr>
          <w:p>
            <w:pPr>
              <w:ind w:left="160"/>
              <w:spacing w:after="0"/>
              <w:rPr>
                <w:sz w:val="20"/>
                <w:szCs w:val="20"/>
                <w:color w:val="auto"/>
              </w:rPr>
            </w:pPr>
            <w:r>
              <w:rPr>
                <w:rFonts w:ascii="Arial" w:cs="Arial" w:eastAsia="Arial" w:hAnsi="Arial"/>
                <w:sz w:val="13"/>
                <w:szCs w:val="13"/>
                <w:color w:val="auto"/>
              </w:rPr>
              <w:t>Amended and Restated Certificate of Incorporation of the Registrant.</w:t>
            </w:r>
          </w:p>
        </w:tc>
        <w:tc>
          <w:tcPr>
            <w:tcW w:w="100" w:type="dxa"/>
            <w:vAlign w:val="bottom"/>
            <w:tcBorders>
              <w:top w:val="single" w:sz="8" w:color="auto"/>
            </w:tcBorders>
          </w:tcPr>
          <w:p>
            <w:pPr>
              <w:spacing w:after="0"/>
              <w:rPr>
                <w:sz w:val="15"/>
                <w:szCs w:val="15"/>
                <w:color w:val="auto"/>
              </w:rPr>
            </w:pPr>
          </w:p>
        </w:tc>
        <w:tc>
          <w:tcPr>
            <w:tcW w:w="5080" w:type="dxa"/>
            <w:vAlign w:val="bottom"/>
          </w:tcPr>
          <w:p>
            <w:pPr>
              <w:spacing w:after="0"/>
              <w:rPr>
                <w:sz w:val="15"/>
                <w:szCs w:val="15"/>
                <w:color w:val="auto"/>
              </w:rPr>
            </w:pPr>
          </w:p>
        </w:tc>
      </w:tr>
      <w:tr>
        <w:trPr>
          <w:trHeight w:val="158"/>
        </w:trPr>
        <w:tc>
          <w:tcPr>
            <w:tcW w:w="960" w:type="dxa"/>
            <w:vAlign w:val="bottom"/>
          </w:tcPr>
          <w:p>
            <w:pPr>
              <w:spacing w:after="0"/>
              <w:rPr>
                <w:sz w:val="13"/>
                <w:szCs w:val="13"/>
                <w:color w:val="auto"/>
              </w:rPr>
            </w:pPr>
          </w:p>
        </w:tc>
        <w:tc>
          <w:tcPr>
            <w:tcW w:w="880" w:type="dxa"/>
            <w:vAlign w:val="bottom"/>
          </w:tcPr>
          <w:p>
            <w:pPr>
              <w:ind w:left="180"/>
              <w:spacing w:after="0"/>
              <w:rPr>
                <w:sz w:val="20"/>
                <w:szCs w:val="20"/>
                <w:color w:val="auto"/>
              </w:rPr>
            </w:pPr>
            <w:r>
              <w:rPr>
                <w:rFonts w:ascii="Arial" w:cs="Arial" w:eastAsia="Arial" w:hAnsi="Arial"/>
                <w:sz w:val="13"/>
                <w:szCs w:val="13"/>
                <w:color w:val="auto"/>
              </w:rPr>
              <w:t>3.2*</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Amended and Restated Bylaws of the Registrant</w:t>
            </w:r>
          </w:p>
        </w:tc>
      </w:tr>
      <w:tr>
        <w:trPr>
          <w:trHeight w:val="158"/>
        </w:trPr>
        <w:tc>
          <w:tcPr>
            <w:tcW w:w="960" w:type="dxa"/>
            <w:vAlign w:val="bottom"/>
          </w:tcPr>
          <w:p>
            <w:pPr>
              <w:spacing w:after="0"/>
              <w:rPr>
                <w:sz w:val="13"/>
                <w:szCs w:val="13"/>
                <w:color w:val="auto"/>
              </w:rPr>
            </w:pPr>
          </w:p>
        </w:tc>
        <w:tc>
          <w:tcPr>
            <w:tcW w:w="880" w:type="dxa"/>
            <w:vAlign w:val="bottom"/>
          </w:tcPr>
          <w:p>
            <w:pPr>
              <w:ind w:left="180"/>
              <w:spacing w:after="0"/>
              <w:rPr>
                <w:sz w:val="20"/>
                <w:szCs w:val="20"/>
                <w:color w:val="auto"/>
              </w:rPr>
            </w:pPr>
            <w:r>
              <w:rPr>
                <w:rFonts w:ascii="Arial" w:cs="Arial" w:eastAsia="Arial" w:hAnsi="Arial"/>
                <w:sz w:val="13"/>
                <w:szCs w:val="13"/>
                <w:color w:val="auto"/>
              </w:rPr>
              <w:t>4.1</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Reference is made to Exhibits 3.1 and 3.2</w:t>
            </w:r>
          </w:p>
        </w:tc>
      </w:tr>
      <w:tr>
        <w:trPr>
          <w:trHeight w:val="158"/>
        </w:trPr>
        <w:tc>
          <w:tcPr>
            <w:tcW w:w="960" w:type="dxa"/>
            <w:vAlign w:val="bottom"/>
          </w:tcPr>
          <w:p>
            <w:pPr>
              <w:spacing w:after="0"/>
              <w:rPr>
                <w:sz w:val="13"/>
                <w:szCs w:val="13"/>
                <w:color w:val="auto"/>
              </w:rPr>
            </w:pPr>
          </w:p>
        </w:tc>
        <w:tc>
          <w:tcPr>
            <w:tcW w:w="880" w:type="dxa"/>
            <w:vAlign w:val="bottom"/>
          </w:tcPr>
          <w:p>
            <w:pPr>
              <w:ind w:left="180"/>
              <w:spacing w:after="0"/>
              <w:rPr>
                <w:sz w:val="20"/>
                <w:szCs w:val="20"/>
                <w:color w:val="auto"/>
              </w:rPr>
            </w:pPr>
            <w:r>
              <w:rPr>
                <w:rFonts w:ascii="Arial" w:cs="Arial" w:eastAsia="Arial" w:hAnsi="Arial"/>
                <w:sz w:val="13"/>
                <w:szCs w:val="13"/>
                <w:color w:val="auto"/>
              </w:rPr>
              <w:t>4.2*</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Amended and Restated Investors Rights Agreement, dated December 22, 2000, by and among the Registrant, certain stockholders and the investors listed on the</w:t>
            </w:r>
          </w:p>
        </w:tc>
      </w:tr>
      <w:tr>
        <w:trPr>
          <w:trHeight w:val="158"/>
        </w:trPr>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signature pages thereto.</w:t>
            </w:r>
          </w:p>
        </w:tc>
      </w:tr>
      <w:tr>
        <w:trPr>
          <w:trHeight w:val="158"/>
        </w:trPr>
        <w:tc>
          <w:tcPr>
            <w:tcW w:w="960" w:type="dxa"/>
            <w:vAlign w:val="bottom"/>
          </w:tcPr>
          <w:p>
            <w:pPr>
              <w:spacing w:after="0"/>
              <w:rPr>
                <w:sz w:val="13"/>
                <w:szCs w:val="13"/>
                <w:color w:val="auto"/>
              </w:rPr>
            </w:pPr>
          </w:p>
        </w:tc>
        <w:tc>
          <w:tcPr>
            <w:tcW w:w="880" w:type="dxa"/>
            <w:vAlign w:val="bottom"/>
          </w:tcPr>
          <w:p>
            <w:pPr>
              <w:ind w:left="180"/>
              <w:spacing w:after="0"/>
              <w:rPr>
                <w:sz w:val="20"/>
                <w:szCs w:val="20"/>
                <w:color w:val="auto"/>
              </w:rPr>
            </w:pPr>
            <w:r>
              <w:rPr>
                <w:rFonts w:ascii="Arial" w:cs="Arial" w:eastAsia="Arial" w:hAnsi="Arial"/>
                <w:sz w:val="13"/>
                <w:szCs w:val="13"/>
                <w:color w:val="auto"/>
              </w:rPr>
              <w:t>4.3*</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Amendment No. 1 to Synchronoss Technologies, Inc. Amended and Restated Investors Rights Agreement, dated April 27, 2001, by and among the Registrant,</w:t>
            </w:r>
          </w:p>
        </w:tc>
      </w:tr>
      <w:tr>
        <w:trPr>
          <w:trHeight w:val="158"/>
        </w:trPr>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certain stockholders and the investors listed on the signature pages thereto.</w:t>
            </w:r>
          </w:p>
        </w:tc>
      </w:tr>
      <w:tr>
        <w:trPr>
          <w:trHeight w:val="158"/>
        </w:trPr>
        <w:tc>
          <w:tcPr>
            <w:tcW w:w="960" w:type="dxa"/>
            <w:vAlign w:val="bottom"/>
          </w:tcPr>
          <w:p>
            <w:pPr>
              <w:spacing w:after="0"/>
              <w:rPr>
                <w:sz w:val="13"/>
                <w:szCs w:val="13"/>
                <w:color w:val="auto"/>
              </w:rPr>
            </w:pPr>
          </w:p>
        </w:tc>
        <w:tc>
          <w:tcPr>
            <w:tcW w:w="880" w:type="dxa"/>
            <w:vAlign w:val="bottom"/>
          </w:tcPr>
          <w:p>
            <w:pPr>
              <w:ind w:left="180"/>
              <w:spacing w:after="0"/>
              <w:rPr>
                <w:sz w:val="20"/>
                <w:szCs w:val="20"/>
                <w:color w:val="auto"/>
              </w:rPr>
            </w:pPr>
            <w:r>
              <w:rPr>
                <w:rFonts w:ascii="Arial" w:cs="Arial" w:eastAsia="Arial" w:hAnsi="Arial"/>
                <w:sz w:val="13"/>
                <w:szCs w:val="13"/>
                <w:color w:val="auto"/>
              </w:rPr>
              <w:t>4.4*</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Registration Rights Agreement, dated November 13, 2000, by and among the Registrant and the investors listed on the signature pages thereto.</w:t>
            </w:r>
          </w:p>
        </w:tc>
      </w:tr>
      <w:tr>
        <w:trPr>
          <w:trHeight w:val="158"/>
        </w:trPr>
        <w:tc>
          <w:tcPr>
            <w:tcW w:w="960" w:type="dxa"/>
            <w:vAlign w:val="bottom"/>
          </w:tcPr>
          <w:p>
            <w:pPr>
              <w:spacing w:after="0"/>
              <w:rPr>
                <w:sz w:val="13"/>
                <w:szCs w:val="13"/>
                <w:color w:val="auto"/>
              </w:rPr>
            </w:pPr>
          </w:p>
        </w:tc>
        <w:tc>
          <w:tcPr>
            <w:tcW w:w="880" w:type="dxa"/>
            <w:vAlign w:val="bottom"/>
          </w:tcPr>
          <w:p>
            <w:pPr>
              <w:ind w:left="180"/>
              <w:spacing w:after="0"/>
              <w:rPr>
                <w:sz w:val="20"/>
                <w:szCs w:val="20"/>
                <w:color w:val="auto"/>
              </w:rPr>
            </w:pPr>
            <w:r>
              <w:rPr>
                <w:rFonts w:ascii="Arial" w:cs="Arial" w:eastAsia="Arial" w:hAnsi="Arial"/>
                <w:sz w:val="13"/>
                <w:szCs w:val="13"/>
                <w:color w:val="auto"/>
              </w:rPr>
              <w:t>4.5*</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Amendment No. 1 to Synchronoss Technologies, Inc. Registration Rights Agreement, dated May 21, 2001, by and among the Registrant, certain stockholders listed</w:t>
            </w:r>
          </w:p>
        </w:tc>
      </w:tr>
      <w:tr>
        <w:trPr>
          <w:trHeight w:val="158"/>
        </w:trPr>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on the signature pages thereto and Silicon Valley Bank.</w:t>
            </w:r>
          </w:p>
        </w:tc>
      </w:tr>
      <w:tr>
        <w:trPr>
          <w:trHeight w:val="158"/>
        </w:trPr>
        <w:tc>
          <w:tcPr>
            <w:tcW w:w="960" w:type="dxa"/>
            <w:vAlign w:val="bottom"/>
          </w:tcPr>
          <w:p>
            <w:pPr>
              <w:spacing w:after="0"/>
              <w:rPr>
                <w:sz w:val="13"/>
                <w:szCs w:val="13"/>
                <w:color w:val="auto"/>
              </w:rPr>
            </w:pPr>
          </w:p>
        </w:tc>
        <w:tc>
          <w:tcPr>
            <w:tcW w:w="880" w:type="dxa"/>
            <w:vAlign w:val="bottom"/>
          </w:tcPr>
          <w:p>
            <w:pPr>
              <w:ind w:left="120"/>
              <w:spacing w:after="0"/>
              <w:rPr>
                <w:sz w:val="20"/>
                <w:szCs w:val="20"/>
                <w:color w:val="auto"/>
              </w:rPr>
            </w:pPr>
            <w:r>
              <w:rPr>
                <w:rFonts w:ascii="Arial" w:cs="Arial" w:eastAsia="Arial" w:hAnsi="Arial"/>
                <w:sz w:val="13"/>
                <w:szCs w:val="13"/>
                <w:color w:val="auto"/>
              </w:rPr>
              <w:t>10.1*</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Form of Indemnification Agreement between the Registrant and each of its directors and executive officers.</w:t>
            </w:r>
          </w:p>
        </w:tc>
      </w:tr>
      <w:tr>
        <w:trPr>
          <w:trHeight w:val="158"/>
        </w:trPr>
        <w:tc>
          <w:tcPr>
            <w:tcW w:w="960" w:type="dxa"/>
            <w:vAlign w:val="bottom"/>
          </w:tcPr>
          <w:p>
            <w:pPr>
              <w:spacing w:after="0"/>
              <w:rPr>
                <w:sz w:val="13"/>
                <w:szCs w:val="13"/>
                <w:color w:val="auto"/>
              </w:rPr>
            </w:pPr>
          </w:p>
        </w:tc>
        <w:tc>
          <w:tcPr>
            <w:tcW w:w="880" w:type="dxa"/>
            <w:vAlign w:val="bottom"/>
          </w:tcPr>
          <w:p>
            <w:pPr>
              <w:ind w:left="120"/>
              <w:spacing w:after="0"/>
              <w:rPr>
                <w:sz w:val="20"/>
                <w:szCs w:val="20"/>
                <w:color w:val="auto"/>
              </w:rPr>
            </w:pPr>
            <w:r>
              <w:rPr>
                <w:rFonts w:ascii="Arial" w:cs="Arial" w:eastAsia="Arial" w:hAnsi="Arial"/>
                <w:sz w:val="13"/>
                <w:szCs w:val="13"/>
                <w:color w:val="auto"/>
              </w:rPr>
              <w:t>10.2*</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Synchronoss Technologies, Inc. 2000 Stock Plan and forms of agreements thereunder.</w:t>
            </w:r>
          </w:p>
        </w:tc>
      </w:tr>
      <w:tr>
        <w:trPr>
          <w:trHeight w:val="158"/>
        </w:trPr>
        <w:tc>
          <w:tcPr>
            <w:tcW w:w="960" w:type="dxa"/>
            <w:vAlign w:val="bottom"/>
          </w:tcPr>
          <w:p>
            <w:pPr>
              <w:spacing w:after="0"/>
              <w:rPr>
                <w:sz w:val="13"/>
                <w:szCs w:val="13"/>
                <w:color w:val="auto"/>
              </w:rPr>
            </w:pPr>
          </w:p>
        </w:tc>
        <w:tc>
          <w:tcPr>
            <w:tcW w:w="880" w:type="dxa"/>
            <w:vAlign w:val="bottom"/>
          </w:tcPr>
          <w:p>
            <w:pPr>
              <w:ind w:left="120"/>
              <w:spacing w:after="0"/>
              <w:rPr>
                <w:sz w:val="20"/>
                <w:szCs w:val="20"/>
                <w:color w:val="auto"/>
              </w:rPr>
            </w:pPr>
            <w:r>
              <w:rPr>
                <w:rFonts w:ascii="Arial" w:cs="Arial" w:eastAsia="Arial" w:hAnsi="Arial"/>
                <w:sz w:val="13"/>
                <w:szCs w:val="13"/>
                <w:color w:val="auto"/>
              </w:rPr>
              <w:t>10.3*</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Amendment No. 1 to Synchronoss Technologies, Inc. 2000 Stock Plan.</w:t>
            </w:r>
          </w:p>
        </w:tc>
      </w:tr>
      <w:tr>
        <w:trPr>
          <w:trHeight w:val="158"/>
        </w:trPr>
        <w:tc>
          <w:tcPr>
            <w:tcW w:w="960" w:type="dxa"/>
            <w:vAlign w:val="bottom"/>
          </w:tcPr>
          <w:p>
            <w:pPr>
              <w:spacing w:after="0"/>
              <w:rPr>
                <w:sz w:val="13"/>
                <w:szCs w:val="13"/>
                <w:color w:val="auto"/>
              </w:rPr>
            </w:pPr>
          </w:p>
        </w:tc>
        <w:tc>
          <w:tcPr>
            <w:tcW w:w="880" w:type="dxa"/>
            <w:vAlign w:val="bottom"/>
          </w:tcPr>
          <w:p>
            <w:pPr>
              <w:ind w:left="120"/>
              <w:spacing w:after="0"/>
              <w:rPr>
                <w:sz w:val="20"/>
                <w:szCs w:val="20"/>
                <w:color w:val="auto"/>
              </w:rPr>
            </w:pPr>
            <w:r>
              <w:rPr>
                <w:rFonts w:ascii="Arial" w:cs="Arial" w:eastAsia="Arial" w:hAnsi="Arial"/>
                <w:sz w:val="13"/>
                <w:szCs w:val="13"/>
                <w:color w:val="auto"/>
              </w:rPr>
              <w:t>10.4*</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2006 Equity Incentive Plan and forms of agreements thereunder.</w:t>
            </w:r>
          </w:p>
        </w:tc>
      </w:tr>
      <w:tr>
        <w:trPr>
          <w:trHeight w:val="158"/>
        </w:trPr>
        <w:tc>
          <w:tcPr>
            <w:tcW w:w="960" w:type="dxa"/>
            <w:vAlign w:val="bottom"/>
          </w:tcPr>
          <w:p>
            <w:pPr>
              <w:spacing w:after="0"/>
              <w:rPr>
                <w:sz w:val="13"/>
                <w:szCs w:val="13"/>
                <w:color w:val="auto"/>
              </w:rPr>
            </w:pPr>
          </w:p>
        </w:tc>
        <w:tc>
          <w:tcPr>
            <w:tcW w:w="880" w:type="dxa"/>
            <w:vAlign w:val="bottom"/>
          </w:tcPr>
          <w:p>
            <w:pPr>
              <w:ind w:left="120"/>
              <w:spacing w:after="0"/>
              <w:rPr>
                <w:sz w:val="20"/>
                <w:szCs w:val="20"/>
                <w:color w:val="auto"/>
              </w:rPr>
            </w:pPr>
            <w:r>
              <w:rPr>
                <w:rFonts w:ascii="Arial" w:cs="Arial" w:eastAsia="Arial" w:hAnsi="Arial"/>
                <w:sz w:val="13"/>
                <w:szCs w:val="13"/>
                <w:color w:val="auto"/>
              </w:rPr>
              <w:t>10.5*</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Lease Agreement between the Registrant and BTCT Associates, L.L.C. for the premises located at 750 Route 202 South, Bridgewater, New Jersey, dated as of</w:t>
            </w:r>
          </w:p>
        </w:tc>
      </w:tr>
      <w:tr>
        <w:trPr>
          <w:trHeight w:val="158"/>
        </w:trPr>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May 11, 2004.</w:t>
            </w:r>
          </w:p>
        </w:tc>
      </w:tr>
      <w:tr>
        <w:trPr>
          <w:trHeight w:val="158"/>
        </w:trPr>
        <w:tc>
          <w:tcPr>
            <w:tcW w:w="960" w:type="dxa"/>
            <w:vAlign w:val="bottom"/>
          </w:tcPr>
          <w:p>
            <w:pPr>
              <w:spacing w:after="0"/>
              <w:rPr>
                <w:sz w:val="13"/>
                <w:szCs w:val="13"/>
                <w:color w:val="auto"/>
              </w:rPr>
            </w:pPr>
          </w:p>
        </w:tc>
        <w:tc>
          <w:tcPr>
            <w:tcW w:w="880" w:type="dxa"/>
            <w:vAlign w:val="bottom"/>
          </w:tcPr>
          <w:p>
            <w:pPr>
              <w:ind w:left="120"/>
              <w:spacing w:after="0"/>
              <w:rPr>
                <w:sz w:val="20"/>
                <w:szCs w:val="20"/>
                <w:color w:val="auto"/>
              </w:rPr>
            </w:pPr>
            <w:r>
              <w:rPr>
                <w:rFonts w:ascii="Arial" w:cs="Arial" w:eastAsia="Arial" w:hAnsi="Arial"/>
                <w:sz w:val="13"/>
                <w:szCs w:val="13"/>
                <w:color w:val="auto"/>
              </w:rPr>
              <w:t>10.6*</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First Amendment dated December 23, 2003 to the Lease Agreement between the Registrant and BTCT Associates, L.L.C. for the premises located at 750 Route</w:t>
            </w:r>
          </w:p>
        </w:tc>
      </w:tr>
      <w:tr>
        <w:trPr>
          <w:trHeight w:val="158"/>
        </w:trPr>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202 South, Bridgewater, New Jersey, dated as of May 11, 2004.</w:t>
            </w:r>
          </w:p>
        </w:tc>
      </w:tr>
      <w:tr>
        <w:trPr>
          <w:trHeight w:val="158"/>
        </w:trPr>
        <w:tc>
          <w:tcPr>
            <w:tcW w:w="960" w:type="dxa"/>
            <w:vAlign w:val="bottom"/>
          </w:tcPr>
          <w:p>
            <w:pPr>
              <w:spacing w:after="0"/>
              <w:rPr>
                <w:sz w:val="13"/>
                <w:szCs w:val="13"/>
                <w:color w:val="auto"/>
              </w:rPr>
            </w:pPr>
          </w:p>
        </w:tc>
        <w:tc>
          <w:tcPr>
            <w:tcW w:w="880" w:type="dxa"/>
            <w:vAlign w:val="bottom"/>
          </w:tcPr>
          <w:p>
            <w:pPr>
              <w:ind w:left="120"/>
              <w:spacing w:after="0"/>
              <w:rPr>
                <w:sz w:val="20"/>
                <w:szCs w:val="20"/>
                <w:color w:val="auto"/>
              </w:rPr>
            </w:pPr>
            <w:r>
              <w:rPr>
                <w:rFonts w:ascii="Arial" w:cs="Arial" w:eastAsia="Arial" w:hAnsi="Arial"/>
                <w:sz w:val="13"/>
                <w:szCs w:val="13"/>
                <w:color w:val="auto"/>
              </w:rPr>
              <w:t>10.7**</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Second Amendment dated August 21, 2006 to the Lease Agreement between the Registrant and BTCT Associates, L.L.C. for the premises located at 750 Route</w:t>
            </w:r>
          </w:p>
        </w:tc>
      </w:tr>
      <w:tr>
        <w:trPr>
          <w:trHeight w:val="158"/>
        </w:trPr>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202 South, Bridgewater, New Jersey, dated as of May 11, 2004.</w:t>
            </w:r>
          </w:p>
        </w:tc>
      </w:tr>
      <w:tr>
        <w:trPr>
          <w:trHeight w:val="158"/>
        </w:trPr>
        <w:tc>
          <w:tcPr>
            <w:tcW w:w="960" w:type="dxa"/>
            <w:vAlign w:val="bottom"/>
          </w:tcPr>
          <w:p>
            <w:pPr>
              <w:spacing w:after="0"/>
              <w:rPr>
                <w:sz w:val="13"/>
                <w:szCs w:val="13"/>
                <w:color w:val="auto"/>
              </w:rPr>
            </w:pPr>
          </w:p>
        </w:tc>
        <w:tc>
          <w:tcPr>
            <w:tcW w:w="880" w:type="dxa"/>
            <w:vAlign w:val="bottom"/>
          </w:tcPr>
          <w:p>
            <w:pPr>
              <w:ind w:left="120"/>
              <w:spacing w:after="0"/>
              <w:rPr>
                <w:sz w:val="20"/>
                <w:szCs w:val="20"/>
                <w:color w:val="auto"/>
              </w:rPr>
            </w:pPr>
            <w:r>
              <w:rPr>
                <w:rFonts w:ascii="Arial" w:cs="Arial" w:eastAsia="Arial" w:hAnsi="Arial"/>
                <w:sz w:val="13"/>
                <w:szCs w:val="13"/>
                <w:color w:val="auto"/>
              </w:rPr>
              <w:t>10.8*</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Lease Agreement between the Registrant and Liberty Property Limited Partnership for the premises located at 1525 Valley Center Parkway, Bethlehem,</w:t>
            </w:r>
          </w:p>
        </w:tc>
      </w:tr>
      <w:tr>
        <w:trPr>
          <w:trHeight w:val="158"/>
        </w:trPr>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Pennsylvania, dated as of February 14, 2002.</w:t>
            </w:r>
          </w:p>
        </w:tc>
      </w:tr>
      <w:tr>
        <w:trPr>
          <w:trHeight w:val="158"/>
        </w:trPr>
        <w:tc>
          <w:tcPr>
            <w:tcW w:w="960" w:type="dxa"/>
            <w:vAlign w:val="bottom"/>
          </w:tcPr>
          <w:p>
            <w:pPr>
              <w:spacing w:after="0"/>
              <w:rPr>
                <w:sz w:val="13"/>
                <w:szCs w:val="13"/>
                <w:color w:val="auto"/>
              </w:rPr>
            </w:pPr>
          </w:p>
        </w:tc>
        <w:tc>
          <w:tcPr>
            <w:tcW w:w="880" w:type="dxa"/>
            <w:vAlign w:val="bottom"/>
          </w:tcPr>
          <w:p>
            <w:pPr>
              <w:ind w:left="120"/>
              <w:spacing w:after="0"/>
              <w:rPr>
                <w:sz w:val="20"/>
                <w:szCs w:val="20"/>
                <w:color w:val="auto"/>
              </w:rPr>
            </w:pPr>
            <w:r>
              <w:rPr>
                <w:rFonts w:ascii="Arial" w:cs="Arial" w:eastAsia="Arial" w:hAnsi="Arial"/>
                <w:sz w:val="13"/>
                <w:szCs w:val="13"/>
                <w:color w:val="auto"/>
              </w:rPr>
              <w:t>10.10*</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Loan &amp; Security Agreement between the Registrant and Silicon Valley Bank, dated as of May 21, 2001.</w:t>
            </w:r>
          </w:p>
        </w:tc>
      </w:tr>
      <w:tr>
        <w:trPr>
          <w:trHeight w:val="158"/>
        </w:trPr>
        <w:tc>
          <w:tcPr>
            <w:tcW w:w="960" w:type="dxa"/>
            <w:vAlign w:val="bottom"/>
          </w:tcPr>
          <w:p>
            <w:pPr>
              <w:spacing w:after="0"/>
              <w:rPr>
                <w:sz w:val="13"/>
                <w:szCs w:val="13"/>
                <w:color w:val="auto"/>
              </w:rPr>
            </w:pPr>
          </w:p>
        </w:tc>
        <w:tc>
          <w:tcPr>
            <w:tcW w:w="880" w:type="dxa"/>
            <w:vAlign w:val="bottom"/>
          </w:tcPr>
          <w:p>
            <w:pPr>
              <w:ind w:left="120"/>
              <w:spacing w:after="0"/>
              <w:rPr>
                <w:sz w:val="20"/>
                <w:szCs w:val="20"/>
                <w:color w:val="auto"/>
              </w:rPr>
            </w:pPr>
            <w:r>
              <w:rPr>
                <w:rFonts w:ascii="Arial" w:cs="Arial" w:eastAsia="Arial" w:hAnsi="Arial"/>
                <w:sz w:val="13"/>
                <w:szCs w:val="13"/>
                <w:color w:val="auto"/>
              </w:rPr>
              <w:t>10.11*‡</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Cingular Master Services Agreement, effective September 1, 2005 by and between the Registrant and Cingular Wireless LLC.</w:t>
            </w:r>
          </w:p>
        </w:tc>
      </w:tr>
      <w:tr>
        <w:trPr>
          <w:trHeight w:val="158"/>
        </w:trPr>
        <w:tc>
          <w:tcPr>
            <w:tcW w:w="960" w:type="dxa"/>
            <w:vAlign w:val="bottom"/>
          </w:tcPr>
          <w:p>
            <w:pPr>
              <w:spacing w:after="0"/>
              <w:rPr>
                <w:sz w:val="13"/>
                <w:szCs w:val="13"/>
                <w:color w:val="auto"/>
              </w:rPr>
            </w:pPr>
          </w:p>
        </w:tc>
        <w:tc>
          <w:tcPr>
            <w:tcW w:w="880" w:type="dxa"/>
            <w:vAlign w:val="bottom"/>
          </w:tcPr>
          <w:p>
            <w:pPr>
              <w:ind w:left="120"/>
              <w:spacing w:after="0"/>
              <w:rPr>
                <w:sz w:val="20"/>
                <w:szCs w:val="20"/>
                <w:color w:val="auto"/>
              </w:rPr>
            </w:pPr>
            <w:r>
              <w:rPr>
                <w:rFonts w:ascii="Arial" w:cs="Arial" w:eastAsia="Arial" w:hAnsi="Arial"/>
                <w:sz w:val="13"/>
                <w:szCs w:val="13"/>
                <w:color w:val="auto"/>
              </w:rPr>
              <w:t>10.12*†</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Employment Agreement between the Registrant and Stephen G. Waldis.</w:t>
            </w:r>
          </w:p>
        </w:tc>
      </w:tr>
      <w:tr>
        <w:trPr>
          <w:trHeight w:val="158"/>
        </w:trPr>
        <w:tc>
          <w:tcPr>
            <w:tcW w:w="960" w:type="dxa"/>
            <w:vAlign w:val="bottom"/>
          </w:tcPr>
          <w:p>
            <w:pPr>
              <w:spacing w:after="0"/>
              <w:rPr>
                <w:sz w:val="13"/>
                <w:szCs w:val="13"/>
                <w:color w:val="auto"/>
              </w:rPr>
            </w:pPr>
          </w:p>
        </w:tc>
        <w:tc>
          <w:tcPr>
            <w:tcW w:w="880" w:type="dxa"/>
            <w:vAlign w:val="bottom"/>
          </w:tcPr>
          <w:p>
            <w:pPr>
              <w:ind w:left="120"/>
              <w:spacing w:after="0"/>
              <w:rPr>
                <w:sz w:val="20"/>
                <w:szCs w:val="20"/>
                <w:color w:val="auto"/>
              </w:rPr>
            </w:pPr>
            <w:r>
              <w:rPr>
                <w:rFonts w:ascii="Arial" w:cs="Arial" w:eastAsia="Arial" w:hAnsi="Arial"/>
                <w:sz w:val="13"/>
                <w:szCs w:val="13"/>
                <w:color w:val="auto"/>
              </w:rPr>
              <w:t>10.13*†</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Employment Agreement between the Registrant and Lawrence R. Irving.</w:t>
            </w:r>
          </w:p>
        </w:tc>
      </w:tr>
      <w:tr>
        <w:trPr>
          <w:trHeight w:val="158"/>
        </w:trPr>
        <w:tc>
          <w:tcPr>
            <w:tcW w:w="960" w:type="dxa"/>
            <w:vAlign w:val="bottom"/>
          </w:tcPr>
          <w:p>
            <w:pPr>
              <w:spacing w:after="0"/>
              <w:rPr>
                <w:sz w:val="13"/>
                <w:szCs w:val="13"/>
                <w:color w:val="auto"/>
              </w:rPr>
            </w:pPr>
          </w:p>
        </w:tc>
        <w:tc>
          <w:tcPr>
            <w:tcW w:w="880" w:type="dxa"/>
            <w:vAlign w:val="bottom"/>
          </w:tcPr>
          <w:p>
            <w:pPr>
              <w:ind w:left="120"/>
              <w:spacing w:after="0"/>
              <w:rPr>
                <w:sz w:val="20"/>
                <w:szCs w:val="20"/>
                <w:color w:val="auto"/>
              </w:rPr>
            </w:pPr>
            <w:r>
              <w:rPr>
                <w:rFonts w:ascii="Arial" w:cs="Arial" w:eastAsia="Arial" w:hAnsi="Arial"/>
                <w:sz w:val="13"/>
                <w:szCs w:val="13"/>
                <w:color w:val="auto"/>
              </w:rPr>
              <w:t>10.14*†</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Employment Agreement between the Registrant and Robert Garcia.</w:t>
            </w:r>
          </w:p>
        </w:tc>
      </w:tr>
      <w:tr>
        <w:trPr>
          <w:trHeight w:val="158"/>
        </w:trPr>
        <w:tc>
          <w:tcPr>
            <w:tcW w:w="960" w:type="dxa"/>
            <w:vAlign w:val="bottom"/>
          </w:tcPr>
          <w:p>
            <w:pPr>
              <w:spacing w:after="0"/>
              <w:rPr>
                <w:sz w:val="13"/>
                <w:szCs w:val="13"/>
                <w:color w:val="auto"/>
              </w:rPr>
            </w:pPr>
          </w:p>
        </w:tc>
        <w:tc>
          <w:tcPr>
            <w:tcW w:w="880" w:type="dxa"/>
            <w:vAlign w:val="bottom"/>
          </w:tcPr>
          <w:p>
            <w:pPr>
              <w:ind w:left="120"/>
              <w:spacing w:after="0"/>
              <w:rPr>
                <w:sz w:val="20"/>
                <w:szCs w:val="20"/>
                <w:color w:val="auto"/>
              </w:rPr>
            </w:pPr>
            <w:r>
              <w:rPr>
                <w:rFonts w:ascii="Arial" w:cs="Arial" w:eastAsia="Arial" w:hAnsi="Arial"/>
                <w:sz w:val="13"/>
                <w:szCs w:val="13"/>
                <w:color w:val="auto"/>
              </w:rPr>
              <w:t>10.15**†</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Employment Agreement between the Registrant and Chris Putnam.</w:t>
            </w:r>
          </w:p>
        </w:tc>
      </w:tr>
      <w:tr>
        <w:trPr>
          <w:trHeight w:val="158"/>
        </w:trPr>
        <w:tc>
          <w:tcPr>
            <w:tcW w:w="960" w:type="dxa"/>
            <w:vAlign w:val="bottom"/>
          </w:tcPr>
          <w:p>
            <w:pPr>
              <w:spacing w:after="0"/>
              <w:rPr>
                <w:sz w:val="13"/>
                <w:szCs w:val="13"/>
                <w:color w:val="auto"/>
              </w:rPr>
            </w:pPr>
          </w:p>
        </w:tc>
        <w:tc>
          <w:tcPr>
            <w:tcW w:w="880" w:type="dxa"/>
            <w:vAlign w:val="bottom"/>
          </w:tcPr>
          <w:p>
            <w:pPr>
              <w:ind w:left="120"/>
              <w:spacing w:after="0"/>
              <w:rPr>
                <w:sz w:val="20"/>
                <w:szCs w:val="20"/>
                <w:color w:val="auto"/>
              </w:rPr>
            </w:pPr>
            <w:r>
              <w:rPr>
                <w:rFonts w:ascii="Arial" w:cs="Arial" w:eastAsia="Arial" w:hAnsi="Arial"/>
                <w:sz w:val="13"/>
                <w:szCs w:val="13"/>
                <w:color w:val="auto"/>
              </w:rPr>
              <w:t>10.16**†</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Employment Agreement between the Registrant and Omar Tellez</w:t>
            </w:r>
          </w:p>
        </w:tc>
      </w:tr>
      <w:tr>
        <w:trPr>
          <w:trHeight w:val="158"/>
        </w:trPr>
        <w:tc>
          <w:tcPr>
            <w:tcW w:w="960" w:type="dxa"/>
            <w:vAlign w:val="bottom"/>
          </w:tcPr>
          <w:p>
            <w:pPr>
              <w:spacing w:after="0"/>
              <w:rPr>
                <w:sz w:val="13"/>
                <w:szCs w:val="13"/>
                <w:color w:val="auto"/>
              </w:rPr>
            </w:pPr>
          </w:p>
        </w:tc>
        <w:tc>
          <w:tcPr>
            <w:tcW w:w="880" w:type="dxa"/>
            <w:vAlign w:val="bottom"/>
          </w:tcPr>
          <w:p>
            <w:pPr>
              <w:ind w:left="120"/>
              <w:spacing w:after="0"/>
              <w:rPr>
                <w:sz w:val="20"/>
                <w:szCs w:val="20"/>
                <w:color w:val="auto"/>
              </w:rPr>
            </w:pPr>
            <w:r>
              <w:rPr>
                <w:rFonts w:ascii="Arial" w:cs="Arial" w:eastAsia="Arial" w:hAnsi="Arial"/>
                <w:sz w:val="13"/>
                <w:szCs w:val="13"/>
                <w:color w:val="auto"/>
              </w:rPr>
              <w:t>23.1</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Consent of Ernst &amp; Young, LLP, Independent Registered Public Accounting Firm.</w:t>
            </w:r>
          </w:p>
        </w:tc>
      </w:tr>
      <w:tr>
        <w:trPr>
          <w:trHeight w:val="158"/>
        </w:trPr>
        <w:tc>
          <w:tcPr>
            <w:tcW w:w="960" w:type="dxa"/>
            <w:vAlign w:val="bottom"/>
          </w:tcPr>
          <w:p>
            <w:pPr>
              <w:spacing w:after="0"/>
              <w:rPr>
                <w:sz w:val="13"/>
                <w:szCs w:val="13"/>
                <w:color w:val="auto"/>
              </w:rPr>
            </w:pPr>
          </w:p>
        </w:tc>
        <w:tc>
          <w:tcPr>
            <w:tcW w:w="880" w:type="dxa"/>
            <w:vAlign w:val="bottom"/>
          </w:tcPr>
          <w:p>
            <w:pPr>
              <w:ind w:left="120"/>
              <w:spacing w:after="0"/>
              <w:rPr>
                <w:sz w:val="20"/>
                <w:szCs w:val="20"/>
                <w:color w:val="auto"/>
              </w:rPr>
            </w:pPr>
            <w:r>
              <w:rPr>
                <w:rFonts w:ascii="Arial" w:cs="Arial" w:eastAsia="Arial" w:hAnsi="Arial"/>
                <w:sz w:val="13"/>
                <w:szCs w:val="13"/>
                <w:color w:val="auto"/>
              </w:rPr>
              <w:t>24</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Power of Attorney (see page 63)</w:t>
            </w:r>
          </w:p>
        </w:tc>
      </w:tr>
      <w:tr>
        <w:trPr>
          <w:trHeight w:val="158"/>
        </w:trPr>
        <w:tc>
          <w:tcPr>
            <w:tcW w:w="960" w:type="dxa"/>
            <w:vAlign w:val="bottom"/>
          </w:tcPr>
          <w:p>
            <w:pPr>
              <w:spacing w:after="0"/>
              <w:rPr>
                <w:sz w:val="13"/>
                <w:szCs w:val="13"/>
                <w:color w:val="auto"/>
              </w:rPr>
            </w:pPr>
          </w:p>
        </w:tc>
        <w:tc>
          <w:tcPr>
            <w:tcW w:w="880" w:type="dxa"/>
            <w:vAlign w:val="bottom"/>
          </w:tcPr>
          <w:p>
            <w:pPr>
              <w:ind w:left="120"/>
              <w:spacing w:after="0"/>
              <w:rPr>
                <w:sz w:val="20"/>
                <w:szCs w:val="20"/>
                <w:color w:val="auto"/>
              </w:rPr>
            </w:pPr>
            <w:r>
              <w:rPr>
                <w:rFonts w:ascii="Arial" w:cs="Arial" w:eastAsia="Arial" w:hAnsi="Arial"/>
                <w:sz w:val="13"/>
                <w:szCs w:val="13"/>
                <w:color w:val="auto"/>
              </w:rPr>
              <w:t>31.1</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Certification of Chief Executive Officer pursuant to Rule 13a-14(a) of the Exchange Act, as adopted pursuant to section 302 of the Sarbanes-Oxley Act of 2002</w:t>
            </w:r>
          </w:p>
        </w:tc>
      </w:tr>
      <w:tr>
        <w:trPr>
          <w:trHeight w:val="165"/>
        </w:trPr>
        <w:tc>
          <w:tcPr>
            <w:tcW w:w="9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Arial" w:cs="Arial" w:eastAsia="Arial" w:hAnsi="Arial"/>
                <w:sz w:val="13"/>
                <w:szCs w:val="13"/>
                <w:color w:val="auto"/>
              </w:rPr>
              <w:t>31.2</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Certification of Chief Financial Officer pursuant to Rule 13a-14(a) of the Exchange Act, as adopted pursuant to section 302 of the Sarbanes-Oxley Act of 2002</w:t>
            </w:r>
          </w:p>
        </w:tc>
      </w:tr>
      <w:tr>
        <w:trPr>
          <w:trHeight w:val="455"/>
        </w:trPr>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40" w:type="dxa"/>
            <w:vAlign w:val="bottom"/>
          </w:tcPr>
          <w:p>
            <w:pPr>
              <w:ind w:left="3780"/>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165"/>
        </w:trPr>
        <w:tc>
          <w:tcPr>
            <w:tcW w:w="96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4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-3750945</wp:posOffset>
            </wp:positionV>
            <wp:extent cx="635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2" w:lineRule="exact"/>
        <w:rPr>
          <w:sz w:val="20"/>
          <w:szCs w:val="20"/>
          <w:color w:val="auto"/>
        </w:rPr>
      </w:pPr>
    </w:p>
    <w:tbl>
      <w:tblPr>
        <w:tblLayout w:type="fixed"/>
        <w:tblInd w:w="1080" w:type="dxa"/>
        <w:tblCellMar>
          <w:top w:w="0" w:type="dxa"/>
          <w:left w:w="0" w:type="dxa"/>
          <w:bottom w:w="0" w:type="dxa"/>
          <w:right w:w="0" w:type="dxa"/>
        </w:tblCellMar>
      </w:tblPr>
      <w:tr>
        <w:trPr>
          <w:trHeight w:val="136"/>
        </w:trPr>
        <w:tc>
          <w:tcPr>
            <w:tcW w:w="760" w:type="dxa"/>
            <w:vAlign w:val="bottom"/>
          </w:tcPr>
          <w:p>
            <w:pPr>
              <w:jc w:val="right"/>
              <w:ind w:right="118"/>
              <w:spacing w:after="0"/>
              <w:rPr>
                <w:sz w:val="20"/>
                <w:szCs w:val="20"/>
                <w:color w:val="auto"/>
              </w:rPr>
            </w:pPr>
            <w:r>
              <w:rPr>
                <w:rFonts w:ascii="Arial" w:cs="Arial" w:eastAsia="Arial" w:hAnsi="Arial"/>
                <w:sz w:val="11"/>
                <w:szCs w:val="11"/>
                <w:b w:val="1"/>
                <w:bCs w:val="1"/>
                <w:color w:val="auto"/>
                <w:w w:val="97"/>
              </w:rPr>
              <w:t>Exhibit No.</w:t>
            </w:r>
          </w:p>
        </w:tc>
        <w:tc>
          <w:tcPr>
            <w:tcW w:w="4440" w:type="dxa"/>
            <w:vAlign w:val="bottom"/>
          </w:tcPr>
          <w:p>
            <w:pPr>
              <w:spacing w:after="0"/>
              <w:rPr>
                <w:sz w:val="11"/>
                <w:szCs w:val="11"/>
                <w:color w:val="auto"/>
              </w:rPr>
            </w:pPr>
          </w:p>
        </w:tc>
        <w:tc>
          <w:tcPr>
            <w:tcW w:w="4340" w:type="dxa"/>
            <w:vAlign w:val="bottom"/>
            <w:gridSpan w:val="2"/>
          </w:tcPr>
          <w:p>
            <w:pPr>
              <w:ind w:left="20"/>
              <w:spacing w:after="0"/>
              <w:rPr>
                <w:sz w:val="20"/>
                <w:szCs w:val="20"/>
                <w:color w:val="auto"/>
              </w:rPr>
            </w:pPr>
            <w:r>
              <w:rPr>
                <w:rFonts w:ascii="Arial" w:cs="Arial" w:eastAsia="Arial" w:hAnsi="Arial"/>
                <w:sz w:val="11"/>
                <w:szCs w:val="11"/>
                <w:b w:val="1"/>
                <w:bCs w:val="1"/>
                <w:color w:val="auto"/>
              </w:rPr>
              <w:t>Description</w:t>
            </w:r>
          </w:p>
        </w:tc>
      </w:tr>
      <w:tr>
        <w:trPr>
          <w:trHeight w:val="20"/>
        </w:trPr>
        <w:tc>
          <w:tcPr>
            <w:tcW w:w="7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79"/>
        </w:trPr>
        <w:tc>
          <w:tcPr>
            <w:tcW w:w="760" w:type="dxa"/>
            <w:vAlign w:val="bottom"/>
          </w:tcPr>
          <w:p>
            <w:pPr>
              <w:jc w:val="right"/>
              <w:ind w:right="458"/>
              <w:spacing w:after="0"/>
              <w:rPr>
                <w:sz w:val="20"/>
                <w:szCs w:val="20"/>
                <w:color w:val="auto"/>
              </w:rPr>
            </w:pPr>
            <w:r>
              <w:rPr>
                <w:rFonts w:ascii="Arial" w:cs="Arial" w:eastAsia="Arial" w:hAnsi="Arial"/>
                <w:sz w:val="13"/>
                <w:szCs w:val="13"/>
                <w:color w:val="auto"/>
                <w:w w:val="86"/>
              </w:rPr>
              <w:t>32.1</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w w:val="92"/>
              </w:rPr>
              <w:t>Certification of Chief Executive Officer pursuant to Rule 13a-14(b) of the Exchange Act and section 18 U.S.C. Section 1350, as adopted pursuant to section 906 of</w:t>
            </w:r>
          </w:p>
        </w:tc>
      </w:tr>
      <w:tr>
        <w:trPr>
          <w:trHeight w:val="158"/>
        </w:trPr>
        <w:tc>
          <w:tcPr>
            <w:tcW w:w="760" w:type="dxa"/>
            <w:vAlign w:val="bottom"/>
          </w:tcPr>
          <w:p>
            <w:pPr>
              <w:spacing w:after="0"/>
              <w:rPr>
                <w:sz w:val="13"/>
                <w:szCs w:val="13"/>
                <w:color w:val="auto"/>
              </w:rPr>
            </w:pP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rPr>
              <w:t>the Sarbanes-Oxley Act of 2002</w:t>
            </w:r>
          </w:p>
        </w:tc>
      </w:tr>
      <w:tr>
        <w:trPr>
          <w:trHeight w:val="158"/>
        </w:trPr>
        <w:tc>
          <w:tcPr>
            <w:tcW w:w="760" w:type="dxa"/>
            <w:vAlign w:val="bottom"/>
          </w:tcPr>
          <w:p>
            <w:pPr>
              <w:jc w:val="right"/>
              <w:ind w:right="458"/>
              <w:spacing w:after="0"/>
              <w:rPr>
                <w:sz w:val="20"/>
                <w:szCs w:val="20"/>
                <w:color w:val="auto"/>
              </w:rPr>
            </w:pPr>
            <w:r>
              <w:rPr>
                <w:rFonts w:ascii="Arial" w:cs="Arial" w:eastAsia="Arial" w:hAnsi="Arial"/>
                <w:sz w:val="13"/>
                <w:szCs w:val="13"/>
                <w:color w:val="auto"/>
                <w:w w:val="86"/>
              </w:rPr>
              <w:t>32.2</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w w:val="92"/>
              </w:rPr>
              <w:t>Certification of Chief Financial Officer pursuant to Rule 13a-14(b) of the Exchange Act and section 18 U.S.C. Section 1350, as adopted pursuant to section 906 of</w:t>
            </w:r>
          </w:p>
        </w:tc>
      </w:tr>
      <w:tr>
        <w:trPr>
          <w:trHeight w:val="165"/>
        </w:trPr>
        <w:tc>
          <w:tcPr>
            <w:tcW w:w="760" w:type="dxa"/>
            <w:vAlign w:val="bottom"/>
          </w:tcPr>
          <w:p>
            <w:pPr>
              <w:spacing w:after="0"/>
              <w:rPr>
                <w:sz w:val="14"/>
                <w:szCs w:val="14"/>
                <w:color w:val="auto"/>
              </w:rPr>
            </w:pP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rPr>
              <w:t>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-431800</wp:posOffset>
            </wp:positionV>
            <wp:extent cx="635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63500</wp:posOffset>
            </wp:positionV>
            <wp:extent cx="82232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2325" cy="6350"/>
                    </a:xfrm>
                    <a:prstGeom prst="rect">
                      <a:avLst/>
                    </a:prstGeom>
                    <a:noFill/>
                  </pic:spPr>
                </pic:pic>
              </a:graphicData>
            </a:graphic>
          </wp:anchor>
        </w:drawing>
      </w:r>
    </w:p>
    <w:p>
      <w:pPr>
        <w:spacing w:after="0" w:line="131" w:lineRule="exact"/>
        <w:rPr>
          <w:sz w:val="20"/>
          <w:szCs w:val="20"/>
          <w:color w:val="auto"/>
        </w:rPr>
      </w:pPr>
    </w:p>
    <w:p>
      <w:pPr>
        <w:ind w:left="1200" w:hanging="513"/>
        <w:spacing w:after="0"/>
        <w:tabs>
          <w:tab w:leader="none" w:pos="12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Compensation Arrangement.</w:t>
      </w:r>
    </w:p>
    <w:p>
      <w:pPr>
        <w:spacing w:after="0" w:line="48" w:lineRule="exact"/>
        <w:rPr>
          <w:sz w:val="20"/>
          <w:szCs w:val="20"/>
          <w:color w:val="auto"/>
        </w:rPr>
      </w:pPr>
    </w:p>
    <w:p>
      <w:pPr>
        <w:ind w:left="1200" w:hanging="513"/>
        <w:spacing w:after="0"/>
        <w:tabs>
          <w:tab w:leader="none" w:pos="12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Incorporated by reference to Registrant’s Registration Statement on Form S-1 (Commission File No. 333-132080).</w:t>
      </w:r>
    </w:p>
    <w:p>
      <w:pPr>
        <w:spacing w:after="0" w:line="48" w:lineRule="exact"/>
        <w:rPr>
          <w:rFonts w:ascii="Arial" w:cs="Arial" w:eastAsia="Arial" w:hAnsi="Arial"/>
          <w:sz w:val="13"/>
          <w:szCs w:val="13"/>
          <w:color w:val="auto"/>
        </w:rPr>
      </w:pPr>
    </w:p>
    <w:p>
      <w:pPr>
        <w:ind w:left="68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1"/>
          <w:szCs w:val="11"/>
          <w:color w:val="auto"/>
        </w:rPr>
        <w:t>Incorporated by reference to Registrant’s Annual Report on Form 10-K for the year ended December 31, 2006.</w:t>
      </w:r>
    </w:p>
    <w:p>
      <w:pPr>
        <w:spacing w:after="0" w:line="48" w:lineRule="exact"/>
        <w:rPr>
          <w:sz w:val="20"/>
          <w:szCs w:val="20"/>
          <w:color w:val="auto"/>
        </w:rPr>
      </w:pPr>
    </w:p>
    <w:p>
      <w:pPr>
        <w:jc w:val="center"/>
        <w:ind w:left="5620" w:right="200" w:hanging="4933"/>
        <w:spacing w:after="0" w:line="485" w:lineRule="auto"/>
        <w:tabs>
          <w:tab w:leader="none" w:pos="1201" w:val="left"/>
        </w:tabs>
        <w:numPr>
          <w:ilvl w:val="0"/>
          <w:numId w:val="33"/>
        </w:numPr>
        <w:rPr>
          <w:rFonts w:ascii="Arial" w:cs="Arial" w:eastAsia="Arial" w:hAnsi="Arial"/>
          <w:sz w:val="13"/>
          <w:szCs w:val="13"/>
          <w:color w:val="auto"/>
        </w:rPr>
      </w:pPr>
      <w:r>
        <w:rPr>
          <w:rFonts w:ascii="Arial" w:cs="Arial" w:eastAsia="Arial" w:hAnsi="Arial"/>
          <w:sz w:val="13"/>
          <w:szCs w:val="13"/>
          <w:color w:val="auto"/>
        </w:rPr>
        <w:t>Confidential treatment has been requested for portions of this document. The omitted portions of this document have been filed with the Securities and Exchange Commission. 65</w:t>
      </w:r>
    </w:p>
    <w:p>
      <w:pPr>
        <w:sectPr>
          <w:pgSz w:w="11900" w:h="16838" w:orient="portrait"/>
          <w:cols w:equalWidth="0" w:num="1">
            <w:col w:w="10620"/>
          </w:cols>
          <w:pgMar w:left="220" w:top="345" w:right="1059" w:bottom="1440" w:gutter="0" w:footer="0" w:header="0"/>
        </w:sectPr>
      </w:pPr>
    </w:p>
    <w:bookmarkStart w:id="66" w:name="page67"/>
    <w:bookmarkEnd w:id="66"/>
    <w:p>
      <w:pPr>
        <w:jc w:val="right"/>
        <w:spacing w:after="0"/>
        <w:rPr>
          <w:sz w:val="20"/>
          <w:szCs w:val="20"/>
          <w:color w:val="auto"/>
        </w:rPr>
      </w:pPr>
      <w:r>
        <w:rPr>
          <w:rFonts w:ascii="Arial" w:cs="Arial" w:eastAsia="Arial" w:hAnsi="Arial"/>
          <w:sz w:val="13"/>
          <w:szCs w:val="13"/>
          <w:b w:val="1"/>
          <w:bCs w:val="1"/>
          <w:color w:val="auto"/>
        </w:rPr>
        <w:t>Exhibit 23.1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Consent of Independent Registered Public Accounting Firm</w:t>
      </w:r>
    </w:p>
    <w:p>
      <w:pPr>
        <w:spacing w:after="0" w:line="88" w:lineRule="exact"/>
        <w:rPr>
          <w:sz w:val="20"/>
          <w:szCs w:val="20"/>
          <w:color w:val="auto"/>
        </w:rPr>
      </w:pPr>
    </w:p>
    <w:p>
      <w:pPr>
        <w:jc w:val="both"/>
        <w:ind w:right="20"/>
        <w:spacing w:after="0" w:line="266" w:lineRule="auto"/>
        <w:rPr>
          <w:sz w:val="20"/>
          <w:szCs w:val="20"/>
          <w:color w:val="auto"/>
        </w:rPr>
      </w:pPr>
      <w:r>
        <w:rPr>
          <w:rFonts w:ascii="Arial" w:cs="Arial" w:eastAsia="Arial" w:hAnsi="Arial"/>
          <w:sz w:val="13"/>
          <w:szCs w:val="13"/>
          <w:color w:val="auto"/>
        </w:rPr>
        <w:t>We consent to the incorporation by reference in the Registration Statement (Form S-8 No. 333-136088) pertaining to the 2006 Equity Incentive Plan of Synchronoss Technologies, Inc. of our reports dated February 22, 2008, with respect to the consolidated financial statements and schedule of Synchronoss Technologies, Inc., and the effectiveness of internal control over financial reporting of Synchronoss Technologies, Inc. included in this Annual Report (Form 10-K) for the year ended December 31, 2007.</w:t>
      </w:r>
    </w:p>
    <w:p>
      <w:pPr>
        <w:spacing w:after="0" w:line="294"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/s/ Ernst &amp; Young LLP</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3"/>
          <w:szCs w:val="13"/>
          <w:color w:val="auto"/>
        </w:rPr>
        <w:t>MetroPark, New Jersey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February 27, 2008</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1460"/>
          </w:cols>
          <w:pgMar w:left="220" w:top="720" w:right="219" w:bottom="1440" w:gutter="0" w:footer="0" w:header="0"/>
        </w:sectPr>
      </w:pPr>
    </w:p>
    <w:bookmarkStart w:id="67" w:name="page68"/>
    <w:bookmarkEnd w:id="67"/>
    <w:p>
      <w:pPr>
        <w:jc w:val="right"/>
        <w:spacing w:after="0"/>
        <w:rPr>
          <w:sz w:val="20"/>
          <w:szCs w:val="20"/>
          <w:color w:val="auto"/>
        </w:rPr>
      </w:pPr>
      <w:r>
        <w:rPr>
          <w:rFonts w:ascii="Arial" w:cs="Arial" w:eastAsia="Arial" w:hAnsi="Arial"/>
          <w:sz w:val="13"/>
          <w:szCs w:val="13"/>
          <w:b w:val="1"/>
          <w:bCs w:val="1"/>
          <w:color w:val="auto"/>
        </w:rPr>
        <w:t>Exhibit 31.1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81" w:lineRule="exact"/>
        <w:rPr>
          <w:sz w:val="20"/>
          <w:szCs w:val="20"/>
          <w:color w:val="auto"/>
        </w:rPr>
      </w:pPr>
    </w:p>
    <w:p>
      <w:pPr>
        <w:ind w:left="1"/>
        <w:spacing w:after="0"/>
        <w:rPr>
          <w:sz w:val="20"/>
          <w:szCs w:val="20"/>
          <w:color w:val="auto"/>
        </w:rPr>
      </w:pPr>
      <w:r>
        <w:rPr>
          <w:rFonts w:ascii="Arial" w:cs="Arial" w:eastAsia="Arial" w:hAnsi="Arial"/>
          <w:sz w:val="13"/>
          <w:szCs w:val="13"/>
          <w:color w:val="auto"/>
        </w:rPr>
        <w:t>I, Stephen G. Waldis, certify that:</w:t>
      </w:r>
    </w:p>
    <w:p>
      <w:pPr>
        <w:spacing w:after="0" w:line="88" w:lineRule="exact"/>
        <w:rPr>
          <w:sz w:val="20"/>
          <w:szCs w:val="20"/>
          <w:color w:val="auto"/>
        </w:rPr>
      </w:pPr>
    </w:p>
    <w:p>
      <w:pPr>
        <w:ind w:left="141" w:hanging="141"/>
        <w:spacing w:after="0"/>
        <w:tabs>
          <w:tab w:leader="none" w:pos="141" w:val="left"/>
        </w:tabs>
        <w:numPr>
          <w:ilvl w:val="0"/>
          <w:numId w:val="34"/>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Synchronoss Technologies, Inc. for the year ended December 31, 2007;</w:t>
      </w:r>
    </w:p>
    <w:p>
      <w:pPr>
        <w:spacing w:after="0" w:line="87" w:lineRule="exact"/>
        <w:rPr>
          <w:rFonts w:ascii="Arial" w:cs="Arial" w:eastAsia="Arial" w:hAnsi="Arial"/>
          <w:sz w:val="13"/>
          <w:szCs w:val="13"/>
          <w:color w:val="auto"/>
        </w:rPr>
      </w:pPr>
    </w:p>
    <w:p>
      <w:pPr>
        <w:ind w:left="1" w:right="240" w:hanging="1"/>
        <w:spacing w:after="0" w:line="279" w:lineRule="auto"/>
        <w:tabs>
          <w:tab w:leader="none" w:pos="132" w:val="left"/>
        </w:tabs>
        <w:numPr>
          <w:ilvl w:val="0"/>
          <w:numId w:val="34"/>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3"/>
          <w:szCs w:val="13"/>
          <w:color w:val="auto"/>
        </w:rPr>
      </w:pPr>
    </w:p>
    <w:p>
      <w:pPr>
        <w:ind w:left="1" w:right="320" w:hanging="1"/>
        <w:spacing w:after="0" w:line="279" w:lineRule="auto"/>
        <w:tabs>
          <w:tab w:leader="none" w:pos="132" w:val="left"/>
        </w:tabs>
        <w:numPr>
          <w:ilvl w:val="0"/>
          <w:numId w:val="3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3"/>
          <w:szCs w:val="13"/>
          <w:color w:val="auto"/>
        </w:rPr>
      </w:pPr>
    </w:p>
    <w:p>
      <w:pPr>
        <w:ind w:left="1" w:hanging="1"/>
        <w:spacing w:after="0" w:line="279" w:lineRule="auto"/>
        <w:tabs>
          <w:tab w:leader="none" w:pos="132"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sz w:val="20"/>
          <w:szCs w:val="20"/>
          <w:color w:val="auto"/>
        </w:rPr>
      </w:pPr>
    </w:p>
    <w:p>
      <w:pPr>
        <w:ind w:left="1" w:right="60" w:hanging="1"/>
        <w:spacing w:after="0" w:line="279" w:lineRule="auto"/>
        <w:tabs>
          <w:tab w:leader="none" w:pos="1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3"/>
          <w:szCs w:val="13"/>
          <w:color w:val="auto"/>
        </w:rPr>
      </w:pPr>
    </w:p>
    <w:p>
      <w:pPr>
        <w:ind w:left="1" w:right="280" w:hanging="1"/>
        <w:spacing w:after="0" w:line="279" w:lineRule="auto"/>
        <w:tabs>
          <w:tab w:leader="none" w:pos="187" w:val="left"/>
        </w:tabs>
        <w:numPr>
          <w:ilvl w:val="0"/>
          <w:numId w:val="3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3"/>
          <w:szCs w:val="13"/>
          <w:color w:val="auto"/>
        </w:rPr>
      </w:pPr>
    </w:p>
    <w:p>
      <w:pPr>
        <w:ind w:left="1" w:right="200" w:hanging="1"/>
        <w:spacing w:after="0" w:line="279" w:lineRule="auto"/>
        <w:tabs>
          <w:tab w:leader="none" w:pos="1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3"/>
          <w:szCs w:val="13"/>
          <w:color w:val="auto"/>
        </w:rPr>
      </w:pPr>
    </w:p>
    <w:p>
      <w:pPr>
        <w:ind w:left="1" w:right="240" w:hanging="1"/>
        <w:spacing w:after="0" w:line="279" w:lineRule="auto"/>
        <w:tabs>
          <w:tab w:leader="none" w:pos="187" w:val="left"/>
        </w:tabs>
        <w:numPr>
          <w:ilvl w:val="0"/>
          <w:numId w:val="3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sz w:val="20"/>
          <w:szCs w:val="20"/>
          <w:color w:val="auto"/>
        </w:rPr>
      </w:pPr>
    </w:p>
    <w:p>
      <w:pPr>
        <w:ind w:left="1" w:right="240" w:hanging="1"/>
        <w:spacing w:after="0" w:line="279" w:lineRule="auto"/>
        <w:tabs>
          <w:tab w:leader="none" w:pos="132"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sz w:val="20"/>
          <w:szCs w:val="20"/>
          <w:color w:val="auto"/>
        </w:rPr>
      </w:pPr>
    </w:p>
    <w:p>
      <w:pPr>
        <w:ind w:left="1" w:right="220" w:hanging="1"/>
        <w:spacing w:after="0" w:line="279" w:lineRule="auto"/>
        <w:tabs>
          <w:tab w:leader="none" w:pos="173" w:val="left"/>
        </w:tabs>
        <w:numPr>
          <w:ilvl w:val="0"/>
          <w:numId w:val="3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3"/>
          <w:szCs w:val="13"/>
          <w:color w:val="auto"/>
        </w:rPr>
      </w:pPr>
    </w:p>
    <w:p>
      <w:pPr>
        <w:ind w:left="181" w:hanging="181"/>
        <w:spacing w:after="0"/>
        <w:tabs>
          <w:tab w:leader="none" w:pos="181" w:val="left"/>
        </w:tabs>
        <w:numPr>
          <w:ilvl w:val="0"/>
          <w:numId w:val="3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5"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Dated: February 29, 2008</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3"/>
          <w:szCs w:val="13"/>
          <w:color w:val="auto"/>
        </w:rPr>
        <w:t>/s/ Stephen G. Waldis</w:t>
      </w:r>
    </w:p>
    <w:p>
      <w:pPr>
        <w:spacing w:after="0" w:line="16" w:lineRule="exact"/>
        <w:rPr>
          <w:sz w:val="20"/>
          <w:szCs w:val="20"/>
          <w:color w:val="auto"/>
        </w:rPr>
      </w:pPr>
    </w:p>
    <w:p>
      <w:pPr>
        <w:ind w:left="1"/>
        <w:spacing w:after="0"/>
        <w:rPr>
          <w:sz w:val="20"/>
          <w:szCs w:val="20"/>
          <w:color w:val="auto"/>
        </w:rPr>
      </w:pPr>
      <w:r>
        <w:rPr>
          <w:rFonts w:ascii="Arial" w:cs="Arial" w:eastAsia="Arial" w:hAnsi="Arial"/>
          <w:sz w:val="13"/>
          <w:szCs w:val="13"/>
          <w:color w:val="auto"/>
        </w:rPr>
        <w:t>Stephen G. Waldis</w:t>
      </w:r>
    </w:p>
    <w:p>
      <w:pPr>
        <w:spacing w:after="0" w:line="9" w:lineRule="exact"/>
        <w:rPr>
          <w:sz w:val="20"/>
          <w:szCs w:val="20"/>
          <w:color w:val="auto"/>
        </w:rPr>
      </w:pPr>
    </w:p>
    <w:p>
      <w:pPr>
        <w:ind w:left="1"/>
        <w:spacing w:after="0"/>
        <w:rPr>
          <w:sz w:val="20"/>
          <w:szCs w:val="20"/>
          <w:color w:val="auto"/>
        </w:rPr>
      </w:pPr>
      <w:r>
        <w:rPr>
          <w:rFonts w:ascii="Arial" w:cs="Arial" w:eastAsia="Arial" w:hAnsi="Arial"/>
          <w:sz w:val="13"/>
          <w:szCs w:val="13"/>
          <w:color w:val="auto"/>
        </w:rPr>
        <w:t>Chief Executive Officer and President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11461"/>
          </w:cols>
          <w:pgMar w:left="219" w:top="720" w:right="219" w:bottom="1440" w:gutter="0" w:footer="0" w:header="0"/>
        </w:sectPr>
      </w:pPr>
    </w:p>
    <w:bookmarkStart w:id="68" w:name="page69"/>
    <w:bookmarkEnd w:id="68"/>
    <w:p>
      <w:pPr>
        <w:jc w:val="right"/>
        <w:spacing w:after="0"/>
        <w:rPr>
          <w:sz w:val="20"/>
          <w:szCs w:val="20"/>
          <w:color w:val="auto"/>
        </w:rPr>
      </w:pPr>
      <w:r>
        <w:rPr>
          <w:rFonts w:ascii="Arial" w:cs="Arial" w:eastAsia="Arial" w:hAnsi="Arial"/>
          <w:sz w:val="13"/>
          <w:szCs w:val="13"/>
          <w:b w:val="1"/>
          <w:bCs w:val="1"/>
          <w:color w:val="auto"/>
        </w:rPr>
        <w:t>Exhibit 31.2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9" w:lineRule="exact"/>
        <w:rPr>
          <w:sz w:val="20"/>
          <w:szCs w:val="20"/>
          <w:color w:val="auto"/>
        </w:rPr>
      </w:pPr>
    </w:p>
    <w:p>
      <w:pPr>
        <w:ind w:left="1"/>
        <w:spacing w:after="0"/>
        <w:rPr>
          <w:sz w:val="20"/>
          <w:szCs w:val="20"/>
          <w:color w:val="auto"/>
        </w:rPr>
      </w:pPr>
      <w:r>
        <w:rPr>
          <w:rFonts w:ascii="Arial" w:cs="Arial" w:eastAsia="Arial" w:hAnsi="Arial"/>
          <w:sz w:val="13"/>
          <w:szCs w:val="13"/>
          <w:color w:val="auto"/>
        </w:rPr>
        <w:t>I, Lawrence R. Irving, certify that:</w:t>
      </w:r>
    </w:p>
    <w:p>
      <w:pPr>
        <w:spacing w:after="0" w:line="9" w:lineRule="exact"/>
        <w:rPr>
          <w:sz w:val="20"/>
          <w:szCs w:val="20"/>
          <w:color w:val="auto"/>
        </w:rPr>
      </w:pPr>
    </w:p>
    <w:p>
      <w:pPr>
        <w:ind w:left="141" w:hanging="141"/>
        <w:spacing w:after="0"/>
        <w:tabs>
          <w:tab w:leader="none" w:pos="141" w:val="left"/>
        </w:tabs>
        <w:numPr>
          <w:ilvl w:val="0"/>
          <w:numId w:val="38"/>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Synchronoss Technologies, Inc.;</w:t>
      </w:r>
    </w:p>
    <w:p>
      <w:pPr>
        <w:spacing w:after="0" w:line="8" w:lineRule="exact"/>
        <w:rPr>
          <w:rFonts w:ascii="Arial" w:cs="Arial" w:eastAsia="Arial" w:hAnsi="Arial"/>
          <w:sz w:val="13"/>
          <w:szCs w:val="13"/>
          <w:color w:val="auto"/>
        </w:rPr>
      </w:pPr>
    </w:p>
    <w:p>
      <w:pPr>
        <w:ind w:left="1" w:right="240" w:hanging="1"/>
        <w:spacing w:after="0" w:line="253" w:lineRule="auto"/>
        <w:tabs>
          <w:tab w:leader="none" w:pos="132" w:val="left"/>
        </w:tabs>
        <w:numPr>
          <w:ilvl w:val="0"/>
          <w:numId w:val="3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3"/>
          <w:szCs w:val="13"/>
          <w:color w:val="auto"/>
        </w:rPr>
      </w:pPr>
    </w:p>
    <w:p>
      <w:pPr>
        <w:ind w:left="1" w:right="320" w:hanging="1"/>
        <w:spacing w:after="0" w:line="253" w:lineRule="auto"/>
        <w:tabs>
          <w:tab w:leader="none" w:pos="132" w:val="left"/>
        </w:tabs>
        <w:numPr>
          <w:ilvl w:val="0"/>
          <w:numId w:val="3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3"/>
          <w:szCs w:val="13"/>
          <w:color w:val="auto"/>
        </w:rPr>
      </w:pPr>
    </w:p>
    <w:p>
      <w:pPr>
        <w:ind w:left="1" w:hanging="1"/>
        <w:spacing w:after="0" w:line="253" w:lineRule="auto"/>
        <w:tabs>
          <w:tab w:leader="none" w:pos="13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3"/>
          <w:szCs w:val="13"/>
          <w:color w:val="auto"/>
        </w:rPr>
      </w:pPr>
    </w:p>
    <w:p>
      <w:pPr>
        <w:ind w:left="1" w:right="60"/>
        <w:spacing w:after="0" w:line="253" w:lineRule="auto"/>
        <w:rPr>
          <w:rFonts w:ascii="Arial" w:cs="Arial" w:eastAsia="Arial" w:hAnsi="Arial"/>
          <w:sz w:val="13"/>
          <w:szCs w:val="13"/>
          <w:color w:val="auto"/>
        </w:rPr>
      </w:pPr>
      <w:r>
        <w:rPr>
          <w:rFonts w:ascii="Arial" w:cs="Arial" w:eastAsia="Arial" w:hAnsi="Arial"/>
          <w:sz w:val="13"/>
          <w:szCs w:val="13"/>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3"/>
          <w:szCs w:val="13"/>
          <w:color w:val="auto"/>
        </w:rPr>
      </w:pPr>
    </w:p>
    <w:p>
      <w:pPr>
        <w:ind w:left="1" w:right="280"/>
        <w:spacing w:after="0" w:line="253" w:lineRule="auto"/>
        <w:rPr>
          <w:rFonts w:ascii="Arial" w:cs="Arial" w:eastAsia="Arial" w:hAnsi="Arial"/>
          <w:sz w:val="13"/>
          <w:szCs w:val="13"/>
          <w:color w:val="auto"/>
        </w:rPr>
      </w:pPr>
      <w:r>
        <w:rPr>
          <w:rFonts w:ascii="Arial" w:cs="Arial" w:eastAsia="Arial" w:hAnsi="Arial"/>
          <w:sz w:val="13"/>
          <w:szCs w:val="13"/>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3"/>
          <w:szCs w:val="13"/>
          <w:color w:val="auto"/>
        </w:rPr>
      </w:pPr>
    </w:p>
    <w:p>
      <w:pPr>
        <w:ind w:left="1" w:right="200"/>
        <w:spacing w:after="0" w:line="253" w:lineRule="auto"/>
        <w:rPr>
          <w:rFonts w:ascii="Arial" w:cs="Arial" w:eastAsia="Arial" w:hAnsi="Arial"/>
          <w:sz w:val="13"/>
          <w:szCs w:val="13"/>
          <w:color w:val="auto"/>
        </w:rPr>
      </w:pPr>
      <w:r>
        <w:rPr>
          <w:rFonts w:ascii="Arial" w:cs="Arial" w:eastAsia="Arial" w:hAnsi="Arial"/>
          <w:sz w:val="13"/>
          <w:szCs w:val="13"/>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3"/>
          <w:szCs w:val="13"/>
          <w:color w:val="auto"/>
        </w:rPr>
      </w:pPr>
    </w:p>
    <w:p>
      <w:pPr>
        <w:ind w:left="1" w:right="240"/>
        <w:spacing w:after="0" w:line="253" w:lineRule="auto"/>
        <w:rPr>
          <w:rFonts w:ascii="Arial" w:cs="Arial" w:eastAsia="Arial" w:hAnsi="Arial"/>
          <w:sz w:val="13"/>
          <w:szCs w:val="13"/>
          <w:color w:val="auto"/>
        </w:rPr>
      </w:pPr>
      <w:r>
        <w:rPr>
          <w:rFonts w:ascii="Arial" w:cs="Arial" w:eastAsia="Arial" w:hAnsi="Arial"/>
          <w:sz w:val="13"/>
          <w:szCs w:val="13"/>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3"/>
          <w:szCs w:val="13"/>
          <w:color w:val="auto"/>
        </w:rPr>
      </w:pPr>
    </w:p>
    <w:p>
      <w:pPr>
        <w:ind w:left="1" w:right="240" w:hanging="1"/>
        <w:spacing w:after="0" w:line="253" w:lineRule="auto"/>
        <w:tabs>
          <w:tab w:leader="none" w:pos="13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3"/>
          <w:szCs w:val="13"/>
          <w:color w:val="auto"/>
        </w:rPr>
      </w:pPr>
    </w:p>
    <w:p>
      <w:pPr>
        <w:ind w:left="1" w:right="220"/>
        <w:spacing w:after="0" w:line="253" w:lineRule="auto"/>
        <w:rPr>
          <w:rFonts w:ascii="Arial" w:cs="Arial" w:eastAsia="Arial" w:hAnsi="Arial"/>
          <w:sz w:val="13"/>
          <w:szCs w:val="13"/>
          <w:color w:val="auto"/>
        </w:rPr>
      </w:pPr>
      <w:r>
        <w:rPr>
          <w:rFonts w:ascii="Arial" w:cs="Arial" w:eastAsia="Arial" w:hAnsi="Arial"/>
          <w:sz w:val="13"/>
          <w:szCs w:val="13"/>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3"/>
          <w:szCs w:val="13"/>
          <w:color w:val="auto"/>
        </w:rPr>
      </w:pPr>
    </w:p>
    <w:p>
      <w:pPr>
        <w:ind w:left="1"/>
        <w:spacing w:after="0"/>
        <w:rPr>
          <w:rFonts w:ascii="Arial" w:cs="Arial" w:eastAsia="Arial" w:hAnsi="Arial"/>
          <w:sz w:val="13"/>
          <w:szCs w:val="13"/>
          <w:color w:val="auto"/>
        </w:rPr>
      </w:pPr>
      <w:r>
        <w:rPr>
          <w:rFonts w:ascii="Arial" w:cs="Arial" w:eastAsia="Arial" w:hAnsi="Arial"/>
          <w:sz w:val="13"/>
          <w:szCs w:val="13"/>
          <w:color w:val="auto"/>
        </w:rPr>
        <w:t>(b) Any fraud, whether or not material, that involves management or other employees who have a significant role in the registrant’s internal control over financial reporting.</w:t>
      </w:r>
    </w:p>
    <w:p>
      <w:pPr>
        <w:spacing w:after="0" w:line="318"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Dated: February 29, 2008</w:t>
      </w:r>
    </w:p>
    <w:p>
      <w:pPr>
        <w:spacing w:after="0" w:line="167" w:lineRule="exact"/>
        <w:rPr>
          <w:sz w:val="20"/>
          <w:szCs w:val="20"/>
          <w:color w:val="auto"/>
        </w:rPr>
      </w:pPr>
    </w:p>
    <w:p>
      <w:pPr>
        <w:jc w:val="center"/>
        <w:ind w:right="10279"/>
        <w:spacing w:after="0"/>
        <w:rPr>
          <w:sz w:val="20"/>
          <w:szCs w:val="20"/>
          <w:color w:val="auto"/>
        </w:rPr>
      </w:pPr>
      <w:r>
        <w:rPr>
          <w:rFonts w:ascii="Arial" w:cs="Arial" w:eastAsia="Arial" w:hAnsi="Arial"/>
          <w:sz w:val="12"/>
          <w:szCs w:val="12"/>
          <w:color w:val="auto"/>
        </w:rPr>
        <w:t>/s/ Lawrence R. Irving</w:t>
      </w:r>
    </w:p>
    <w:p>
      <w:pPr>
        <w:spacing w:after="0" w:line="27" w:lineRule="exact"/>
        <w:rPr>
          <w:sz w:val="20"/>
          <w:szCs w:val="20"/>
          <w:color w:val="auto"/>
        </w:rPr>
      </w:pPr>
    </w:p>
    <w:p>
      <w:pPr>
        <w:jc w:val="center"/>
        <w:ind w:right="10239"/>
        <w:spacing w:after="0"/>
        <w:rPr>
          <w:sz w:val="20"/>
          <w:szCs w:val="20"/>
          <w:color w:val="auto"/>
        </w:rPr>
      </w:pPr>
      <w:r>
        <w:rPr>
          <w:rFonts w:ascii="Arial" w:cs="Arial" w:eastAsia="Arial" w:hAnsi="Arial"/>
          <w:sz w:val="13"/>
          <w:szCs w:val="13"/>
          <w:color w:val="auto"/>
        </w:rPr>
        <w:t>Lawrence R. Irving</w:t>
      </w:r>
    </w:p>
    <w:p>
      <w:pPr>
        <w:spacing w:after="0" w:line="9" w:lineRule="exact"/>
        <w:rPr>
          <w:sz w:val="20"/>
          <w:szCs w:val="20"/>
          <w:color w:val="auto"/>
        </w:rPr>
      </w:pPr>
    </w:p>
    <w:p>
      <w:pPr>
        <w:jc w:val="center"/>
        <w:ind w:right="10239"/>
        <w:spacing w:after="0"/>
        <w:rPr>
          <w:sz w:val="20"/>
          <w:szCs w:val="20"/>
          <w:color w:val="auto"/>
        </w:rPr>
      </w:pPr>
      <w:r>
        <w:rPr>
          <w:rFonts w:ascii="Arial" w:cs="Arial" w:eastAsia="Arial" w:hAnsi="Arial"/>
          <w:sz w:val="12"/>
          <w:szCs w:val="12"/>
          <w:color w:val="auto"/>
        </w:rPr>
        <w:t>Chief Financial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ectPr>
          <w:pgSz w:w="11900" w:h="16838" w:orient="portrait"/>
          <w:cols w:equalWidth="0" w:num="1">
            <w:col w:w="11461"/>
          </w:cols>
          <w:pgMar w:left="219" w:top="720" w:right="219" w:bottom="1440" w:gutter="0" w:footer="0" w:header="0"/>
        </w:sectPr>
      </w:pPr>
    </w:p>
    <w:bookmarkStart w:id="69" w:name="page70"/>
    <w:bookmarkEnd w:id="69"/>
    <w:p>
      <w:pPr>
        <w:jc w:val="right"/>
        <w:spacing w:after="0"/>
        <w:rPr>
          <w:sz w:val="20"/>
          <w:szCs w:val="20"/>
          <w:color w:val="auto"/>
        </w:rPr>
      </w:pPr>
      <w:r>
        <w:rPr>
          <w:rFonts w:ascii="Arial" w:cs="Arial" w:eastAsia="Arial" w:hAnsi="Arial"/>
          <w:sz w:val="13"/>
          <w:szCs w:val="13"/>
          <w:b w:val="1"/>
          <w:bCs w:val="1"/>
          <w:color w:val="auto"/>
        </w:rPr>
        <w:t>Exhibit 32.1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1" w:lineRule="exact"/>
        <w:rPr>
          <w:sz w:val="20"/>
          <w:szCs w:val="20"/>
          <w:color w:val="auto"/>
        </w:rPr>
      </w:pPr>
    </w:p>
    <w:p>
      <w:pPr>
        <w:ind w:right="200"/>
        <w:spacing w:after="0" w:line="281" w:lineRule="auto"/>
        <w:rPr>
          <w:sz w:val="20"/>
          <w:szCs w:val="20"/>
          <w:color w:val="auto"/>
        </w:rPr>
      </w:pPr>
      <w:r>
        <w:rPr>
          <w:rFonts w:ascii="Arial" w:cs="Arial" w:eastAsia="Arial" w:hAnsi="Arial"/>
          <w:sz w:val="12"/>
          <w:szCs w:val="12"/>
          <w:color w:val="auto"/>
        </w:rPr>
        <w:t>In connection with the Annual Report of Synchronoss Technologies Inc. (the “Company”) on Form 10-K for the period ending December 31, 2007 as filed with the Securities and Exchange Commission on the date hereof (the “Report”), I, Steve Waldis, Chief Executive Officer of the Company, certify, pursuant to 18 U.S.C. § 1350, as adopted pursuant to § 906 of the Sarbanes-Oxley Act of 2002, that:</w:t>
      </w:r>
    </w:p>
    <w:p>
      <w:pPr>
        <w:spacing w:after="0" w:line="1" w:lineRule="exact"/>
        <w:rPr>
          <w:sz w:val="20"/>
          <w:szCs w:val="20"/>
          <w:color w:val="auto"/>
        </w:rPr>
      </w:pPr>
    </w:p>
    <w:p>
      <w:pPr>
        <w:ind w:left="520" w:hanging="191"/>
        <w:spacing w:after="0"/>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 w:lineRule="exact"/>
        <w:rPr>
          <w:rFonts w:ascii="Arial" w:cs="Arial" w:eastAsia="Arial" w:hAnsi="Arial"/>
          <w:sz w:val="13"/>
          <w:szCs w:val="13"/>
          <w:color w:val="auto"/>
        </w:rPr>
      </w:pPr>
    </w:p>
    <w:p>
      <w:pPr>
        <w:ind w:left="520" w:hanging="191"/>
        <w:spacing w:after="0"/>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 of operations of the Company.</w:t>
      </w: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auto"/>
        </w:rPr>
        <w:t>/s/ Stephen G. Waldis</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Stephen G. Waldis</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February 29, 2008</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ectPr>
          <w:pgSz w:w="11900" w:h="16838" w:orient="portrait"/>
          <w:cols w:equalWidth="0" w:num="1">
            <w:col w:w="11460"/>
          </w:cols>
          <w:pgMar w:left="220" w:top="1036" w:right="219" w:bottom="1440" w:gutter="0" w:footer="0" w:header="0"/>
        </w:sectPr>
      </w:pPr>
    </w:p>
    <w:bookmarkStart w:id="70" w:name="page71"/>
    <w:bookmarkEnd w:id="70"/>
    <w:p>
      <w:pPr>
        <w:jc w:val="right"/>
        <w:spacing w:after="0"/>
        <w:rPr>
          <w:sz w:val="20"/>
          <w:szCs w:val="20"/>
          <w:color w:val="auto"/>
        </w:rPr>
      </w:pPr>
      <w:r>
        <w:rPr>
          <w:rFonts w:ascii="Arial" w:cs="Arial" w:eastAsia="Arial" w:hAnsi="Arial"/>
          <w:sz w:val="13"/>
          <w:szCs w:val="13"/>
          <w:b w:val="1"/>
          <w:bCs w:val="1"/>
          <w:color w:val="auto"/>
        </w:rPr>
        <w:t>Exhibit 32.2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1" w:lineRule="exact"/>
        <w:rPr>
          <w:sz w:val="20"/>
          <w:szCs w:val="20"/>
          <w:color w:val="auto"/>
        </w:rPr>
      </w:pPr>
    </w:p>
    <w:p>
      <w:pPr>
        <w:ind w:right="160"/>
        <w:spacing w:after="0" w:line="281" w:lineRule="auto"/>
        <w:rPr>
          <w:sz w:val="20"/>
          <w:szCs w:val="20"/>
          <w:color w:val="auto"/>
        </w:rPr>
      </w:pPr>
      <w:r>
        <w:rPr>
          <w:rFonts w:ascii="Arial" w:cs="Arial" w:eastAsia="Arial" w:hAnsi="Arial"/>
          <w:sz w:val="12"/>
          <w:szCs w:val="12"/>
          <w:color w:val="auto"/>
        </w:rPr>
        <w:t>In connection with the Annual Report of Synchronoss Technologies, Inc. (the “Company”) on Form 10-K for the period ending December 31, 2007 as filed with the Securities and Exchange Commission on the date hereof (the “Report”), I, Lawrence Irving, Chief Financial Officer of the Company, certify, pursuant to 18 U.S.C. § 1350, as adopted pursuant to § 906 of the Sarbanes-Oxley Act of 2002, that:</w:t>
      </w:r>
    </w:p>
    <w:p>
      <w:pPr>
        <w:spacing w:after="0" w:line="1" w:lineRule="exact"/>
        <w:rPr>
          <w:sz w:val="20"/>
          <w:szCs w:val="20"/>
          <w:color w:val="auto"/>
        </w:rPr>
      </w:pPr>
    </w:p>
    <w:p>
      <w:pPr>
        <w:ind w:left="520" w:hanging="191"/>
        <w:spacing w:after="0"/>
        <w:tabs>
          <w:tab w:leader="none" w:pos="5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 w:lineRule="exact"/>
        <w:rPr>
          <w:rFonts w:ascii="Arial" w:cs="Arial" w:eastAsia="Arial" w:hAnsi="Arial"/>
          <w:sz w:val="13"/>
          <w:szCs w:val="13"/>
          <w:color w:val="auto"/>
        </w:rPr>
      </w:pPr>
    </w:p>
    <w:p>
      <w:pPr>
        <w:ind w:left="520" w:hanging="191"/>
        <w:spacing w:after="0"/>
        <w:tabs>
          <w:tab w:leader="none" w:pos="5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 of operations of the Company.</w:t>
      </w:r>
    </w:p>
    <w:p>
      <w:pPr>
        <w:spacing w:after="0" w:line="318" w:lineRule="exact"/>
        <w:rPr>
          <w:sz w:val="20"/>
          <w:szCs w:val="20"/>
          <w:color w:val="auto"/>
        </w:rPr>
      </w:pPr>
    </w:p>
    <w:p>
      <w:pPr>
        <w:jc w:val="center"/>
        <w:ind w:right="10280"/>
        <w:spacing w:after="0"/>
        <w:rPr>
          <w:sz w:val="20"/>
          <w:szCs w:val="20"/>
          <w:color w:val="auto"/>
        </w:rPr>
      </w:pPr>
      <w:r>
        <w:rPr>
          <w:rFonts w:ascii="Arial" w:cs="Arial" w:eastAsia="Arial" w:hAnsi="Arial"/>
          <w:sz w:val="12"/>
          <w:szCs w:val="12"/>
          <w:color w:val="auto"/>
        </w:rPr>
        <w:t>/s/ Lawrence R. Irving</w:t>
      </w:r>
    </w:p>
    <w:p>
      <w:pPr>
        <w:spacing w:after="0" w:line="27" w:lineRule="exact"/>
        <w:rPr>
          <w:sz w:val="20"/>
          <w:szCs w:val="20"/>
          <w:color w:val="auto"/>
        </w:rPr>
      </w:pPr>
    </w:p>
    <w:p>
      <w:pPr>
        <w:jc w:val="center"/>
        <w:ind w:right="10240"/>
        <w:spacing w:after="0"/>
        <w:rPr>
          <w:sz w:val="20"/>
          <w:szCs w:val="20"/>
          <w:color w:val="auto"/>
        </w:rPr>
      </w:pPr>
      <w:r>
        <w:rPr>
          <w:rFonts w:ascii="Arial" w:cs="Arial" w:eastAsia="Arial" w:hAnsi="Arial"/>
          <w:sz w:val="13"/>
          <w:szCs w:val="13"/>
          <w:color w:val="auto"/>
        </w:rPr>
        <w:t>Lawrence R. Irving</w:t>
      </w:r>
    </w:p>
    <w:p>
      <w:pPr>
        <w:spacing w:after="0" w:line="9" w:lineRule="exact"/>
        <w:rPr>
          <w:sz w:val="20"/>
          <w:szCs w:val="20"/>
          <w:color w:val="auto"/>
        </w:rPr>
      </w:pPr>
    </w:p>
    <w:p>
      <w:pPr>
        <w:jc w:val="center"/>
        <w:ind w:right="10240"/>
        <w:spacing w:after="0"/>
        <w:rPr>
          <w:sz w:val="20"/>
          <w:szCs w:val="20"/>
          <w:color w:val="auto"/>
        </w:rPr>
      </w:pPr>
      <w:r>
        <w:rPr>
          <w:rFonts w:ascii="Arial" w:cs="Arial" w:eastAsia="Arial" w:hAnsi="Arial"/>
          <w:sz w:val="12"/>
          <w:szCs w:val="12"/>
          <w:color w:val="auto"/>
        </w:rPr>
        <w:t>Chief Financial Officer</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February 29, 2008</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sectPr>
      <w:pgSz w:w="11900" w:h="16838" w:orient="portrait"/>
      <w:cols w:equalWidth="0" w:num="1">
        <w:col w:w="11460"/>
      </w:cols>
      <w:pgMar w:left="220" w:top="119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o"/>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2"/>
    </w:lvl>
  </w:abstractNum>
  <w:abstractNum w:abstractNumId="16">
    <w:nsid w:val="836C40E"/>
    <w:multiLevelType w:val="hybridMultilevel"/>
    <w:lvl w:ilvl="0">
      <w:lvlJc w:val="left"/>
      <w:lvlText w:val="%1."/>
      <w:numFmt w:val="decimal"/>
      <w:start w:val="3"/>
    </w:lvl>
  </w:abstractNum>
  <w:abstractNum w:abstractNumId="17">
    <w:nsid w:val="2901D82"/>
    <w:multiLevelType w:val="hybridMultilevel"/>
    <w:lvl w:ilvl="0">
      <w:lvlJc w:val="left"/>
      <w:lvlText w:val="%1."/>
      <w:numFmt w:val="decimal"/>
      <w:start w:val="6"/>
    </w:lvl>
  </w:abstractNum>
  <w:abstractNum w:abstractNumId="18">
    <w:nsid w:val="3A95F874"/>
    <w:multiLevelType w:val="hybridMultilevel"/>
    <w:lvl w:ilvl="0">
      <w:lvlJc w:val="left"/>
      <w:lvlText w:val="%1."/>
      <w:numFmt w:val="decimal"/>
      <w:start w:val="7"/>
    </w:lvl>
  </w:abstractNum>
  <w:abstractNum w:abstractNumId="19">
    <w:nsid w:val="8138641"/>
    <w:multiLevelType w:val="hybridMultilevel"/>
    <w:lvl w:ilvl="0">
      <w:lvlJc w:val="left"/>
      <w:lvlText w:val="%1."/>
      <w:numFmt w:val="decimal"/>
      <w:start w:val="8"/>
    </w:lvl>
  </w:abstractNum>
  <w:abstractNum w:abstractNumId="20">
    <w:nsid w:val="1E7FF521"/>
    <w:multiLevelType w:val="hybridMultilevel"/>
    <w:lvl w:ilvl="0">
      <w:lvlJc w:val="left"/>
      <w:lvlText w:val="%1."/>
      <w:numFmt w:val="decimal"/>
      <w:start w:val="9"/>
    </w:lvl>
  </w:abstractNum>
  <w:abstractNum w:abstractNumId="21">
    <w:nsid w:val="7C3DBD3D"/>
    <w:multiLevelType w:val="hybridMultilevel"/>
    <w:lvl w:ilvl="0">
      <w:lvlJc w:val="left"/>
      <w:lvlText w:val="%1."/>
      <w:numFmt w:val="decimal"/>
      <w:start w:val="10"/>
    </w:lvl>
  </w:abstractNum>
  <w:abstractNum w:abstractNumId="22">
    <w:nsid w:val="737B8DDC"/>
    <w:multiLevelType w:val="hybridMultilevel"/>
    <w:lvl w:ilvl="0">
      <w:lvlJc w:val="left"/>
      <w:lvlText w:val="%1."/>
      <w:numFmt w:val="decimal"/>
      <w:start w:val="11"/>
    </w:lvl>
  </w:abstractNum>
  <w:abstractNum w:abstractNumId="23">
    <w:nsid w:val="6CEAF087"/>
    <w:multiLevelType w:val="hybridMultilevel"/>
    <w:lvl w:ilvl="0">
      <w:lvlJc w:val="left"/>
      <w:lvlText w:val="%1."/>
      <w:numFmt w:val="decimal"/>
      <w:start w:val="12"/>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decimal"/>
      <w:start w:val="5"/>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2019-12-11T15:51:32Z</dcterms:created>
  <dcterms:modified xsi:type="dcterms:W3CDTF">2019-12-11T15:51:32Z</dcterms:modified>
</cp:coreProperties>
</file>