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774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77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26" w:lineRule="exact"/>
        <w:rPr>
          <w:sz w:val="24"/>
          <w:szCs w:val="24"/>
          <w:color w:val="auto"/>
        </w:rPr>
      </w:pPr>
    </w:p>
    <w:p>
      <w:pPr>
        <w:ind w:left="1060" w:hanging="575"/>
        <w:spacing w:after="0"/>
        <w:tabs>
          <w:tab w:leader="none" w:pos="1060" w:val="left"/>
        </w:tabs>
        <w:numPr>
          <w:ilvl w:val="0"/>
          <w:numId w:val="1"/>
        </w:numPr>
        <w:rPr>
          <w:rFonts w:ascii="Arial" w:cs="Arial" w:eastAsia="Arial" w:hAnsi="Arial"/>
          <w:sz w:val="29"/>
          <w:szCs w:val="29"/>
          <w:color w:val="auto"/>
          <w:vertAlign w:val="subscript"/>
        </w:rPr>
      </w:pPr>
      <w:r>
        <w:rPr>
          <w:rFonts w:ascii="Arial" w:cs="Arial" w:eastAsia="Arial" w:hAnsi="Arial"/>
          <w:sz w:val="16"/>
          <w:szCs w:val="16"/>
          <w:b w:val="1"/>
          <w:bCs w:val="1"/>
          <w:color w:val="auto"/>
        </w:rPr>
        <w:t>QUARTERLY REPORT PURSUANT TO SECTION 13 OR 15(d) 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2019</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67" w:lineRule="exact"/>
        <w:rPr>
          <w:sz w:val="24"/>
          <w:szCs w:val="24"/>
          <w:color w:val="auto"/>
        </w:rPr>
      </w:pPr>
    </w:p>
    <w:p>
      <w:pPr>
        <w:ind w:left="1080" w:hanging="620"/>
        <w:spacing w:after="0"/>
        <w:tabs>
          <w:tab w:leader="none" w:pos="108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233" w:right="239" w:bottom="1440" w:gutter="0" w:footer="0" w:header="0"/>
        </w:sectPr>
      </w:pPr>
    </w:p>
    <w:p>
      <w:pPr>
        <w:spacing w:after="0" w:line="235" w:lineRule="exact"/>
        <w:rPr>
          <w:sz w:val="24"/>
          <w:szCs w:val="24"/>
          <w:color w:val="auto"/>
        </w:rPr>
      </w:pPr>
    </w:p>
    <w:p>
      <w:pPr>
        <w:ind w:left="4400"/>
        <w:spacing w:after="0"/>
        <w:tabs>
          <w:tab w:leader="none" w:pos="68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ectPr>
          <w:pgSz w:w="11900" w:h="16838" w:orient="portrait"/>
          <w:cols w:equalWidth="0" w:num="1">
            <w:col w:w="11420"/>
          </w:cols>
          <w:pgMar w:left="240" w:top="233" w:right="239" w:bottom="1440" w:gutter="0" w:footer="0" w:header="0"/>
          <w:type w:val="continuous"/>
        </w:sectPr>
      </w:pP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420"/>
          </w:cols>
          <w:pgMar w:left="240" w:top="233" w:right="239" w:bottom="1440" w:gutter="0" w:footer="0" w:header="0"/>
          <w:type w:val="continuous"/>
        </w:sect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SYNCHRONOSS TECHNOLOGIES,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49" w:lineRule="exact"/>
        <w:rPr>
          <w:sz w:val="24"/>
          <w:szCs w:val="24"/>
          <w:color w:val="auto"/>
        </w:rPr>
      </w:pPr>
    </w:p>
    <w:tbl>
      <w:tblPr>
        <w:tblLayout w:type="fixed"/>
        <w:tblInd w:w="1580" w:type="dxa"/>
        <w:tblCellMar>
          <w:top w:w="0" w:type="dxa"/>
          <w:left w:w="0" w:type="dxa"/>
          <w:bottom w:w="0" w:type="dxa"/>
          <w:right w:w="0" w:type="dxa"/>
        </w:tblCellMar>
      </w:tblPr>
      <w:tr>
        <w:trPr>
          <w:trHeight w:val="210"/>
        </w:trPr>
        <w:tc>
          <w:tcPr>
            <w:tcW w:w="6100" w:type="dxa"/>
            <w:vAlign w:val="bottom"/>
          </w:tcPr>
          <w:p>
            <w:pPr>
              <w:jc w:val="center"/>
              <w:ind w:right="3459"/>
              <w:spacing w:after="0"/>
              <w:rPr>
                <w:sz w:val="20"/>
                <w:szCs w:val="20"/>
                <w:color w:val="auto"/>
              </w:rPr>
            </w:pPr>
            <w:r>
              <w:rPr>
                <w:rFonts w:ascii="Arial" w:cs="Arial" w:eastAsia="Arial" w:hAnsi="Arial"/>
                <w:sz w:val="16"/>
                <w:szCs w:val="16"/>
                <w:b w:val="1"/>
                <w:bCs w:val="1"/>
                <w:color w:val="auto"/>
                <w:w w:val="91"/>
              </w:rPr>
              <w:t>Delaware</w:t>
            </w:r>
          </w:p>
        </w:tc>
        <w:tc>
          <w:tcPr>
            <w:tcW w:w="1480" w:type="dxa"/>
            <w:vAlign w:val="bottom"/>
          </w:tcPr>
          <w:p>
            <w:pPr>
              <w:jc w:val="right"/>
              <w:ind w:right="139"/>
              <w:spacing w:after="0"/>
              <w:rPr>
                <w:sz w:val="20"/>
                <w:szCs w:val="20"/>
                <w:color w:val="auto"/>
              </w:rPr>
            </w:pPr>
            <w:r>
              <w:rPr>
                <w:rFonts w:ascii="Arial" w:cs="Arial" w:eastAsia="Arial" w:hAnsi="Arial"/>
                <w:sz w:val="16"/>
                <w:szCs w:val="16"/>
                <w:b w:val="1"/>
                <w:bCs w:val="1"/>
                <w:color w:val="auto"/>
              </w:rPr>
              <w:t>06-1594540</w:t>
            </w:r>
          </w:p>
        </w:tc>
      </w:tr>
      <w:tr>
        <w:trPr>
          <w:trHeight w:val="253"/>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3"/>
              </w:rPr>
              <w:t>(State or other jurisdiction of</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3"/>
              </w:rPr>
              <w:t>(I.R.S. Employer</w:t>
            </w:r>
          </w:p>
        </w:tc>
      </w:tr>
      <w:tr>
        <w:trPr>
          <w:trHeight w:val="206"/>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4"/>
              </w:rPr>
              <w:t>incorporation or organization)</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7"/>
              </w:rPr>
              <w:t>Identification No.)</w:t>
            </w:r>
          </w:p>
        </w:tc>
      </w:tr>
      <w:tr>
        <w:trPr>
          <w:trHeight w:val="505"/>
        </w:trPr>
        <w:tc>
          <w:tcPr>
            <w:tcW w:w="6100" w:type="dxa"/>
            <w:vAlign w:val="bottom"/>
          </w:tcPr>
          <w:p>
            <w:pPr>
              <w:jc w:val="center"/>
              <w:ind w:right="3479"/>
              <w:spacing w:after="0"/>
              <w:rPr>
                <w:sz w:val="20"/>
                <w:szCs w:val="20"/>
                <w:color w:val="auto"/>
              </w:rPr>
            </w:pPr>
            <w:r>
              <w:rPr>
                <w:rFonts w:ascii="Arial" w:cs="Arial" w:eastAsia="Arial" w:hAnsi="Arial"/>
                <w:sz w:val="16"/>
                <w:szCs w:val="16"/>
                <w:b w:val="1"/>
                <w:bCs w:val="1"/>
                <w:color w:val="auto"/>
                <w:w w:val="91"/>
              </w:rPr>
              <w:t>200 Crossing Boulevard, 8th Floor</w:t>
            </w:r>
          </w:p>
        </w:tc>
        <w:tc>
          <w:tcPr>
            <w:tcW w:w="1480" w:type="dxa"/>
            <w:vAlign w:val="bottom"/>
          </w:tcPr>
          <w:p>
            <w:pPr>
              <w:spacing w:after="0"/>
              <w:rPr>
                <w:sz w:val="24"/>
                <w:szCs w:val="24"/>
                <w:color w:val="auto"/>
              </w:rPr>
            </w:pPr>
          </w:p>
        </w:tc>
      </w:tr>
      <w:tr>
        <w:trPr>
          <w:trHeight w:val="210"/>
        </w:trPr>
        <w:tc>
          <w:tcPr>
            <w:tcW w:w="6100" w:type="dxa"/>
            <w:vAlign w:val="bottom"/>
          </w:tcPr>
          <w:p>
            <w:pPr>
              <w:jc w:val="center"/>
              <w:ind w:right="3459"/>
              <w:spacing w:after="0"/>
              <w:rPr>
                <w:sz w:val="20"/>
                <w:szCs w:val="20"/>
                <w:color w:val="auto"/>
              </w:rPr>
            </w:pPr>
            <w:r>
              <w:rPr>
                <w:rFonts w:ascii="Arial" w:cs="Arial" w:eastAsia="Arial" w:hAnsi="Arial"/>
                <w:sz w:val="16"/>
                <w:szCs w:val="16"/>
                <w:b w:val="1"/>
                <w:bCs w:val="1"/>
                <w:color w:val="auto"/>
                <w:w w:val="90"/>
              </w:rPr>
              <w:t>Bridgewater, New Jersey</w:t>
            </w:r>
          </w:p>
        </w:tc>
        <w:tc>
          <w:tcPr>
            <w:tcW w:w="1480" w:type="dxa"/>
            <w:vAlign w:val="bottom"/>
          </w:tcPr>
          <w:p>
            <w:pPr>
              <w:jc w:val="right"/>
              <w:ind w:right="319"/>
              <w:spacing w:after="0"/>
              <w:rPr>
                <w:sz w:val="20"/>
                <w:szCs w:val="20"/>
                <w:color w:val="auto"/>
              </w:rPr>
            </w:pPr>
            <w:r>
              <w:rPr>
                <w:rFonts w:ascii="Arial" w:cs="Arial" w:eastAsia="Arial" w:hAnsi="Arial"/>
                <w:sz w:val="16"/>
                <w:szCs w:val="16"/>
                <w:b w:val="1"/>
                <w:bCs w:val="1"/>
                <w:color w:val="auto"/>
              </w:rPr>
              <w:t>08807</w:t>
            </w:r>
          </w:p>
        </w:tc>
      </w:tr>
      <w:tr>
        <w:trPr>
          <w:trHeight w:val="257"/>
        </w:trPr>
        <w:tc>
          <w:tcPr>
            <w:tcW w:w="6100" w:type="dxa"/>
            <w:vAlign w:val="bottom"/>
          </w:tcPr>
          <w:p>
            <w:pPr>
              <w:jc w:val="center"/>
              <w:ind w:right="3459"/>
              <w:spacing w:after="0"/>
              <w:rPr>
                <w:sz w:val="20"/>
                <w:szCs w:val="20"/>
                <w:color w:val="auto"/>
              </w:rPr>
            </w:pPr>
            <w:r>
              <w:rPr>
                <w:rFonts w:ascii="Arial" w:cs="Arial" w:eastAsia="Arial" w:hAnsi="Arial"/>
                <w:sz w:val="16"/>
                <w:szCs w:val="16"/>
                <w:color w:val="auto"/>
                <w:w w:val="93"/>
              </w:rPr>
              <w:t>(Address of principal executive offices)</w:t>
            </w:r>
          </w:p>
        </w:tc>
        <w:tc>
          <w:tcPr>
            <w:tcW w:w="1480" w:type="dxa"/>
            <w:vAlign w:val="bottom"/>
          </w:tcPr>
          <w:p>
            <w:pPr>
              <w:jc w:val="center"/>
              <w:ind w:left="179"/>
              <w:spacing w:after="0"/>
              <w:rPr>
                <w:sz w:val="20"/>
                <w:szCs w:val="20"/>
                <w:color w:val="auto"/>
              </w:rPr>
            </w:pPr>
            <w:r>
              <w:rPr>
                <w:rFonts w:ascii="Arial" w:cs="Arial" w:eastAsia="Arial" w:hAnsi="Arial"/>
                <w:sz w:val="16"/>
                <w:szCs w:val="16"/>
                <w:color w:val="auto"/>
                <w:w w:val="92"/>
              </w:rPr>
              <w:t>(Zip Code)</w:t>
            </w:r>
          </w:p>
        </w:tc>
      </w:tr>
      <w:tr>
        <w:trPr>
          <w:trHeight w:val="401"/>
        </w:trPr>
        <w:tc>
          <w:tcPr>
            <w:tcW w:w="6100" w:type="dxa"/>
            <w:vAlign w:val="bottom"/>
          </w:tcPr>
          <w:p>
            <w:pPr>
              <w:jc w:val="right"/>
              <w:ind w:right="1379"/>
              <w:spacing w:after="0"/>
              <w:rPr>
                <w:sz w:val="20"/>
                <w:szCs w:val="20"/>
                <w:color w:val="auto"/>
              </w:rPr>
            </w:pPr>
            <w:r>
              <w:rPr>
                <w:rFonts w:ascii="Arial" w:cs="Arial" w:eastAsia="Arial" w:hAnsi="Arial"/>
                <w:sz w:val="16"/>
                <w:szCs w:val="16"/>
                <w:b w:val="1"/>
                <w:bCs w:val="1"/>
                <w:color w:val="auto"/>
              </w:rPr>
              <w:t>(866) 620-3940</w:t>
            </w:r>
          </w:p>
        </w:tc>
        <w:tc>
          <w:tcPr>
            <w:tcW w:w="1480" w:type="dxa"/>
            <w:vAlign w:val="bottom"/>
          </w:tcPr>
          <w:p>
            <w:pPr>
              <w:spacing w:after="0"/>
              <w:rPr>
                <w:sz w:val="24"/>
                <w:szCs w:val="24"/>
                <w:color w:val="auto"/>
              </w:rPr>
            </w:pPr>
          </w:p>
        </w:tc>
      </w:tr>
      <w:tr>
        <w:trPr>
          <w:trHeight w:val="206"/>
        </w:trPr>
        <w:tc>
          <w:tcPr>
            <w:tcW w:w="6100" w:type="dxa"/>
            <w:vAlign w:val="bottom"/>
          </w:tcPr>
          <w:p>
            <w:pPr>
              <w:jc w:val="center"/>
              <w:ind w:left="2039"/>
              <w:spacing w:after="0"/>
              <w:rPr>
                <w:sz w:val="20"/>
                <w:szCs w:val="20"/>
                <w:color w:val="auto"/>
              </w:rPr>
            </w:pPr>
            <w:r>
              <w:rPr>
                <w:rFonts w:ascii="Arial" w:cs="Arial" w:eastAsia="Arial" w:hAnsi="Arial"/>
                <w:sz w:val="16"/>
                <w:szCs w:val="16"/>
                <w:color w:val="auto"/>
                <w:w w:val="90"/>
              </w:rPr>
              <w:t>(Registrant’s telephone number, including area code)</w:t>
            </w:r>
          </w:p>
        </w:tc>
        <w:tc>
          <w:tcPr>
            <w:tcW w:w="1480" w:type="dxa"/>
            <w:vAlign w:val="bottom"/>
          </w:tcPr>
          <w:p>
            <w:pPr>
              <w:spacing w:after="0"/>
              <w:rPr>
                <w:sz w:val="17"/>
                <w:szCs w:val="17"/>
                <w:color w:val="auto"/>
              </w:rPr>
            </w:pPr>
          </w:p>
        </w:tc>
      </w:tr>
    </w:tbl>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ind w:right="20"/>
        <w:spacing w:after="0" w:line="20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08" w:lineRule="exact"/>
        <w:rPr>
          <w:sz w:val="24"/>
          <w:szCs w:val="24"/>
          <w:color w:val="auto"/>
        </w:rPr>
      </w:pPr>
    </w:p>
    <w:p>
      <w:pPr>
        <w:spacing w:after="0" w:line="20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3"/>
          <w:szCs w:val="13"/>
          <w:color w:val="auto"/>
        </w:rPr>
        <w:t>x</w:t>
      </w:r>
      <w:r>
        <w:rPr>
          <w:rFonts w:ascii="Arial" w:cs="Arial" w:eastAsia="Arial" w:hAnsi="Arial"/>
          <w:sz w:val="15"/>
          <w:szCs w:val="15"/>
          <w:color w:val="auto"/>
        </w:rPr>
        <w:t xml:space="preserve"> No </w:t>
      </w:r>
      <w:r>
        <w:rPr>
          <w:rFonts w:ascii="MS PGothic" w:cs="MS PGothic" w:eastAsia="MS PGothic" w:hAnsi="MS PGothic"/>
          <w:sz w:val="13"/>
          <w:szCs w:val="13"/>
          <w:color w:val="auto"/>
        </w:rPr>
        <w:t>☐</w:t>
      </w:r>
    </w:p>
    <w:p>
      <w:pPr>
        <w:spacing w:after="0" w:line="175" w:lineRule="exact"/>
        <w:rPr>
          <w:sz w:val="24"/>
          <w:szCs w:val="24"/>
          <w:color w:val="auto"/>
        </w:rPr>
      </w:pPr>
    </w:p>
    <w:p>
      <w:pPr>
        <w:ind w:right="20"/>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89" w:lineRule="exact"/>
        <w:rPr>
          <w:sz w:val="24"/>
          <w:szCs w:val="24"/>
          <w:color w:val="auto"/>
        </w:rPr>
      </w:pPr>
    </w:p>
    <w:tbl>
      <w:tblPr>
        <w:tblLayout w:type="fixed"/>
        <w:tblInd w:w="660" w:type="dxa"/>
        <w:tblCellMar>
          <w:top w:w="0" w:type="dxa"/>
          <w:left w:w="0" w:type="dxa"/>
          <w:bottom w:w="0" w:type="dxa"/>
          <w:right w:w="0" w:type="dxa"/>
        </w:tblCellMar>
      </w:tblPr>
      <w:tr>
        <w:trPr>
          <w:trHeight w:val="25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2"/>
              </w:rPr>
              <w:t>Large accelerated filer</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jc w:val="center"/>
              <w:ind w:left="2119"/>
              <w:spacing w:after="0"/>
              <w:rPr>
                <w:sz w:val="20"/>
                <w:szCs w:val="20"/>
                <w:color w:val="auto"/>
              </w:rPr>
            </w:pPr>
            <w:r>
              <w:rPr>
                <w:rFonts w:ascii="Arial" w:cs="Arial" w:eastAsia="Arial" w:hAnsi="Arial"/>
                <w:sz w:val="16"/>
                <w:szCs w:val="16"/>
                <w:color w:val="auto"/>
                <w:w w:val="94"/>
              </w:rPr>
              <w:t>Accelerated filer</w:t>
            </w:r>
          </w:p>
        </w:tc>
        <w:tc>
          <w:tcPr>
            <w:tcW w:w="520" w:type="dxa"/>
            <w:vAlign w:val="bottom"/>
          </w:tcPr>
          <w:p>
            <w:pPr>
              <w:jc w:val="center"/>
              <w:ind w:left="283"/>
              <w:spacing w:after="0"/>
              <w:rPr>
                <w:sz w:val="20"/>
                <w:szCs w:val="20"/>
                <w:color w:val="auto"/>
              </w:rPr>
            </w:pPr>
            <w:r>
              <w:rPr>
                <w:rFonts w:ascii="Arial" w:cs="Arial" w:eastAsia="Arial" w:hAnsi="Arial"/>
                <w:sz w:val="14"/>
                <w:szCs w:val="14"/>
                <w:color w:val="auto"/>
              </w:rPr>
              <w:t>x</w:t>
            </w:r>
          </w:p>
        </w:tc>
      </w:tr>
      <w:tr>
        <w:trPr>
          <w:trHeight w:val="267"/>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Non-accelerated filer</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jc w:val="center"/>
              <w:ind w:left="2139"/>
              <w:spacing w:after="0"/>
              <w:rPr>
                <w:sz w:val="20"/>
                <w:szCs w:val="20"/>
                <w:color w:val="auto"/>
              </w:rPr>
            </w:pPr>
            <w:r>
              <w:rPr>
                <w:rFonts w:ascii="Arial" w:cs="Arial" w:eastAsia="Arial" w:hAnsi="Arial"/>
                <w:sz w:val="16"/>
                <w:szCs w:val="16"/>
                <w:color w:val="auto"/>
                <w:w w:val="92"/>
              </w:rPr>
              <w:t>Smaller Reporting Company</w:t>
            </w:r>
          </w:p>
        </w:tc>
        <w:tc>
          <w:tcPr>
            <w:tcW w:w="520" w:type="dxa"/>
            <w:vAlign w:val="bottom"/>
          </w:tcPr>
          <w:p>
            <w:pPr>
              <w:jc w:val="center"/>
              <w:ind w:left="283"/>
              <w:spacing w:after="0" w:line="161" w:lineRule="exact"/>
              <w:rPr>
                <w:sz w:val="20"/>
                <w:szCs w:val="20"/>
                <w:color w:val="auto"/>
              </w:rPr>
            </w:pPr>
            <w:r>
              <w:rPr>
                <w:rFonts w:ascii="MS PGothic" w:cs="MS PGothic" w:eastAsia="MS PGothic" w:hAnsi="MS PGothic"/>
                <w:sz w:val="16"/>
                <w:szCs w:val="16"/>
                <w:color w:val="auto"/>
                <w:w w:val="99"/>
              </w:rPr>
              <w:t>☐</w:t>
            </w:r>
          </w:p>
        </w:tc>
      </w:tr>
      <w:tr>
        <w:trPr>
          <w:trHeight w:val="270"/>
        </w:trPr>
        <w:tc>
          <w:tcPr>
            <w:tcW w:w="2160" w:type="dxa"/>
            <w:vAlign w:val="bottom"/>
          </w:tcPr>
          <w:p>
            <w:pPr>
              <w:jc w:val="center"/>
              <w:ind w:right="299"/>
              <w:spacing w:after="0"/>
              <w:rPr>
                <w:sz w:val="20"/>
                <w:szCs w:val="20"/>
                <w:color w:val="auto"/>
              </w:rPr>
            </w:pPr>
            <w:r>
              <w:rPr>
                <w:rFonts w:ascii="Arial" w:cs="Arial" w:eastAsia="Arial" w:hAnsi="Arial"/>
                <w:sz w:val="16"/>
                <w:szCs w:val="16"/>
                <w:color w:val="auto"/>
                <w:w w:val="93"/>
              </w:rPr>
              <w:t>Emerging growth company</w:t>
            </w:r>
          </w:p>
        </w:tc>
        <w:tc>
          <w:tcPr>
            <w:tcW w:w="312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59"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56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4440" w:type="dxa"/>
            <w:vAlign w:val="bottom"/>
          </w:tcPr>
          <w:p>
            <w:pPr>
              <w:jc w:val="center"/>
              <w:ind w:left="179"/>
              <w:spacing w:after="0"/>
              <w:rPr>
                <w:sz w:val="20"/>
                <w:szCs w:val="20"/>
                <w:color w:val="auto"/>
              </w:rPr>
            </w:pPr>
            <w:r>
              <w:rPr>
                <w:rFonts w:ascii="Arial" w:cs="Arial" w:eastAsia="Arial" w:hAnsi="Arial"/>
                <w:sz w:val="16"/>
                <w:szCs w:val="16"/>
                <w:color w:val="auto"/>
                <w:w w:val="92"/>
              </w:rPr>
              <w:t>Title of each class</w:t>
            </w:r>
          </w:p>
        </w:tc>
        <w:tc>
          <w:tcPr>
            <w:tcW w:w="2560" w:type="dxa"/>
            <w:vAlign w:val="bottom"/>
          </w:tcPr>
          <w:p>
            <w:pPr>
              <w:jc w:val="center"/>
              <w:spacing w:after="0"/>
              <w:rPr>
                <w:sz w:val="20"/>
                <w:szCs w:val="20"/>
                <w:color w:val="auto"/>
              </w:rPr>
            </w:pPr>
            <w:r>
              <w:rPr>
                <w:rFonts w:ascii="Arial" w:cs="Arial" w:eastAsia="Arial" w:hAnsi="Arial"/>
                <w:sz w:val="16"/>
                <w:szCs w:val="16"/>
                <w:color w:val="auto"/>
                <w:w w:val="94"/>
              </w:rPr>
              <w:t>Trading Symbol(s)</w:t>
            </w:r>
          </w:p>
        </w:tc>
        <w:tc>
          <w:tcPr>
            <w:tcW w:w="4420" w:type="dxa"/>
            <w:vAlign w:val="bottom"/>
          </w:tcPr>
          <w:p>
            <w:pPr>
              <w:jc w:val="center"/>
              <w:ind w:right="179"/>
              <w:spacing w:after="0"/>
              <w:rPr>
                <w:sz w:val="20"/>
                <w:szCs w:val="20"/>
                <w:color w:val="auto"/>
              </w:rPr>
            </w:pPr>
            <w:r>
              <w:rPr>
                <w:rFonts w:ascii="Arial" w:cs="Arial" w:eastAsia="Arial" w:hAnsi="Arial"/>
                <w:sz w:val="16"/>
                <w:szCs w:val="16"/>
                <w:color w:val="auto"/>
                <w:w w:val="90"/>
              </w:rPr>
              <w:t>Name of each exchange on which registered</w:t>
            </w:r>
          </w:p>
        </w:tc>
        <w:tc>
          <w:tcPr>
            <w:tcW w:w="0" w:type="dxa"/>
            <w:vAlign w:val="bottom"/>
          </w:tcPr>
          <w:p>
            <w:pPr>
              <w:spacing w:after="0"/>
              <w:rPr>
                <w:sz w:val="1"/>
                <w:szCs w:val="1"/>
                <w:color w:val="auto"/>
              </w:rPr>
            </w:pPr>
          </w:p>
        </w:tc>
      </w:tr>
      <w:tr>
        <w:trPr>
          <w:trHeight w:val="33"/>
        </w:trPr>
        <w:tc>
          <w:tcPr>
            <w:tcW w:w="44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jc w:val="center"/>
              <w:ind w:left="179"/>
              <w:spacing w:after="0"/>
              <w:rPr>
                <w:sz w:val="20"/>
                <w:szCs w:val="20"/>
                <w:color w:val="auto"/>
              </w:rPr>
            </w:pPr>
            <w:r>
              <w:rPr>
                <w:rFonts w:ascii="Arial" w:cs="Arial" w:eastAsia="Arial" w:hAnsi="Arial"/>
                <w:sz w:val="16"/>
                <w:szCs w:val="16"/>
                <w:color w:val="auto"/>
                <w:w w:val="91"/>
              </w:rPr>
              <w:t>Common Stock, par value $.0001 par value</w:t>
            </w:r>
          </w:p>
        </w:tc>
        <w:tc>
          <w:tcPr>
            <w:tcW w:w="2560" w:type="dxa"/>
            <w:vAlign w:val="bottom"/>
            <w:vMerge w:val="restart"/>
          </w:tcPr>
          <w:p>
            <w:pPr>
              <w:jc w:val="center"/>
              <w:spacing w:after="0"/>
              <w:rPr>
                <w:sz w:val="20"/>
                <w:szCs w:val="20"/>
                <w:color w:val="auto"/>
              </w:rPr>
            </w:pPr>
            <w:r>
              <w:rPr>
                <w:rFonts w:ascii="Arial" w:cs="Arial" w:eastAsia="Arial" w:hAnsi="Arial"/>
                <w:sz w:val="16"/>
                <w:szCs w:val="16"/>
                <w:color w:val="auto"/>
                <w:w w:val="96"/>
              </w:rPr>
              <w:t>SNCR</w:t>
            </w:r>
          </w:p>
        </w:tc>
        <w:tc>
          <w:tcPr>
            <w:tcW w:w="4420" w:type="dxa"/>
            <w:vAlign w:val="bottom"/>
          </w:tcPr>
          <w:p>
            <w:pPr>
              <w:jc w:val="center"/>
              <w:ind w:right="179"/>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2560" w:type="dxa"/>
            <w:vAlign w:val="bottom"/>
            <w:vMerge w:val="continue"/>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As of August 2, 2019, there were 44,383,050 shares of common stock issued and outstanding.</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2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0" w:type="dxa"/>
            <w:vAlign w:val="bottom"/>
            <w:gridSpan w:val="9"/>
          </w:tcPr>
          <w:p>
            <w:pPr>
              <w:jc w:val="center"/>
              <w:ind w:right="1720"/>
              <w:spacing w:after="0"/>
              <w:rPr>
                <w:sz w:val="20"/>
                <w:szCs w:val="20"/>
                <w:color w:val="auto"/>
              </w:rPr>
            </w:pPr>
            <w:r>
              <w:rPr>
                <w:rFonts w:ascii="Arial" w:cs="Arial" w:eastAsia="Arial" w:hAnsi="Arial"/>
                <w:sz w:val="18"/>
                <w:szCs w:val="18"/>
                <w:b w:val="1"/>
                <w:bCs w:val="1"/>
                <w:color w:val="auto"/>
                <w:w w:val="99"/>
              </w:rPr>
              <w:t>SYNCHRONOSS TECHNOLOGIES, INC.</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20" w:type="dxa"/>
            <w:vAlign w:val="bottom"/>
            <w:gridSpan w:val="7"/>
          </w:tcPr>
          <w:p>
            <w:pPr>
              <w:jc w:val="center"/>
              <w:ind w:right="3500"/>
              <w:spacing w:after="0"/>
              <w:rPr>
                <w:sz w:val="20"/>
                <w:szCs w:val="20"/>
                <w:color w:val="auto"/>
              </w:rPr>
            </w:pPr>
            <w:r>
              <w:rPr>
                <w:rFonts w:ascii="Arial" w:cs="Arial" w:eastAsia="Arial" w:hAnsi="Arial"/>
                <w:sz w:val="18"/>
                <w:szCs w:val="18"/>
                <w:b w:val="1"/>
                <w:bCs w:val="1"/>
                <w:color w:val="auto"/>
              </w:rPr>
              <w:t>FORM 10-Q INDEX</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20" w:type="dxa"/>
            <w:vAlign w:val="bottom"/>
            <w:gridSpan w:val="3"/>
          </w:tcPr>
          <w:p>
            <w:pPr>
              <w:ind w:left="18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60" w:type="dxa"/>
            <w:vAlign w:val="bottom"/>
            <w:gridSpan w:val="1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580" w:type="dxa"/>
            <w:vAlign w:val="bottom"/>
            <w:gridSpan w:val="2"/>
          </w:tcPr>
          <w:p>
            <w:pPr>
              <w:spacing w:after="0" w:line="170" w:lineRule="exact"/>
              <w:rPr>
                <w:rFonts w:ascii="Arial" w:cs="Arial" w:eastAsia="Arial" w:hAnsi="Arial"/>
                <w:sz w:val="18"/>
                <w:szCs w:val="18"/>
                <w:color w:val="0000EE"/>
                <w:w w:val="85"/>
              </w:rPr>
            </w:pPr>
            <w:hyperlink w:anchor="page3">
              <w:r>
                <w:rPr>
                  <w:rFonts w:ascii="Arial" w:cs="Arial" w:eastAsia="Arial" w:hAnsi="Arial"/>
                  <w:sz w:val="18"/>
                  <w:szCs w:val="18"/>
                  <w:color w:val="0000EE"/>
                  <w:w w:val="85"/>
                </w:rPr>
                <w:t>PART I.</w:t>
              </w:r>
            </w:hyperlink>
          </w:p>
        </w:tc>
        <w:tc>
          <w:tcPr>
            <w:tcW w:w="520" w:type="dxa"/>
            <w:vAlign w:val="bottom"/>
            <w:gridSpan w:val="2"/>
          </w:tcPr>
          <w:p>
            <w:pPr>
              <w:spacing w:after="0"/>
              <w:rPr>
                <w:sz w:val="15"/>
                <w:szCs w:val="15"/>
                <w:color w:val="auto"/>
              </w:rPr>
            </w:pPr>
          </w:p>
        </w:tc>
        <w:tc>
          <w:tcPr>
            <w:tcW w:w="9260" w:type="dxa"/>
            <w:vAlign w:val="bottom"/>
            <w:gridSpan w:val="17"/>
            <w:vMerge w:val="continue"/>
          </w:tcPr>
          <w:p>
            <w:pPr>
              <w:spacing w:after="0"/>
              <w:rPr>
                <w:sz w:val="15"/>
                <w:szCs w:val="15"/>
                <w:color w:val="auto"/>
              </w:rPr>
            </w:pPr>
          </w:p>
        </w:tc>
        <w:tc>
          <w:tcPr>
            <w:tcW w:w="560" w:type="dxa"/>
            <w:vAlign w:val="bottom"/>
            <w:gridSpan w:val="2"/>
          </w:tcPr>
          <w:p>
            <w:pPr>
              <w:jc w:val="center"/>
              <w:ind w:left="370"/>
              <w:spacing w:after="0" w:line="170"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right w:val="single" w:sz="8" w:color="0000EE"/>
            </w:tcBorders>
          </w:tcPr>
          <w:p>
            <w:pPr>
              <w:spacing w:after="0"/>
              <w:rPr>
                <w:sz w:val="2"/>
                <w:szCs w:val="2"/>
                <w:color w:val="auto"/>
              </w:rPr>
            </w:pPr>
          </w:p>
        </w:tc>
        <w:tc>
          <w:tcPr>
            <w:tcW w:w="540" w:type="dxa"/>
            <w:vAlign w:val="bottom"/>
            <w:gridSpan w:val="2"/>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46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27"/>
        </w:trPr>
        <w:tc>
          <w:tcPr>
            <w:tcW w:w="4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Item 1.</w:t>
              </w:r>
            </w:hyperlink>
          </w:p>
        </w:tc>
        <w:tc>
          <w:tcPr>
            <w:tcW w:w="520" w:type="dxa"/>
            <w:vAlign w:val="bottom"/>
            <w:gridSpan w:val="2"/>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and Notes</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40" w:type="dxa"/>
            <w:vAlign w:val="bottom"/>
            <w:tcBorders>
              <w:top w:val="single" w:sz="8" w:color="0000EE"/>
            </w:tcBorders>
            <w:gridSpan w:val="10"/>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Condensed Consolidated Balance Sheets (unaudited)</w:t>
              </w:r>
            </w:hyperlink>
          </w:p>
        </w:tc>
        <w:tc>
          <w:tcPr>
            <w:tcW w:w="5220" w:type="dxa"/>
            <w:vAlign w:val="bottom"/>
            <w:gridSpan w:val="7"/>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4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and Comprehensive Income (Loss) (unaudited)</w:t>
              </w:r>
            </w:hyperlink>
          </w:p>
        </w:tc>
        <w:tc>
          <w:tcPr>
            <w:tcW w:w="2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4"/>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0" w:type="dxa"/>
            <w:vAlign w:val="bottom"/>
            <w:tcBorders>
              <w:top w:val="single" w:sz="8" w:color="0000EE"/>
            </w:tcBorders>
            <w:gridSpan w:val="14"/>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(unaudited)</w:t>
              </w:r>
            </w:hyperlink>
          </w:p>
        </w:tc>
        <w:tc>
          <w:tcPr>
            <w:tcW w:w="4060" w:type="dxa"/>
            <w:vAlign w:val="bottom"/>
            <w:gridSpan w:val="3"/>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0000EE"/>
            </w:tcBorders>
          </w:tcPr>
          <w:p>
            <w:pPr>
              <w:jc w:val="center"/>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8</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560" w:type="dxa"/>
            <w:vAlign w:val="bottom"/>
            <w:gridSpan w:val="2"/>
          </w:tcPr>
          <w:p>
            <w:pPr>
              <w:jc w:val="center"/>
              <w:ind w:left="370"/>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9</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52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2.</w:t>
              </w:r>
            </w:hyperlink>
          </w:p>
        </w:tc>
        <w:tc>
          <w:tcPr>
            <w:tcW w:w="92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31</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Item 3.</w:t>
              </w:r>
            </w:hyperlink>
          </w:p>
        </w:tc>
        <w:tc>
          <w:tcPr>
            <w:tcW w:w="9260" w:type="dxa"/>
            <w:vAlign w:val="bottom"/>
            <w:gridSpan w:val="1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41</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80" w:type="dxa"/>
            <w:vAlign w:val="bottom"/>
            <w:tcBorders>
              <w:left w:val="single" w:sz="8" w:color="0000EE"/>
            </w:tcBorders>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9260" w:type="dxa"/>
            <w:vAlign w:val="bottom"/>
            <w:gridSpan w:val="1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42</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8"/>
              </w:rPr>
            </w:pPr>
            <w:hyperlink w:anchor="page45">
              <w:r>
                <w:rPr>
                  <w:rFonts w:ascii="Arial" w:cs="Arial" w:eastAsia="Arial" w:hAnsi="Arial"/>
                  <w:sz w:val="18"/>
                  <w:szCs w:val="18"/>
                  <w:color w:val="0000EE"/>
                  <w:w w:val="88"/>
                </w:rPr>
                <w:t>PART II.</w:t>
              </w:r>
            </w:hyperlink>
          </w:p>
        </w:tc>
        <w:tc>
          <w:tcPr>
            <w:tcW w:w="46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OTHER INFORMATION</w:t>
              </w:r>
            </w:hyperlink>
          </w:p>
        </w:tc>
        <w:tc>
          <w:tcPr>
            <w:tcW w:w="7440" w:type="dxa"/>
            <w:vAlign w:val="bottom"/>
            <w:gridSpan w:val="11"/>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1.</w:t>
              </w:r>
            </w:hyperlink>
          </w:p>
        </w:tc>
        <w:tc>
          <w:tcPr>
            <w:tcW w:w="460" w:type="dxa"/>
            <w:vAlign w:val="bottom"/>
          </w:tcPr>
          <w:p>
            <w:pPr>
              <w:spacing w:after="0"/>
              <w:rPr>
                <w:sz w:val="24"/>
                <w:szCs w:val="24"/>
                <w:color w:val="auto"/>
              </w:rPr>
            </w:pPr>
          </w:p>
        </w:tc>
        <w:tc>
          <w:tcPr>
            <w:tcW w:w="1820" w:type="dxa"/>
            <w:vAlign w:val="bottom"/>
            <w:gridSpan w:val="6"/>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7440" w:type="dxa"/>
            <w:vAlign w:val="bottom"/>
            <w:gridSpan w:val="11"/>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Item 1A.</w:t>
              </w:r>
            </w:hyperlink>
          </w:p>
        </w:tc>
        <w:tc>
          <w:tcPr>
            <w:tcW w:w="460" w:type="dxa"/>
            <w:vAlign w:val="bottom"/>
          </w:tcPr>
          <w:p>
            <w:pPr>
              <w:spacing w:after="0"/>
              <w:rPr>
                <w:sz w:val="24"/>
                <w:szCs w:val="24"/>
                <w:color w:val="auto"/>
              </w:rPr>
            </w:pPr>
          </w:p>
        </w:tc>
        <w:tc>
          <w:tcPr>
            <w:tcW w:w="840" w:type="dxa"/>
            <w:vAlign w:val="bottom"/>
            <w:gridSpan w:val="3"/>
          </w:tcPr>
          <w:p>
            <w:pPr>
              <w:spacing w:after="0"/>
              <w:rPr>
                <w:rFonts w:ascii="Arial" w:cs="Arial" w:eastAsia="Arial" w:hAnsi="Arial"/>
                <w:sz w:val="18"/>
                <w:szCs w:val="18"/>
                <w:color w:val="0000EE"/>
                <w:w w:val="81"/>
              </w:rPr>
            </w:pPr>
            <w:hyperlink w:anchor="page45">
              <w:r>
                <w:rPr>
                  <w:rFonts w:ascii="Arial" w:cs="Arial" w:eastAsia="Arial" w:hAnsi="Arial"/>
                  <w:sz w:val="18"/>
                  <w:szCs w:val="18"/>
                  <w:color w:val="0000EE"/>
                  <w:w w:val="81"/>
                </w:rPr>
                <w:t>Risk Factors</w:t>
              </w:r>
            </w:hyperlink>
          </w:p>
        </w:tc>
        <w:tc>
          <w:tcPr>
            <w:tcW w:w="8420" w:type="dxa"/>
            <w:vAlign w:val="bottom"/>
            <w:gridSpan w:val="14"/>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2.</w:t>
              </w:r>
            </w:hyperlink>
          </w:p>
        </w:tc>
        <w:tc>
          <w:tcPr>
            <w:tcW w:w="460" w:type="dxa"/>
            <w:vAlign w:val="bottom"/>
          </w:tcPr>
          <w:p>
            <w:pPr>
              <w:spacing w:after="0"/>
              <w:rPr>
                <w:sz w:val="24"/>
                <w:szCs w:val="24"/>
                <w:color w:val="auto"/>
              </w:rPr>
            </w:pPr>
          </w:p>
        </w:tc>
        <w:tc>
          <w:tcPr>
            <w:tcW w:w="92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4980" w:type="dxa"/>
            <w:vAlign w:val="bottom"/>
            <w:gridSpan w:val="6"/>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3.</w:t>
              </w:r>
            </w:hyperlink>
          </w:p>
        </w:tc>
        <w:tc>
          <w:tcPr>
            <w:tcW w:w="92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Defaults Upon Senior Securities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7000" w:type="dxa"/>
            <w:vAlign w:val="bottom"/>
            <w:gridSpan w:val="9"/>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4.</w:t>
              </w:r>
            </w:hyperlink>
          </w:p>
        </w:tc>
        <w:tc>
          <w:tcPr>
            <w:tcW w:w="92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Mine Safety Disclosures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2"/>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Item 5.</w:t>
              </w:r>
            </w:hyperlink>
          </w:p>
        </w:tc>
        <w:tc>
          <w:tcPr>
            <w:tcW w:w="926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45</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8020" w:type="dxa"/>
            <w:vAlign w:val="bottom"/>
            <w:gridSpan w:val="13"/>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6.</w:t>
              </w:r>
            </w:hyperlink>
          </w:p>
        </w:tc>
        <w:tc>
          <w:tcPr>
            <w:tcW w:w="9260" w:type="dxa"/>
            <w:vAlign w:val="bottom"/>
            <w:gridSpan w:val="17"/>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560" w:type="dxa"/>
            <w:vAlign w:val="bottom"/>
            <w:gridSpan w:val="2"/>
          </w:tcPr>
          <w:p>
            <w:pPr>
              <w:jc w:val="center"/>
              <w:ind w:left="290"/>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46</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3"/>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720" w:type="dxa"/>
            <w:vAlign w:val="bottom"/>
            <w:gridSpan w:val="15"/>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100" w:type="dxa"/>
            <w:vAlign w:val="bottom"/>
            <w:gridSpan w:val="4"/>
          </w:tcPr>
          <w:p>
            <w:pPr>
              <w:spacing w:after="0"/>
              <w:rPr>
                <w:rFonts w:ascii="Arial" w:cs="Arial" w:eastAsia="Arial" w:hAnsi="Arial"/>
                <w:sz w:val="18"/>
                <w:szCs w:val="18"/>
                <w:color w:val="0000EE"/>
                <w:w w:val="90"/>
              </w:rPr>
            </w:pPr>
            <w:hyperlink w:anchor="page47">
              <w:r>
                <w:rPr>
                  <w:rFonts w:ascii="Arial" w:cs="Arial" w:eastAsia="Arial" w:hAnsi="Arial"/>
                  <w:sz w:val="18"/>
                  <w:szCs w:val="18"/>
                  <w:color w:val="0000EE"/>
                  <w:w w:val="90"/>
                </w:rPr>
                <w:t>SIGNATURES</w:t>
              </w:r>
            </w:hyperlink>
          </w:p>
        </w:tc>
        <w:tc>
          <w:tcPr>
            <w:tcW w:w="9260" w:type="dxa"/>
            <w:vAlign w:val="bottom"/>
            <w:gridSpan w:val="17"/>
          </w:tcPr>
          <w:p>
            <w:pPr>
              <w:spacing w:after="0"/>
              <w:rPr>
                <w:sz w:val="24"/>
                <w:szCs w:val="24"/>
                <w:color w:val="auto"/>
              </w:rPr>
            </w:pPr>
          </w:p>
        </w:tc>
        <w:tc>
          <w:tcPr>
            <w:tcW w:w="560" w:type="dxa"/>
            <w:vAlign w:val="bottom"/>
            <w:gridSpan w:val="2"/>
          </w:tcPr>
          <w:p>
            <w:pPr>
              <w:jc w:val="center"/>
              <w:ind w:left="29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47</w:t>
              </w:r>
            </w:hyperlink>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AND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53"/>
        </w:trPr>
        <w:tc>
          <w:tcPr>
            <w:tcW w:w="180" w:type="dxa"/>
            <w:vAlign w:val="bottom"/>
          </w:tcPr>
          <w:p>
            <w:pPr>
              <w:spacing w:after="0"/>
              <w:rPr>
                <w:sz w:val="4"/>
                <w:szCs w:val="4"/>
                <w:color w:val="auto"/>
              </w:rPr>
            </w:pPr>
          </w:p>
        </w:tc>
        <w:tc>
          <w:tcPr>
            <w:tcW w:w="7720" w:type="dxa"/>
            <w:vAlign w:val="bottom"/>
            <w:vMerge w:val="restart"/>
          </w:tcPr>
          <w:p>
            <w:pPr>
              <w:ind w:left="52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87"/>
        </w:trPr>
        <w:tc>
          <w:tcPr>
            <w:tcW w:w="18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103,771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Restricted cash*</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6,089</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Marketable securities, 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28,230</w:t>
            </w:r>
          </w:p>
        </w:tc>
        <w:tc>
          <w:tcPr>
            <w:tcW w:w="0" w:type="dxa"/>
            <w:vAlign w:val="bottom"/>
          </w:tcPr>
          <w:p>
            <w:pPr>
              <w:spacing w:after="0"/>
              <w:rPr>
                <w:sz w:val="1"/>
                <w:szCs w:val="1"/>
                <w:color w:val="auto"/>
              </w:rPr>
            </w:pPr>
          </w:p>
        </w:tc>
      </w:tr>
      <w:tr>
        <w:trPr>
          <w:trHeight w:val="220"/>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Accounts receivable, net of allowances of $3,455 and $4,599 at June 30, 2019 and December 31, 2018,</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respectively**</w:t>
            </w:r>
          </w:p>
        </w:tc>
        <w:tc>
          <w:tcPr>
            <w:tcW w:w="280" w:type="dxa"/>
            <w:vAlign w:val="bottom"/>
          </w:tcPr>
          <w:p>
            <w:pPr>
              <w:spacing w:after="0"/>
              <w:rPr>
                <w:sz w:val="17"/>
                <w:szCs w:val="17"/>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99,928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102,798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Prepaid expenses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28,460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45,058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Other current assets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10,252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8,508</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217,509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294,454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Marketable securities, non-current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6,658</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67,937</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Operating lease right-of-use assets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63,416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224,335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224,899</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Intangible assets, net</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86,649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98,706</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CEEFF"/>
            </w:tcBorders>
            <w:shd w:val="clear" w:color="auto" w:fill="CCEEFF"/>
          </w:tcPr>
          <w:p>
            <w:pPr>
              <w:spacing w:after="0"/>
              <w:rPr>
                <w:sz w:val="20"/>
                <w:szCs w:val="20"/>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8,982</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Equity method investment</w:t>
            </w: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1,619</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703,255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13,576</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54,247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59,545</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Deferred revenues, 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59,574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57,101</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Short-term convertible debt, net of debt issuance costs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47,076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113,542</w:t>
            </w:r>
          </w:p>
        </w:tc>
        <w:tc>
          <w:tcPr>
            <w:tcW w:w="0" w:type="dxa"/>
            <w:vAlign w:val="bottom"/>
          </w:tcPr>
          <w:p>
            <w:pPr>
              <w:spacing w:after="0"/>
              <w:rPr>
                <w:sz w:val="1"/>
                <w:szCs w:val="1"/>
                <w:color w:val="auto"/>
              </w:rPr>
            </w:pPr>
          </w:p>
        </w:tc>
      </w:tr>
      <w:tr>
        <w:trPr>
          <w:trHeight w:val="47"/>
        </w:trPr>
        <w:tc>
          <w:tcPr>
            <w:tcW w:w="7900" w:type="dxa"/>
            <w:vAlign w:val="bottom"/>
            <w:tcBorders>
              <w:bottom w:val="single" w:sz="8" w:color="CCEEFF"/>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179,355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243,764</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Lease financing obligation</w:t>
            </w:r>
          </w:p>
        </w:tc>
        <w:tc>
          <w:tcPr>
            <w:tcW w:w="28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9,494</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Operating lease liabilities,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65,141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9"/>
                <w:szCs w:val="19"/>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1,347</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Deferred revenues, 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44,128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59,841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Other non-current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6,118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10,797</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Redeemable noncontrolling interest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12,500</w:t>
            </w: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Commitments and contingencies (Note 13)</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6"/>
              </w:rPr>
              <w:t>Series A Convertible Participating Perpetual Preferred Stock, $0.0001 par value; 10,000 shares authorized; 202</w:t>
            </w:r>
          </w:p>
        </w:tc>
        <w:tc>
          <w:tcPr>
            <w:tcW w:w="2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184,668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176,603</w:t>
            </w:r>
          </w:p>
        </w:tc>
        <w:tc>
          <w:tcPr>
            <w:tcW w:w="0" w:type="dxa"/>
            <w:vAlign w:val="bottom"/>
          </w:tcPr>
          <w:p>
            <w:pPr>
              <w:spacing w:after="0"/>
              <w:rPr>
                <w:sz w:val="1"/>
                <w:szCs w:val="1"/>
                <w:color w:val="auto"/>
              </w:rPr>
            </w:pPr>
          </w:p>
        </w:tc>
      </w:tr>
      <w:tr>
        <w:trPr>
          <w:trHeight w:val="98"/>
        </w:trPr>
        <w:tc>
          <w:tcPr>
            <w:tcW w:w="180" w:type="dxa"/>
            <w:vAlign w:val="bottom"/>
            <w:shd w:val="clear" w:color="auto" w:fill="CCEEFF"/>
          </w:tcPr>
          <w:p>
            <w:pPr>
              <w:spacing w:after="0"/>
              <w:rPr>
                <w:sz w:val="8"/>
                <w:szCs w:val="8"/>
                <w:color w:val="auto"/>
              </w:rPr>
            </w:pPr>
          </w:p>
        </w:tc>
        <w:tc>
          <w:tcPr>
            <w:tcW w:w="77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shares issued and outstanding at June 30, 2019</w:t>
            </w:r>
          </w:p>
        </w:tc>
        <w:tc>
          <w:tcPr>
            <w:tcW w:w="28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Borders>
              <w:bottom w:val="single" w:sz="8" w:color="CCEEFF"/>
            </w:tcBorders>
            <w:shd w:val="clear" w:color="auto" w:fill="CCEEFF"/>
          </w:tcPr>
          <w:p>
            <w:pPr>
              <w:spacing w:after="0"/>
              <w:rPr>
                <w:sz w:val="10"/>
                <w:szCs w:val="10"/>
                <w:color w:val="auto"/>
              </w:rPr>
            </w:pPr>
          </w:p>
        </w:tc>
        <w:tc>
          <w:tcPr>
            <w:tcW w:w="772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4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Stockholders’ equity:</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0"/>
        </w:trPr>
        <w:tc>
          <w:tcPr>
            <w:tcW w:w="180" w:type="dxa"/>
            <w:vAlign w:val="bottom"/>
            <w:shd w:val="clear" w:color="auto" w:fill="CCEEFF"/>
          </w:tcPr>
          <w:p>
            <w:pPr>
              <w:spacing w:after="0"/>
              <w:rPr>
                <w:sz w:val="19"/>
                <w:szCs w:val="19"/>
                <w:color w:val="auto"/>
              </w:rPr>
            </w:pPr>
          </w:p>
        </w:tc>
        <w:tc>
          <w:tcPr>
            <w:tcW w:w="772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1"/>
              </w:rPr>
              <w:t>Common stock, $0.0001 par value; 100,000 shares authorized, 51,578 and 49,836 shares issued; 44,416 and 42,674</w:t>
            </w:r>
          </w:p>
        </w:tc>
        <w:tc>
          <w:tcPr>
            <w:tcW w:w="28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98"/>
        </w:trPr>
        <w:tc>
          <w:tcPr>
            <w:tcW w:w="180" w:type="dxa"/>
            <w:vAlign w:val="bottom"/>
            <w:shd w:val="clear" w:color="auto" w:fill="CCEEFF"/>
          </w:tcPr>
          <w:p>
            <w:pPr>
              <w:spacing w:after="0"/>
              <w:rPr>
                <w:sz w:val="8"/>
                <w:szCs w:val="8"/>
                <w:color w:val="auto"/>
              </w:rPr>
            </w:pPr>
          </w:p>
        </w:tc>
        <w:tc>
          <w:tcPr>
            <w:tcW w:w="7720" w:type="dxa"/>
            <w:vAlign w:val="bottom"/>
            <w:vMerge w:val="restart"/>
            <w:shd w:val="clear" w:color="auto" w:fill="CCEEFF"/>
          </w:tcPr>
          <w:p>
            <w:pPr>
              <w:ind w:left="100"/>
              <w:spacing w:after="0"/>
              <w:rPr>
                <w:sz w:val="20"/>
                <w:szCs w:val="20"/>
                <w:color w:val="auto"/>
              </w:rPr>
            </w:pPr>
            <w:r>
              <w:rPr>
                <w:rFonts w:ascii="Arial" w:cs="Arial" w:eastAsia="Arial" w:hAnsi="Arial"/>
                <w:sz w:val="16"/>
                <w:szCs w:val="16"/>
                <w:color w:val="auto"/>
              </w:rPr>
              <w:t>outstanding at June 30, 2019 and December 31, 2018, respectively</w:t>
            </w:r>
          </w:p>
        </w:tc>
        <w:tc>
          <w:tcPr>
            <w:tcW w:w="280" w:type="dxa"/>
            <w:vAlign w:val="bottom"/>
            <w:shd w:val="clear" w:color="auto" w:fill="CCEEFF"/>
          </w:tcPr>
          <w:p>
            <w:pPr>
              <w:spacing w:after="0"/>
              <w:rPr>
                <w:sz w:val="8"/>
                <w:szCs w:val="8"/>
                <w:color w:val="auto"/>
              </w:rPr>
            </w:pPr>
          </w:p>
        </w:tc>
        <w:tc>
          <w:tcPr>
            <w:tcW w:w="144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5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180" w:type="dxa"/>
            <w:vAlign w:val="bottom"/>
            <w:tcBorders>
              <w:bottom w:val="single" w:sz="8" w:color="CCEEFF"/>
            </w:tcBorders>
            <w:shd w:val="clear" w:color="auto" w:fill="CCEEFF"/>
          </w:tcPr>
          <w:p>
            <w:pPr>
              <w:spacing w:after="0"/>
              <w:rPr>
                <w:sz w:val="10"/>
                <w:szCs w:val="10"/>
                <w:color w:val="auto"/>
              </w:rPr>
            </w:pPr>
          </w:p>
        </w:tc>
        <w:tc>
          <w:tcPr>
            <w:tcW w:w="7720" w:type="dxa"/>
            <w:vAlign w:val="bottom"/>
            <w:tcBorders>
              <w:bottom w:val="single" w:sz="8" w:color="CCEEFF"/>
            </w:tcBorders>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14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Treasury stock, at cost (7,162 and 7,162 shares at June 30, 2019 and December 31, 2018, respectively)</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(82,087)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(82,087)</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CEEFF"/>
            </w:tcBorders>
            <w:shd w:val="clear" w:color="auto" w:fill="CCEEFF"/>
          </w:tcPr>
          <w:p>
            <w:pPr>
              <w:spacing w:after="0"/>
              <w:rPr>
                <w:sz w:val="21"/>
                <w:szCs w:val="21"/>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531,282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534,673</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7720" w:type="dxa"/>
            <w:vAlign w:val="bottom"/>
          </w:tcPr>
          <w:p>
            <w:pPr>
              <w:ind w:left="10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(30,897)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(30,383)</w:t>
            </w:r>
          </w:p>
        </w:tc>
        <w:tc>
          <w:tcPr>
            <w:tcW w:w="0" w:type="dxa"/>
            <w:vAlign w:val="bottom"/>
          </w:tcPr>
          <w:p>
            <w:pPr>
              <w:spacing w:after="0"/>
              <w:rPr>
                <w:sz w:val="1"/>
                <w:szCs w:val="1"/>
                <w:color w:val="auto"/>
              </w:rPr>
            </w:pPr>
          </w:p>
        </w:tc>
      </w:tr>
      <w:tr>
        <w:trPr>
          <w:trHeight w:val="47"/>
        </w:trPr>
        <w:tc>
          <w:tcPr>
            <w:tcW w:w="180" w:type="dxa"/>
            <w:vAlign w:val="bottom"/>
          </w:tcPr>
          <w:p>
            <w:pPr>
              <w:spacing w:after="0"/>
              <w:rPr>
                <w:sz w:val="4"/>
                <w:szCs w:val="4"/>
                <w:color w:val="auto"/>
              </w:rPr>
            </w:pPr>
          </w:p>
        </w:tc>
        <w:tc>
          <w:tcPr>
            <w:tcW w:w="7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7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Accumulated deficit</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(266,947)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(233,299)</w:t>
            </w:r>
          </w:p>
        </w:tc>
        <w:tc>
          <w:tcPr>
            <w:tcW w:w="0" w:type="dxa"/>
            <w:vAlign w:val="bottom"/>
          </w:tcPr>
          <w:p>
            <w:pPr>
              <w:spacing w:after="0"/>
              <w:rPr>
                <w:sz w:val="1"/>
                <w:szCs w:val="1"/>
                <w:color w:val="auto"/>
              </w:rPr>
            </w:pPr>
          </w:p>
        </w:tc>
      </w:tr>
      <w:tr>
        <w:trPr>
          <w:trHeight w:val="217"/>
        </w:trPr>
        <w:tc>
          <w:tcPr>
            <w:tcW w:w="7900" w:type="dxa"/>
            <w:vAlign w:val="bottom"/>
            <w:gridSpan w:val="2"/>
          </w:tcPr>
          <w:p>
            <w:pPr>
              <w:ind w:left="4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151,356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188,909</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643,904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703,255</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9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7720" w:type="dxa"/>
            <w:vAlign w:val="bottom"/>
          </w:tcPr>
          <w:p>
            <w:pPr>
              <w:ind w:left="16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Note</w:t>
            </w:r>
            <w:r>
              <w:rPr>
                <w:rFonts w:ascii="Arial" w:cs="Arial" w:eastAsia="Arial" w:hAnsi="Arial"/>
                <w:sz w:val="16"/>
                <w:szCs w:val="16"/>
                <w:color w:val="auto"/>
              </w:rPr>
              <w:t xml:space="preserve"> </w:t>
            </w:r>
            <w:r>
              <w:rPr>
                <w:rFonts w:ascii="Arial" w:cs="Arial" w:eastAsia="Arial" w:hAnsi="Arial"/>
                <w:sz w:val="18"/>
                <w:szCs w:val="18"/>
                <w:i w:val="1"/>
                <w:iCs w:val="1"/>
                <w:color w:val="auto"/>
              </w:rPr>
              <w:t>2. Basis of Presentation and Consolidation</w:t>
            </w:r>
            <w:r>
              <w:rPr>
                <w:rFonts w:ascii="Arial" w:cs="Arial" w:eastAsia="Arial" w:hAnsi="Arial"/>
                <w:sz w:val="16"/>
                <w:szCs w:val="16"/>
                <w:color w:val="auto"/>
              </w:rPr>
              <w:t xml:space="preserve"> </w:t>
            </w:r>
            <w:r>
              <w:rPr>
                <w:rFonts w:ascii="Arial" w:cs="Arial" w:eastAsia="Arial" w:hAnsi="Arial"/>
                <w:sz w:val="18"/>
                <w:szCs w:val="18"/>
                <w:color w:val="auto"/>
              </w:rPr>
              <w:t>for restricted cash details.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360" w:right="3140" w:hanging="3352"/>
        <w:spacing w:after="0" w:line="572" w:lineRule="auto"/>
        <w:tabs>
          <w:tab w:leader="none" w:pos="341"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Note</w:t>
      </w:r>
      <w:r>
        <w:rPr>
          <w:rFonts w:ascii="Arial" w:cs="Arial" w:eastAsia="Arial" w:hAnsi="Arial"/>
          <w:sz w:val="14"/>
          <w:szCs w:val="14"/>
          <w:color w:val="auto"/>
        </w:rPr>
        <w:t xml:space="preserve"> </w:t>
      </w:r>
      <w:r>
        <w:rPr>
          <w:rFonts w:ascii="Arial" w:cs="Arial" w:eastAsia="Arial" w:hAnsi="Arial"/>
          <w:sz w:val="16"/>
          <w:szCs w:val="16"/>
          <w:i w:val="1"/>
          <w:iCs w:val="1"/>
          <w:color w:val="auto"/>
        </w:rPr>
        <w:t>6. Investments in Affiliates and Related Transactions</w:t>
      </w:r>
      <w:r>
        <w:rPr>
          <w:rFonts w:ascii="Arial" w:cs="Arial" w:eastAsia="Arial" w:hAnsi="Arial"/>
          <w:sz w:val="14"/>
          <w:szCs w:val="14"/>
          <w:color w:val="auto"/>
        </w:rPr>
        <w:t xml:space="preserve"> for related party transactions reflected in this account. See accompanying notes to condensed consolidated financial statements.</w:t>
      </w:r>
    </w:p>
    <w:p>
      <w:pPr>
        <w:sectPr>
          <w:pgSz w:w="11900" w:h="16838" w:orient="portrait"/>
          <w:cols w:equalWidth="0" w:num="1">
            <w:col w:w="11420"/>
          </w:cols>
          <w:pgMar w:left="240" w:top="125" w:right="239" w:bottom="678" w:gutter="0" w:footer="0" w:header="0"/>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678"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48"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(In thousands, except per share data)</w:t>
      </w:r>
    </w:p>
    <w:p>
      <w:pPr>
        <w:sectPr>
          <w:pgSz w:w="11900" w:h="16838" w:orient="portrait"/>
          <w:cols w:equalWidth="0" w:num="1">
            <w:col w:w="11420"/>
          </w:cols>
          <w:pgMar w:left="240" w:top="125" w:right="239" w:bottom="1440" w:gutter="0" w:footer="0" w:header="0"/>
        </w:sectPr>
      </w:pPr>
    </w:p>
    <w:p>
      <w:pPr>
        <w:spacing w:after="0" w:line="216" w:lineRule="exact"/>
        <w:rPr>
          <w:sz w:val="20"/>
          <w:szCs w:val="20"/>
          <w:color w:val="auto"/>
        </w:rPr>
      </w:pPr>
    </w:p>
    <w:p>
      <w:pPr>
        <w:jc w:val="center"/>
        <w:ind w:left="624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31115</wp:posOffset>
            </wp:positionV>
            <wp:extent cx="1680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14" w:lineRule="exact"/>
        <w:rPr>
          <w:sz w:val="20"/>
          <w:szCs w:val="20"/>
          <w:color w:val="auto"/>
        </w:rPr>
      </w:pPr>
    </w:p>
    <w:p>
      <w:pPr>
        <w:ind w:left="6560"/>
        <w:spacing w:after="0"/>
        <w:tabs>
          <w:tab w:leader="none" w:pos="79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16808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38100</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6"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23495</wp:posOffset>
            </wp:positionV>
            <wp:extent cx="16465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80" w:space="720"/>
            <w:col w:w="2120"/>
          </w:cols>
          <w:pgMar w:left="240" w:top="125" w:right="239" w:bottom="1440" w:gutter="0" w:footer="0" w:header="0"/>
          <w:type w:val="continuous"/>
        </w:sectPr>
      </w:pP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77,846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165,951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160,451</w:t>
            </w: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84,074</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3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19,026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20,200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38,707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41,105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Selling, 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23,080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52,326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72,048</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Restructuring charges</w:t>
            </w:r>
          </w:p>
        </w:tc>
        <w:tc>
          <w:tcPr>
            <w:tcW w:w="3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3,886</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20,269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23,401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46,672</w:t>
            </w:r>
          </w:p>
        </w:tc>
        <w:tc>
          <w:tcPr>
            <w:tcW w:w="0" w:type="dxa"/>
            <w:vAlign w:val="bottom"/>
          </w:tcPr>
          <w:p>
            <w:pPr>
              <w:spacing w:after="0"/>
              <w:rPr>
                <w:sz w:val="1"/>
                <w:szCs w:val="1"/>
                <w:color w:val="auto"/>
              </w:rPr>
            </w:pPr>
          </w:p>
        </w:tc>
      </w:tr>
      <w:tr>
        <w:trPr>
          <w:trHeight w:val="217"/>
        </w:trPr>
        <w:tc>
          <w:tcPr>
            <w:tcW w:w="6080" w:type="dxa"/>
            <w:vAlign w:val="bottom"/>
          </w:tcPr>
          <w:p>
            <w:pPr>
              <w:ind w:left="40"/>
              <w:spacing w:after="0"/>
              <w:rPr>
                <w:sz w:val="20"/>
                <w:szCs w:val="20"/>
                <w:color w:val="auto"/>
              </w:rPr>
            </w:pPr>
            <w:r>
              <w:rPr>
                <w:rFonts w:ascii="Arial" w:cs="Arial" w:eastAsia="Arial" w:hAnsi="Arial"/>
                <w:sz w:val="16"/>
                <w:szCs w:val="16"/>
                <w:color w:val="auto"/>
              </w:rPr>
              <w:t>Total costs and expenses</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96,134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119,842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204,578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247,785</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(18,288)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(43,100)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(38,627)</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(87,334)</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3,763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7,315</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Gain on extinguishment of debt</w:t>
            </w:r>
          </w:p>
        </w:tc>
        <w:tc>
          <w:tcPr>
            <w:tcW w:w="3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430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(expense) income, net</w:t>
            </w: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Equity method investment loss</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from continuing operations, before taxes</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(18,422)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(40,685)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(39,550)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(78,537)</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Benefit (provision) for income taxes</w:t>
            </w:r>
          </w:p>
        </w:tc>
        <w:tc>
          <w:tcPr>
            <w:tcW w:w="38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1,844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3,235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(704)</w:t>
            </w:r>
          </w:p>
        </w:tc>
        <w:tc>
          <w:tcPr>
            <w:tcW w:w="0" w:type="dxa"/>
            <w:vAlign w:val="bottom"/>
          </w:tcPr>
          <w:p>
            <w:pPr>
              <w:spacing w:after="0"/>
              <w:rPr>
                <w:sz w:val="1"/>
                <w:szCs w:val="1"/>
                <w:color w:val="auto"/>
              </w:rPr>
            </w:pPr>
          </w:p>
        </w:tc>
      </w:tr>
      <w:tr>
        <w:trPr>
          <w:trHeight w:val="33"/>
        </w:trPr>
        <w:tc>
          <w:tcPr>
            <w:tcW w:w="60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(16,578)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(41,264)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(36,315)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(79,241)</w:t>
            </w:r>
          </w:p>
        </w:tc>
        <w:tc>
          <w:tcPr>
            <w:tcW w:w="0" w:type="dxa"/>
            <w:vAlign w:val="bottom"/>
          </w:tcPr>
          <w:p>
            <w:pPr>
              <w:spacing w:after="0"/>
              <w:rPr>
                <w:sz w:val="1"/>
                <w:szCs w:val="1"/>
                <w:color w:val="auto"/>
              </w:rPr>
            </w:pPr>
          </w:p>
        </w:tc>
      </w:tr>
      <w:tr>
        <w:trPr>
          <w:trHeight w:val="237"/>
        </w:trPr>
        <w:tc>
          <w:tcPr>
            <w:tcW w:w="6080" w:type="dxa"/>
            <w:vAlign w:val="bottom"/>
          </w:tcPr>
          <w:p>
            <w:pPr>
              <w:ind w:left="280"/>
              <w:spacing w:after="0"/>
              <w:rPr>
                <w:sz w:val="20"/>
                <w:szCs w:val="20"/>
                <w:color w:val="auto"/>
              </w:rPr>
            </w:pPr>
            <w:r>
              <w:rPr>
                <w:rFonts w:ascii="Arial" w:cs="Arial" w:eastAsia="Arial" w:hAnsi="Arial"/>
                <w:sz w:val="16"/>
                <w:szCs w:val="16"/>
                <w:color w:val="auto"/>
              </w:rPr>
              <w:t>Net (income) loss attributable to redeemable noncontrolling interests</w:t>
            </w:r>
          </w:p>
        </w:tc>
        <w:tc>
          <w:tcPr>
            <w:tcW w:w="3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Preferred stock dividend</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(7,859)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(10,613)</w:t>
            </w:r>
          </w:p>
        </w:tc>
        <w:tc>
          <w:tcPr>
            <w:tcW w:w="0" w:type="dxa"/>
            <w:vAlign w:val="bottom"/>
          </w:tcPr>
          <w:p>
            <w:pPr>
              <w:spacing w:after="0"/>
              <w:rPr>
                <w:sz w:val="1"/>
                <w:szCs w:val="1"/>
                <w:color w:val="auto"/>
              </w:rPr>
            </w:pPr>
          </w:p>
        </w:tc>
      </w:tr>
      <w:tr>
        <w:trPr>
          <w:trHeight w:val="284"/>
        </w:trPr>
        <w:tc>
          <w:tcPr>
            <w:tcW w:w="6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Synchronoss</w:t>
            </w: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(25,030)</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(47,265)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(52,617)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(87,310)</w:t>
            </w:r>
          </w:p>
        </w:tc>
        <w:tc>
          <w:tcPr>
            <w:tcW w:w="0" w:type="dxa"/>
            <w:vAlign w:val="bottom"/>
          </w:tcPr>
          <w:p>
            <w:pPr>
              <w:spacing w:after="0"/>
              <w:rPr>
                <w:sz w:val="1"/>
                <w:szCs w:val="1"/>
                <w:color w:val="auto"/>
              </w:rPr>
            </w:pPr>
          </w:p>
        </w:tc>
      </w:tr>
      <w:tr>
        <w:trPr>
          <w:trHeight w:val="271"/>
        </w:trPr>
        <w:tc>
          <w:tcPr>
            <w:tcW w:w="60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Earnings per share:</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0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Diluted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71"/>
        </w:trPr>
        <w:tc>
          <w:tcPr>
            <w:tcW w:w="60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80" w:type="dxa"/>
            <w:vAlign w:val="bottom"/>
          </w:tcPr>
          <w:p>
            <w:pPr>
              <w:ind w:left="40"/>
              <w:spacing w:after="0"/>
              <w:rPr>
                <w:sz w:val="20"/>
                <w:szCs w:val="20"/>
                <w:color w:val="auto"/>
              </w:rPr>
            </w:pPr>
            <w:r>
              <w:rPr>
                <w:rFonts w:ascii="Arial" w:cs="Arial" w:eastAsia="Arial" w:hAnsi="Arial"/>
                <w:sz w:val="16"/>
                <w:szCs w:val="16"/>
                <w:b w:val="1"/>
                <w:bCs w:val="1"/>
                <w:color w:val="auto"/>
              </w:rPr>
              <w:t>Weighted-average common shares outstanding:</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40,810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39,456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40,566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40,812</w:t>
            </w:r>
          </w:p>
        </w:tc>
        <w:tc>
          <w:tcPr>
            <w:tcW w:w="0" w:type="dxa"/>
            <w:vAlign w:val="bottom"/>
          </w:tcPr>
          <w:p>
            <w:pPr>
              <w:spacing w:after="0"/>
              <w:rPr>
                <w:sz w:val="1"/>
                <w:szCs w:val="1"/>
                <w:color w:val="auto"/>
              </w:rPr>
            </w:pPr>
          </w:p>
        </w:tc>
      </w:tr>
      <w:tr>
        <w:trPr>
          <w:trHeight w:val="244"/>
        </w:trPr>
        <w:tc>
          <w:tcPr>
            <w:tcW w:w="6080" w:type="dxa"/>
            <w:vAlign w:val="bottom"/>
          </w:tcPr>
          <w:p>
            <w:pPr>
              <w:ind w:left="280"/>
              <w:spacing w:after="0"/>
              <w:rPr>
                <w:sz w:val="20"/>
                <w:szCs w:val="20"/>
                <w:color w:val="auto"/>
              </w:rPr>
            </w:pPr>
            <w:r>
              <w:rPr>
                <w:rFonts w:ascii="Arial" w:cs="Arial" w:eastAsia="Arial" w:hAnsi="Arial"/>
                <w:sz w:val="16"/>
                <w:szCs w:val="16"/>
                <w:color w:val="auto"/>
              </w:rPr>
              <w:t>Diluted</w:t>
            </w:r>
          </w:p>
        </w:tc>
        <w:tc>
          <w:tcPr>
            <w:tcW w:w="3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40,810</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39,456</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40,566</w:t>
            </w: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40,812</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SYNCHRONOSS TECHNOLOGIES, INC.</w:t>
      </w:r>
    </w:p>
    <w:p>
      <w:pPr>
        <w:spacing w:after="0" w:line="36" w:lineRule="exact"/>
        <w:rPr>
          <w:sz w:val="20"/>
          <w:szCs w:val="20"/>
          <w:color w:val="auto"/>
        </w:rPr>
      </w:pPr>
    </w:p>
    <w:p>
      <w:pPr>
        <w:ind w:left="5000" w:right="1900" w:hanging="2903"/>
        <w:spacing w:after="0" w:line="313" w:lineRule="auto"/>
        <w:rPr>
          <w:sz w:val="20"/>
          <w:szCs w:val="20"/>
          <w:color w:val="auto"/>
        </w:rPr>
      </w:pPr>
      <w:r>
        <w:rPr>
          <w:rFonts w:ascii="Arial" w:cs="Arial" w:eastAsia="Arial" w:hAnsi="Arial"/>
          <w:sz w:val="18"/>
          <w:szCs w:val="18"/>
          <w:b w:val="1"/>
          <w:bCs w:val="1"/>
          <w:color w:val="auto"/>
        </w:rPr>
        <w:t>CONDENSED CONSOLIDATED STATEMENTS OF COMPREHENSIVE (LOSS) INCOME (Unaudited) (In thousands)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74"/>
        </w:trPr>
        <w:tc>
          <w:tcPr>
            <w:tcW w:w="6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5"/>
          </w:tcPr>
          <w:p>
            <w:pPr>
              <w:ind w:left="140"/>
              <w:spacing w:after="0"/>
              <w:rPr>
                <w:sz w:val="20"/>
                <w:szCs w:val="20"/>
                <w:color w:val="auto"/>
              </w:rPr>
            </w:pPr>
            <w:r>
              <w:rPr>
                <w:rFonts w:ascii="Arial" w:cs="Arial" w:eastAsia="Arial" w:hAnsi="Arial"/>
                <w:sz w:val="13"/>
                <w:szCs w:val="13"/>
                <w:b w:val="1"/>
                <w:bCs w:val="1"/>
                <w:color w:val="auto"/>
              </w:rPr>
              <w:t>Three Months Ended June 30,</w:t>
            </w:r>
          </w:p>
        </w:tc>
        <w:tc>
          <w:tcPr>
            <w:tcW w:w="260" w:type="dxa"/>
            <w:vAlign w:val="bottom"/>
          </w:tcPr>
          <w:p>
            <w:pPr>
              <w:spacing w:after="0"/>
              <w:rPr>
                <w:sz w:val="15"/>
                <w:szCs w:val="15"/>
                <w:color w:val="auto"/>
              </w:rPr>
            </w:pPr>
          </w:p>
        </w:tc>
        <w:tc>
          <w:tcPr>
            <w:tcW w:w="2040" w:type="dxa"/>
            <w:vAlign w:val="bottom"/>
            <w:gridSpan w:val="4"/>
          </w:tcPr>
          <w:p>
            <w:pPr>
              <w:jc w:val="right"/>
              <w:ind w:right="329"/>
              <w:spacing w:after="0"/>
              <w:rPr>
                <w:sz w:val="20"/>
                <w:szCs w:val="20"/>
                <w:color w:val="auto"/>
              </w:rPr>
            </w:pPr>
            <w:r>
              <w:rPr>
                <w:rFonts w:ascii="Arial" w:cs="Arial" w:eastAsia="Arial" w:hAnsi="Arial"/>
                <w:sz w:val="13"/>
                <w:szCs w:val="13"/>
                <w:b w:val="1"/>
                <w:bCs w:val="1"/>
                <w:color w:val="auto"/>
                <w:w w:val="96"/>
              </w:rPr>
              <w:t>Six Months Ended June 30,</w:t>
            </w: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3"/>
                <w:szCs w:val="13"/>
                <w:b w:val="1"/>
                <w:bCs w:val="1"/>
                <w:color w:val="auto"/>
              </w:rPr>
              <w:t>2018</w:t>
            </w:r>
          </w:p>
        </w:tc>
        <w:tc>
          <w:tcPr>
            <w:tcW w:w="0" w:type="dxa"/>
            <w:vAlign w:val="bottom"/>
          </w:tcPr>
          <w:p>
            <w:pPr>
              <w:spacing w:after="0"/>
              <w:rPr>
                <w:sz w:val="1"/>
                <w:szCs w:val="1"/>
                <w:color w:val="auto"/>
              </w:rPr>
            </w:pPr>
          </w:p>
        </w:tc>
      </w:tr>
      <w:tr>
        <w:trPr>
          <w:trHeight w:val="257"/>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(36,315)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(79,241)</w:t>
            </w:r>
          </w:p>
        </w:tc>
        <w:tc>
          <w:tcPr>
            <w:tcW w:w="0" w:type="dxa"/>
            <w:vAlign w:val="bottom"/>
          </w:tcPr>
          <w:p>
            <w:pPr>
              <w:spacing w:after="0"/>
              <w:rPr>
                <w:sz w:val="1"/>
                <w:szCs w:val="1"/>
                <w:color w:val="auto"/>
              </w:rPr>
            </w:pPr>
          </w:p>
        </w:tc>
      </w:tr>
      <w:tr>
        <w:trPr>
          <w:trHeight w:val="264"/>
        </w:trPr>
        <w:tc>
          <w:tcPr>
            <w:tcW w:w="6320" w:type="dxa"/>
            <w:vAlign w:val="bottom"/>
          </w:tcPr>
          <w:p>
            <w:pPr>
              <w:ind w:left="160"/>
              <w:spacing w:after="0"/>
              <w:rPr>
                <w:sz w:val="20"/>
                <w:szCs w:val="20"/>
                <w:color w:val="auto"/>
              </w:rPr>
            </w:pPr>
            <w:r>
              <w:rPr>
                <w:rFonts w:ascii="Arial" w:cs="Arial" w:eastAsia="Arial" w:hAnsi="Arial"/>
                <w:sz w:val="14"/>
                <w:szCs w:val="14"/>
                <w:color w:val="auto"/>
              </w:rPr>
              <w:t>Other comprehensive (loss) income, net of tax:</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(4,985)</w:t>
            </w:r>
          </w:p>
        </w:tc>
        <w:tc>
          <w:tcPr>
            <w:tcW w:w="0" w:type="dxa"/>
            <w:vAlign w:val="bottom"/>
          </w:tcPr>
          <w:p>
            <w:pPr>
              <w:spacing w:after="0"/>
              <w:rPr>
                <w:sz w:val="1"/>
                <w:szCs w:val="1"/>
                <w:color w:val="auto"/>
              </w:rPr>
            </w:pPr>
          </w:p>
        </w:tc>
      </w:tr>
      <w:tr>
        <w:trPr>
          <w:trHeight w:val="264"/>
        </w:trPr>
        <w:tc>
          <w:tcPr>
            <w:tcW w:w="6320" w:type="dxa"/>
            <w:vAlign w:val="bottom"/>
          </w:tcPr>
          <w:p>
            <w:pPr>
              <w:ind w:left="260"/>
              <w:spacing w:after="0"/>
              <w:rPr>
                <w:sz w:val="20"/>
                <w:szCs w:val="20"/>
                <w:color w:val="auto"/>
              </w:rPr>
            </w:pPr>
            <w:r>
              <w:rPr>
                <w:rFonts w:ascii="Arial" w:cs="Arial" w:eastAsia="Arial" w:hAnsi="Arial"/>
                <w:sz w:val="14"/>
                <w:szCs w:val="14"/>
                <w:color w:val="auto"/>
              </w:rPr>
              <w:t>Unrealized gain (loss) on available for sale securities</w:t>
            </w:r>
          </w:p>
        </w:tc>
        <w:tc>
          <w:tcPr>
            <w:tcW w:w="220" w:type="dxa"/>
            <w:vAlign w:val="bottom"/>
          </w:tcPr>
          <w:p>
            <w:pPr>
              <w:spacing w:after="0"/>
              <w:rPr>
                <w:sz w:val="22"/>
                <w:szCs w:val="22"/>
                <w:color w:val="auto"/>
              </w:rPr>
            </w:pP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6"/>
        </w:trPr>
        <w:tc>
          <w:tcPr>
            <w:tcW w:w="63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Net loss on intra-entity foreign currency transactions</w:t>
            </w:r>
          </w:p>
        </w:tc>
        <w:tc>
          <w:tcPr>
            <w:tcW w:w="2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rPr>
                <w:sz w:val="20"/>
                <w:szCs w:val="20"/>
                <w:color w:val="auto"/>
              </w:rPr>
            </w:pPr>
            <w:r>
              <w:rPr>
                <w:rFonts w:ascii="Arial" w:cs="Arial" w:eastAsia="Arial" w:hAnsi="Arial"/>
                <w:sz w:val="14"/>
                <w:szCs w:val="14"/>
                <w:color w:val="auto"/>
              </w:rPr>
              <w:t>Total other comprehensive income (loss)</w:t>
            </w:r>
          </w:p>
        </w:tc>
        <w:tc>
          <w:tcPr>
            <w:tcW w:w="220" w:type="dxa"/>
            <w:vAlign w:val="bottom"/>
          </w:tcPr>
          <w:p>
            <w:pPr>
              <w:spacing w:after="0"/>
              <w:rPr>
                <w:sz w:val="14"/>
                <w:szCs w:val="14"/>
                <w:color w:val="auto"/>
              </w:rPr>
            </w:pPr>
          </w:p>
        </w:tc>
        <w:tc>
          <w:tcPr>
            <w:tcW w:w="900" w:type="dxa"/>
            <w:vAlign w:val="bottom"/>
            <w:vMerge w:val="restart"/>
          </w:tcPr>
          <w:p>
            <w:pPr>
              <w:jc w:val="right"/>
              <w:ind w:right="50"/>
              <w:spacing w:after="0"/>
              <w:rPr>
                <w:sz w:val="20"/>
                <w:szCs w:val="20"/>
                <w:color w:val="auto"/>
              </w:rPr>
            </w:pPr>
            <w:r>
              <w:rPr>
                <w:rFonts w:ascii="Arial" w:cs="Arial" w:eastAsia="Arial" w:hAnsi="Arial"/>
                <w:sz w:val="14"/>
                <w:szCs w:val="14"/>
                <w:color w:val="auto"/>
              </w:rPr>
              <w:t>1,069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(9,245)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74"/>
        </w:trPr>
        <w:tc>
          <w:tcPr>
            <w:tcW w:w="63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loss</w:t>
            </w:r>
          </w:p>
        </w:tc>
        <w:tc>
          <w:tcPr>
            <w:tcW w:w="22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(50,509)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(36,829)</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(84,806)</w:t>
            </w:r>
          </w:p>
        </w:tc>
        <w:tc>
          <w:tcPr>
            <w:tcW w:w="0" w:type="dxa"/>
            <w:vAlign w:val="bottom"/>
          </w:tcPr>
          <w:p>
            <w:pPr>
              <w:spacing w:after="0"/>
              <w:rPr>
                <w:sz w:val="1"/>
                <w:szCs w:val="1"/>
                <w:color w:val="auto"/>
              </w:rPr>
            </w:pPr>
          </w:p>
        </w:tc>
      </w:tr>
      <w:tr>
        <w:trPr>
          <w:trHeight w:val="80"/>
        </w:trPr>
        <w:tc>
          <w:tcPr>
            <w:tcW w:w="63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63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Comprehensive (income) loss attributable to redeemable noncontrolling interests</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1,259</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2,544</w:t>
            </w:r>
          </w:p>
        </w:tc>
        <w:tc>
          <w:tcPr>
            <w:tcW w:w="0" w:type="dxa"/>
            <w:vAlign w:val="bottom"/>
          </w:tcPr>
          <w:p>
            <w:pPr>
              <w:spacing w:after="0"/>
              <w:rPr>
                <w:sz w:val="1"/>
                <w:szCs w:val="1"/>
                <w:color w:val="auto"/>
              </w:rPr>
            </w:pPr>
          </w:p>
        </w:tc>
      </w:tr>
      <w:tr>
        <w:trPr>
          <w:trHeight w:val="23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Comprehensive loss attributable to Synchronoss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(16,102)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(37,735)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(82,262)</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125" w:right="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SYNCHRONOSS TECHNOLOGIES, INC. CONDENSED CONSOLIDATED STATEMENTS OF STOCKHOLDERS’ EQUITY (Unaudited) (In thousands)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gridSpan w:val="5"/>
          </w:tcPr>
          <w:p>
            <w:pPr>
              <w:ind w:left="80"/>
              <w:spacing w:after="0"/>
              <w:rPr>
                <w:sz w:val="20"/>
                <w:szCs w:val="20"/>
                <w:color w:val="auto"/>
              </w:rPr>
            </w:pPr>
            <w:r>
              <w:rPr>
                <w:rFonts w:ascii="Arial" w:cs="Arial" w:eastAsia="Arial" w:hAnsi="Arial"/>
                <w:sz w:val="9"/>
                <w:szCs w:val="9"/>
                <w:b w:val="1"/>
                <w:bCs w:val="1"/>
                <w:color w:val="auto"/>
              </w:rPr>
              <w:t>Three Months Ended June 30, 2019</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56"/>
        </w:trPr>
        <w:tc>
          <w:tcPr>
            <w:tcW w:w="4240" w:type="dxa"/>
            <w:vAlign w:val="bottom"/>
          </w:tcPr>
          <w:p>
            <w:pPr>
              <w:spacing w:after="0"/>
              <w:rPr>
                <w:sz w:val="22"/>
                <w:szCs w:val="2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Treasury Stock</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54"/>
        </w:trPr>
        <w:tc>
          <w:tcPr>
            <w:tcW w:w="4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3"/>
                <w:szCs w:val="13"/>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79"/>
              </w:rPr>
              <w:t>Shares</w:t>
            </w:r>
          </w:p>
        </w:tc>
        <w:tc>
          <w:tcPr>
            <w:tcW w:w="1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Shares</w:t>
            </w:r>
          </w:p>
        </w:tc>
        <w:tc>
          <w:tcPr>
            <w:tcW w:w="16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March 31, 2019</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49,908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533,224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(31,966)</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(249,776)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169,400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5,329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5,329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1,670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(7,331)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(7,331)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(528)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(528)</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(17,171)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(17,171)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593</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67"/>
              <w:spacing w:after="0"/>
              <w:rPr>
                <w:sz w:val="20"/>
                <w:szCs w:val="20"/>
                <w:color w:val="auto"/>
              </w:rPr>
            </w:pPr>
            <w:r>
              <w:rPr>
                <w:rFonts w:ascii="Arial" w:cs="Arial" w:eastAsia="Arial" w:hAnsi="Arial"/>
                <w:sz w:val="11"/>
                <w:szCs w:val="11"/>
                <w:color w:val="auto"/>
              </w:rPr>
              <w:t>1,069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1,069</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June 30, 2019</w:t>
            </w:r>
          </w:p>
        </w:tc>
        <w:tc>
          <w:tcPr>
            <w:tcW w:w="8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51,578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531,282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(30,897)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(266,947)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151,356</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3"/>
        </w:trPr>
        <w:tc>
          <w:tcPr>
            <w:tcW w:w="4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ind w:left="80"/>
              <w:spacing w:after="0"/>
              <w:rPr>
                <w:sz w:val="20"/>
                <w:szCs w:val="20"/>
                <w:color w:val="auto"/>
              </w:rPr>
            </w:pPr>
            <w:r>
              <w:rPr>
                <w:rFonts w:ascii="Arial" w:cs="Arial" w:eastAsia="Arial" w:hAnsi="Arial"/>
                <w:sz w:val="9"/>
                <w:szCs w:val="9"/>
                <w:b w:val="1"/>
                <w:bCs w:val="1"/>
                <w:color w:val="auto"/>
              </w:rPr>
              <w:t>Three Months Ended June 30, 2018</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56"/>
        </w:trPr>
        <w:tc>
          <w:tcPr>
            <w:tcW w:w="4240" w:type="dxa"/>
            <w:vAlign w:val="bottom"/>
          </w:tcPr>
          <w:p>
            <w:pPr>
              <w:spacing w:after="0"/>
              <w:rPr>
                <w:sz w:val="22"/>
                <w:szCs w:val="22"/>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90"/>
              </w:rPr>
              <w:t>Common Stock</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9"/>
              </w:rPr>
              <w:t>Treasury Stock</w:t>
            </w: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54"/>
        </w:trPr>
        <w:tc>
          <w:tcPr>
            <w:tcW w:w="4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3"/>
                <w:szCs w:val="13"/>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9"/>
                <w:szCs w:val="9"/>
                <w:b w:val="1"/>
                <w:bCs w:val="1"/>
                <w:color w:val="auto"/>
                <w:w w:val="79"/>
              </w:rPr>
              <w:t>Shares</w:t>
            </w:r>
          </w:p>
        </w:tc>
        <w:tc>
          <w:tcPr>
            <w:tcW w:w="14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jc w:val="center"/>
              <w:ind w:right="140"/>
              <w:spacing w:after="0"/>
              <w:rPr>
                <w:sz w:val="20"/>
                <w:szCs w:val="20"/>
                <w:color w:val="auto"/>
              </w:rPr>
            </w:pPr>
            <w:r>
              <w:rPr>
                <w:rFonts w:ascii="Arial" w:cs="Arial" w:eastAsia="Arial" w:hAnsi="Arial"/>
                <w:sz w:val="9"/>
                <w:szCs w:val="9"/>
                <w:b w:val="1"/>
                <w:bCs w:val="1"/>
                <w:color w:val="auto"/>
                <w:w w:val="86"/>
              </w:rPr>
              <w:t>Shares</w:t>
            </w:r>
          </w:p>
        </w:tc>
        <w:tc>
          <w:tcPr>
            <w:tcW w:w="160" w:type="dxa"/>
            <w:vAlign w:val="bottom"/>
          </w:tcPr>
          <w:p>
            <w:pPr>
              <w:spacing w:after="0"/>
              <w:rPr>
                <w:sz w:val="10"/>
                <w:szCs w:val="10"/>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March 31, 2018</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52,274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(11,055)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(150,414)</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612,758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(19,693)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(51,837)</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390,819</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7,621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7,621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1,058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(6,828)</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(346)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(346)</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Retirement of treasury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68,330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(10)</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(40,005)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(40,005)</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(1,259)</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(9,212)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(9,212)</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ASC 606 revenue recognition implementation impact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(33)</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(2)</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June 30, 2018</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49,439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(82,084)</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543,603</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(28,938)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(91,841)</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340,745</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240" w:type="dxa"/>
            <w:vAlign w:val="bottom"/>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9"/>
                <w:szCs w:val="9"/>
                <w:b w:val="1"/>
                <w:bCs w:val="1"/>
                <w:color w:val="auto"/>
              </w:rPr>
              <w:t>Six Months Ended June 30, 2019</w:t>
            </w: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2018</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49,836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534,673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(30,383)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(233,299)</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188,909</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11,108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11,108</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1,743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(14,406)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(14,406)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(990)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(990)</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(9)</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(37,221)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(37,221)</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906</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(514)</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ASC 842 lease standard implementation impact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47"/>
              <w:spacing w:after="0"/>
              <w:rPr>
                <w:sz w:val="20"/>
                <w:szCs w:val="20"/>
                <w:color w:val="auto"/>
              </w:rPr>
            </w:pPr>
            <w:r>
              <w:rPr>
                <w:rFonts w:ascii="Arial" w:cs="Arial" w:eastAsia="Arial" w:hAnsi="Arial"/>
                <w:sz w:val="11"/>
                <w:szCs w:val="11"/>
                <w:color w:val="auto"/>
              </w:rPr>
              <w:t>3,573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3,573</w:t>
            </w:r>
          </w:p>
        </w:tc>
      </w:tr>
      <w:tr>
        <w:trPr>
          <w:trHeight w:val="232"/>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June 30, 2019</w:t>
            </w:r>
          </w:p>
        </w:tc>
        <w:tc>
          <w:tcPr>
            <w:tcW w:w="8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51,578</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(82,087)</w:t>
            </w: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1"/>
                <w:szCs w:val="11"/>
                <w:color w:val="auto"/>
              </w:rPr>
              <w:t>531,282</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1"/>
                <w:szCs w:val="11"/>
                <w:color w:val="auto"/>
              </w:rPr>
              <w:t>(30,897)</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(266,947)</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1"/>
                <w:szCs w:val="11"/>
                <w:color w:val="auto"/>
              </w:rPr>
              <w:t>151,356</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383"/>
        </w:trPr>
        <w:tc>
          <w:tcPr>
            <w:tcW w:w="42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ind w:left="40"/>
              <w:spacing w:after="0"/>
              <w:rPr>
                <w:sz w:val="20"/>
                <w:szCs w:val="20"/>
                <w:color w:val="auto"/>
              </w:rPr>
            </w:pPr>
            <w:r>
              <w:rPr>
                <w:rFonts w:ascii="Arial" w:cs="Arial" w:eastAsia="Arial" w:hAnsi="Arial"/>
                <w:sz w:val="9"/>
                <w:szCs w:val="9"/>
                <w:b w:val="1"/>
                <w:bCs w:val="1"/>
                <w:color w:val="auto"/>
              </w:rPr>
              <w:t>Six Months Ended June 30, 2018</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r>
      <w:tr>
        <w:trPr>
          <w:trHeight w:val="264"/>
        </w:trPr>
        <w:tc>
          <w:tcPr>
            <w:tcW w:w="4240" w:type="dxa"/>
            <w:vAlign w:val="bottom"/>
          </w:tcPr>
          <w:p>
            <w:pPr>
              <w:spacing w:after="0"/>
              <w:rPr>
                <w:sz w:val="22"/>
                <w:szCs w:val="22"/>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Common Stock</w:t>
            </w:r>
          </w:p>
        </w:tc>
        <w:tc>
          <w:tcPr>
            <w:tcW w:w="50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9"/>
                <w:szCs w:val="9"/>
                <w:b w:val="1"/>
                <w:bCs w:val="1"/>
                <w:color w:val="auto"/>
                <w:w w:val="95"/>
              </w:rPr>
              <w:t>Additional</w:t>
            </w:r>
          </w:p>
        </w:tc>
        <w:tc>
          <w:tcPr>
            <w:tcW w:w="1000" w:type="dxa"/>
            <w:vAlign w:val="bottom"/>
            <w:gridSpan w:val="3"/>
          </w:tcPr>
          <w:p>
            <w:pPr>
              <w:jc w:val="center"/>
              <w:ind w:right="100"/>
              <w:spacing w:after="0"/>
              <w:rPr>
                <w:sz w:val="20"/>
                <w:szCs w:val="20"/>
                <w:color w:val="auto"/>
              </w:rPr>
            </w:pPr>
            <w:r>
              <w:rPr>
                <w:rFonts w:ascii="Arial" w:cs="Arial" w:eastAsia="Arial" w:hAnsi="Arial"/>
                <w:sz w:val="9"/>
                <w:szCs w:val="9"/>
                <w:b w:val="1"/>
                <w:bCs w:val="1"/>
                <w:color w:val="auto"/>
                <w:w w:val="91"/>
              </w:rPr>
              <w:t>Accumulative Other</w:t>
            </w: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83"/>
              </w:rPr>
              <w:t>Total</w:t>
            </w:r>
          </w:p>
        </w:tc>
      </w:tr>
      <w:tr>
        <w:trPr>
          <w:trHeight w:val="139"/>
        </w:trPr>
        <w:tc>
          <w:tcPr>
            <w:tcW w:w="4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8"/>
              </w:rPr>
              <w:t>Comprehensive</w:t>
            </w:r>
          </w:p>
        </w:tc>
        <w:tc>
          <w:tcPr>
            <w:tcW w:w="12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1"/>
              </w:rPr>
              <w:t>Accumulated</w:t>
            </w:r>
          </w:p>
        </w:tc>
        <w:tc>
          <w:tcPr>
            <w:tcW w:w="100" w:type="dxa"/>
            <w:vAlign w:val="bottom"/>
          </w:tcPr>
          <w:p>
            <w:pPr>
              <w:spacing w:after="0"/>
              <w:rPr>
                <w:sz w:val="12"/>
                <w:szCs w:val="12"/>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1"/>
              </w:rPr>
              <w:t>Stockholders'</w:t>
            </w:r>
          </w:p>
        </w:tc>
      </w:tr>
      <w:tr>
        <w:trPr>
          <w:trHeight w:val="124"/>
        </w:trPr>
        <w:tc>
          <w:tcPr>
            <w:tcW w:w="4240" w:type="dxa"/>
            <w:vAlign w:val="bottom"/>
          </w:tcPr>
          <w:p>
            <w:pPr>
              <w:spacing w:after="0"/>
              <w:rPr>
                <w:sz w:val="10"/>
                <w:szCs w:val="10"/>
                <w:color w:val="auto"/>
              </w:rPr>
            </w:pPr>
          </w:p>
        </w:tc>
        <w:tc>
          <w:tcPr>
            <w:tcW w:w="920" w:type="dxa"/>
            <w:vAlign w:val="bottom"/>
            <w:gridSpan w:val="2"/>
          </w:tcPr>
          <w:p>
            <w:pPr>
              <w:ind w:left="280"/>
              <w:spacing w:after="0"/>
              <w:rPr>
                <w:sz w:val="20"/>
                <w:szCs w:val="20"/>
                <w:color w:val="auto"/>
              </w:rPr>
            </w:pPr>
            <w:r>
              <w:rPr>
                <w:rFonts w:ascii="Arial" w:cs="Arial" w:eastAsia="Arial" w:hAnsi="Arial"/>
                <w:sz w:val="9"/>
                <w:szCs w:val="9"/>
                <w:b w:val="1"/>
                <w:bCs w:val="1"/>
                <w:color w:val="auto"/>
              </w:rPr>
              <w:t>Shares</w:t>
            </w:r>
          </w:p>
        </w:tc>
        <w:tc>
          <w:tcPr>
            <w:tcW w:w="2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920" w:type="dxa"/>
            <w:vAlign w:val="bottom"/>
            <w:gridSpan w:val="2"/>
          </w:tcPr>
          <w:p>
            <w:pPr>
              <w:ind w:left="260"/>
              <w:spacing w:after="0"/>
              <w:rPr>
                <w:sz w:val="20"/>
                <w:szCs w:val="20"/>
                <w:color w:val="auto"/>
              </w:rPr>
            </w:pPr>
            <w:r>
              <w:rPr>
                <w:rFonts w:ascii="Arial" w:cs="Arial" w:eastAsia="Arial" w:hAnsi="Arial"/>
                <w:sz w:val="9"/>
                <w:szCs w:val="9"/>
                <w:b w:val="1"/>
                <w:bCs w:val="1"/>
                <w:color w:val="auto"/>
              </w:rPr>
              <w:t>Shares</w:t>
            </w:r>
          </w:p>
        </w:tc>
        <w:tc>
          <w:tcPr>
            <w:tcW w:w="260" w:type="dxa"/>
            <w:vAlign w:val="bottom"/>
          </w:tcPr>
          <w:p>
            <w:pPr>
              <w:spacing w:after="0"/>
              <w:rPr>
                <w:sz w:val="10"/>
                <w:szCs w:val="10"/>
                <w:color w:val="auto"/>
              </w:rPr>
            </w:pPr>
          </w:p>
        </w:tc>
        <w:tc>
          <w:tcPr>
            <w:tcW w:w="680" w:type="dxa"/>
            <w:vAlign w:val="bottom"/>
            <w:gridSpan w:val="2"/>
          </w:tcPr>
          <w:p>
            <w:pPr>
              <w:spacing w:after="0"/>
              <w:rPr>
                <w:sz w:val="20"/>
                <w:szCs w:val="20"/>
                <w:color w:val="auto"/>
              </w:rPr>
            </w:pPr>
            <w:r>
              <w:rPr>
                <w:rFonts w:ascii="Arial" w:cs="Arial" w:eastAsia="Arial" w:hAnsi="Arial"/>
                <w:sz w:val="9"/>
                <w:szCs w:val="9"/>
                <w:b w:val="1"/>
                <w:bCs w:val="1"/>
                <w:color w:val="auto"/>
              </w:rPr>
              <w:t>Amount</w:t>
            </w:r>
          </w:p>
        </w:tc>
        <w:tc>
          <w:tcPr>
            <w:tcW w:w="80" w:type="dxa"/>
            <w:vAlign w:val="bottom"/>
          </w:tcPr>
          <w:p>
            <w:pPr>
              <w:spacing w:after="0"/>
              <w:rPr>
                <w:sz w:val="10"/>
                <w:szCs w:val="10"/>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95"/>
              </w:rPr>
              <w:t>Paid-In Capital</w:t>
            </w:r>
          </w:p>
        </w:tc>
        <w:tc>
          <w:tcPr>
            <w:tcW w:w="12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88"/>
              </w:rPr>
              <w:t>Income (Loss)</w:t>
            </w:r>
          </w:p>
        </w:tc>
        <w:tc>
          <w:tcPr>
            <w:tcW w:w="120" w:type="dxa"/>
            <w:vAlign w:val="bottom"/>
          </w:tcPr>
          <w:p>
            <w:pPr>
              <w:spacing w:after="0"/>
              <w:rPr>
                <w:sz w:val="10"/>
                <w:szCs w:val="10"/>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9"/>
                <w:szCs w:val="9"/>
                <w:b w:val="1"/>
                <w:bCs w:val="1"/>
                <w:color w:val="auto"/>
                <w:w w:val="90"/>
              </w:rPr>
              <w:t>deficit</w:t>
            </w:r>
          </w:p>
        </w:tc>
        <w:tc>
          <w:tcPr>
            <w:tcW w:w="100" w:type="dxa"/>
            <w:vAlign w:val="bottom"/>
          </w:tcPr>
          <w:p>
            <w:pPr>
              <w:spacing w:after="0"/>
              <w:rPr>
                <w:sz w:val="10"/>
                <w:szCs w:val="10"/>
                <w:color w:val="auto"/>
              </w:rPr>
            </w:pPr>
          </w:p>
        </w:tc>
        <w:tc>
          <w:tcPr>
            <w:tcW w:w="680" w:type="dxa"/>
            <w:vAlign w:val="bottom"/>
          </w:tcPr>
          <w:p>
            <w:pPr>
              <w:jc w:val="center"/>
              <w:ind w:right="48"/>
              <w:spacing w:after="0"/>
              <w:rPr>
                <w:sz w:val="20"/>
                <w:szCs w:val="20"/>
                <w:color w:val="auto"/>
              </w:rPr>
            </w:pPr>
            <w:r>
              <w:rPr>
                <w:rFonts w:ascii="Arial" w:cs="Arial" w:eastAsia="Arial" w:hAnsi="Arial"/>
                <w:sz w:val="9"/>
                <w:szCs w:val="9"/>
                <w:b w:val="1"/>
                <w:bCs w:val="1"/>
                <w:color w:val="auto"/>
                <w:w w:val="94"/>
              </w:rPr>
              <w:t>Equity</w:t>
            </w:r>
          </w:p>
        </w:tc>
      </w:tr>
      <w:tr>
        <w:trPr>
          <w:trHeight w:val="235"/>
        </w:trPr>
        <w:tc>
          <w:tcPr>
            <w:tcW w:w="4240" w:type="dxa"/>
            <w:vAlign w:val="bottom"/>
          </w:tcPr>
          <w:p>
            <w:pPr>
              <w:ind w:left="40"/>
              <w:spacing w:after="0"/>
              <w:rPr>
                <w:sz w:val="20"/>
                <w:szCs w:val="20"/>
                <w:color w:val="auto"/>
              </w:rPr>
            </w:pPr>
            <w:r>
              <w:rPr>
                <w:rFonts w:ascii="Arial" w:cs="Arial" w:eastAsia="Arial" w:hAnsi="Arial"/>
                <w:sz w:val="11"/>
                <w:szCs w:val="11"/>
                <w:b w:val="1"/>
                <w:bCs w:val="1"/>
                <w:color w:val="auto"/>
              </w:rPr>
              <w:t>Balance at December 31, 2017</w:t>
            </w:r>
          </w:p>
        </w:tc>
        <w:tc>
          <w:tcPr>
            <w:tcW w:w="8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52,028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Pr>
          <w:p>
            <w:pPr>
              <w:spacing w:after="0"/>
              <w:rPr>
                <w:sz w:val="20"/>
                <w:szCs w:val="20"/>
                <w:color w:val="auto"/>
              </w:rPr>
            </w:pPr>
          </w:p>
        </w:tc>
        <w:tc>
          <w:tcPr>
            <w:tcW w:w="80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(5,060)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w w:val="97"/>
              </w:rPr>
              <w:t>(105,584)</w:t>
            </w:r>
          </w:p>
        </w:tc>
        <w:tc>
          <w:tcPr>
            <w:tcW w:w="1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67"/>
              <w:spacing w:after="0"/>
              <w:rPr>
                <w:sz w:val="20"/>
                <w:szCs w:val="20"/>
                <w:color w:val="auto"/>
              </w:rPr>
            </w:pPr>
            <w:r>
              <w:rPr>
                <w:rFonts w:ascii="Arial" w:cs="Arial" w:eastAsia="Arial" w:hAnsi="Arial"/>
                <w:sz w:val="11"/>
                <w:szCs w:val="11"/>
                <w:color w:val="auto"/>
              </w:rPr>
              <w:t>597,553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top w:val="single" w:sz="8" w:color="auto"/>
            </w:tcBorders>
          </w:tcPr>
          <w:p>
            <w:pPr>
              <w:jc w:val="right"/>
              <w:ind w:right="27"/>
              <w:spacing w:after="0"/>
              <w:rPr>
                <w:sz w:val="20"/>
                <w:szCs w:val="20"/>
                <w:color w:val="auto"/>
              </w:rPr>
            </w:pPr>
            <w:r>
              <w:rPr>
                <w:rFonts w:ascii="Arial" w:cs="Arial" w:eastAsia="Arial" w:hAnsi="Arial"/>
                <w:sz w:val="11"/>
                <w:szCs w:val="11"/>
                <w:color w:val="auto"/>
              </w:rPr>
              <w:t>(23,373)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(5,014)</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top w:val="single" w:sz="8" w:color="auto"/>
            </w:tcBorders>
          </w:tcPr>
          <w:p>
            <w:pPr>
              <w:jc w:val="right"/>
              <w:ind w:right="48"/>
              <w:spacing w:after="0"/>
              <w:rPr>
                <w:sz w:val="20"/>
                <w:szCs w:val="20"/>
                <w:color w:val="auto"/>
              </w:rPr>
            </w:pPr>
            <w:r>
              <w:rPr>
                <w:rFonts w:ascii="Arial" w:cs="Arial" w:eastAsia="Arial" w:hAnsi="Arial"/>
                <w:sz w:val="11"/>
                <w:szCs w:val="11"/>
                <w:color w:val="auto"/>
              </w:rPr>
              <w:t>463,587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Stock based compensation</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14,807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14,807</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Issuance of restricted stock</w:t>
            </w:r>
          </w:p>
        </w:tc>
        <w:tc>
          <w:tcPr>
            <w:tcW w:w="800" w:type="dxa"/>
            <w:vAlign w:val="bottom"/>
          </w:tcPr>
          <w:p>
            <w:pPr>
              <w:jc w:val="right"/>
              <w:ind w:right="67"/>
              <w:spacing w:after="0"/>
              <w:rPr>
                <w:sz w:val="20"/>
                <w:szCs w:val="20"/>
                <w:color w:val="auto"/>
              </w:rPr>
            </w:pPr>
            <w:r>
              <w:rPr>
                <w:rFonts w:ascii="Arial" w:cs="Arial" w:eastAsia="Arial" w:hAnsi="Arial"/>
                <w:sz w:val="11"/>
                <w:szCs w:val="11"/>
                <w:color w:val="auto"/>
              </w:rPr>
              <w:t>1,304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1"/>
                <w:szCs w:val="11"/>
                <w:color w:val="auto"/>
              </w:rPr>
              <w:t>—</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Preferred stock dividends declared</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(10,181)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(10,181)</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Amortization of preferred stock issuance costs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(432)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(432)</w:t>
            </w:r>
          </w:p>
        </w:tc>
      </w:tr>
      <w:tr>
        <w:trPr>
          <w:trHeight w:val="22"/>
        </w:trPr>
        <w:tc>
          <w:tcPr>
            <w:tcW w:w="4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Retirement of treasury stock</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3,893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68,330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(68,330)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Shares withheld for taxes in connection with issuance of restricted stock</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(10)</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Treasury shares received in connection with PIPE Purchase Agreement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(5,995)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27"/>
              <w:spacing w:after="0"/>
              <w:rPr>
                <w:sz w:val="20"/>
                <w:szCs w:val="20"/>
                <w:color w:val="auto"/>
              </w:rPr>
            </w:pPr>
            <w:r>
              <w:rPr>
                <w:rFonts w:ascii="Arial" w:cs="Arial" w:eastAsia="Arial" w:hAnsi="Arial"/>
                <w:sz w:val="11"/>
                <w:szCs w:val="11"/>
                <w:color w:val="auto"/>
              </w:rPr>
              <w:t>(44,830)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(44,830)</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Net loss attributable to Synchronoss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(76,697)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(76,697)</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Non-controlling interest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1"/>
                <w:szCs w:val="11"/>
                <w:color w:val="auto"/>
              </w:rPr>
              <w:t>10,237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1"/>
                <w:szCs w:val="11"/>
                <w:color w:val="auto"/>
              </w:rPr>
              <w:t>10,237</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Total other comprehensive income (loss)</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tcPr>
          <w:p>
            <w:pPr>
              <w:jc w:val="right"/>
              <w:ind w:right="27"/>
              <w:spacing w:after="0"/>
              <w:rPr>
                <w:sz w:val="20"/>
                <w:szCs w:val="20"/>
                <w:color w:val="auto"/>
              </w:rPr>
            </w:pPr>
            <w:r>
              <w:rPr>
                <w:rFonts w:ascii="Arial" w:cs="Arial" w:eastAsia="Arial" w:hAnsi="Arial"/>
                <w:sz w:val="11"/>
                <w:szCs w:val="11"/>
                <w:color w:val="auto"/>
              </w:rPr>
              <w:t>(5,565)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(5,565)</w:t>
            </w:r>
          </w:p>
        </w:tc>
      </w:tr>
      <w:tr>
        <w:trPr>
          <w:trHeight w:val="22"/>
        </w:trPr>
        <w:tc>
          <w:tcPr>
            <w:tcW w:w="42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1"/>
                <w:szCs w:val="11"/>
                <w:color w:val="auto"/>
              </w:rPr>
              <w:t>ASC 606 revenue recognition implementation impact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
              <w:spacing w:after="0"/>
              <w:rPr>
                <w:sz w:val="20"/>
                <w:szCs w:val="20"/>
                <w:color w:val="auto"/>
              </w:rPr>
            </w:pPr>
            <w:r>
              <w:rPr>
                <w:rFonts w:ascii="Arial" w:cs="Arial" w:eastAsia="Arial" w:hAnsi="Arial"/>
                <w:sz w:val="11"/>
                <w:szCs w:val="11"/>
                <w:color w:val="auto"/>
              </w:rPr>
              <w:t>(10,130)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1"/>
                <w:szCs w:val="11"/>
                <w:color w:val="auto"/>
              </w:rPr>
              <w:t>(10,130)</w:t>
            </w:r>
          </w:p>
        </w:tc>
      </w:tr>
      <w:tr>
        <w:trPr>
          <w:trHeight w:val="248"/>
        </w:trPr>
        <w:tc>
          <w:tcPr>
            <w:tcW w:w="4240" w:type="dxa"/>
            <w:vAlign w:val="bottom"/>
          </w:tcPr>
          <w:p>
            <w:pPr>
              <w:ind w:left="180"/>
              <w:spacing w:after="0"/>
              <w:rPr>
                <w:sz w:val="20"/>
                <w:szCs w:val="20"/>
                <w:color w:val="auto"/>
              </w:rPr>
            </w:pPr>
            <w:r>
              <w:rPr>
                <w:rFonts w:ascii="Arial" w:cs="Arial" w:eastAsia="Arial" w:hAnsi="Arial"/>
                <w:sz w:val="11"/>
                <w:szCs w:val="11"/>
                <w:color w:val="auto"/>
              </w:rPr>
              <w:t>Other</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1"/>
                <w:szCs w:val="21"/>
                <w:color w:val="auto"/>
              </w:rPr>
            </w:pPr>
          </w:p>
        </w:tc>
        <w:tc>
          <w:tcPr>
            <w:tcW w:w="700" w:type="dxa"/>
            <w:vAlign w:val="bottom"/>
          </w:tcPr>
          <w:p>
            <w:pPr>
              <w:jc w:val="right"/>
              <w:ind w:right="27"/>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1"/>
                <w:szCs w:val="21"/>
                <w:color w:val="auto"/>
              </w:rPr>
            </w:pPr>
          </w:p>
        </w:tc>
        <w:tc>
          <w:tcPr>
            <w:tcW w:w="680" w:type="dxa"/>
            <w:vAlign w:val="bottom"/>
          </w:tcPr>
          <w:p>
            <w:pPr>
              <w:jc w:val="right"/>
              <w:ind w:right="28"/>
              <w:spacing w:after="0"/>
              <w:rPr>
                <w:sz w:val="20"/>
                <w:szCs w:val="20"/>
                <w:color w:val="auto"/>
              </w:rPr>
            </w:pPr>
            <w:r>
              <w:rPr>
                <w:rFonts w:ascii="Arial" w:cs="Arial" w:eastAsia="Arial" w:hAnsi="Arial"/>
                <w:sz w:val="11"/>
                <w:szCs w:val="11"/>
                <w:color w:val="auto"/>
              </w:rPr>
              <w:t>(41)</w:t>
            </w: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2"/>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1"/>
                <w:szCs w:val="11"/>
                <w:b w:val="1"/>
                <w:bCs w:val="1"/>
                <w:color w:val="auto"/>
              </w:rPr>
              <w:t>Balance at June 30, 2018</w:t>
            </w:r>
          </w:p>
        </w:tc>
        <w:tc>
          <w:tcPr>
            <w:tcW w:w="8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49,439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5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(7,162)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1"/>
                <w:szCs w:val="11"/>
                <w:color w:val="auto"/>
                <w:w w:val="97"/>
              </w:rPr>
              <w:t>$</w:t>
            </w:r>
          </w:p>
        </w:tc>
        <w:tc>
          <w:tcPr>
            <w:tcW w:w="56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(82,084)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1"/>
                <w:szCs w:val="11"/>
                <w:color w:val="auto"/>
              </w:rPr>
              <w:t>543,603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1"/>
                <w:szCs w:val="11"/>
                <w:color w:val="auto"/>
              </w:rPr>
              <w:t>(28,938)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1"/>
                <w:szCs w:val="11"/>
                <w:color w:val="auto"/>
              </w:rPr>
              <w:t>(91,841)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1"/>
                <w:szCs w:val="11"/>
                <w:color w:val="auto"/>
              </w:rPr>
              <w:t>340,745</w:t>
            </w:r>
          </w:p>
        </w:tc>
      </w:tr>
      <w:tr>
        <w:trPr>
          <w:trHeight w:val="20"/>
        </w:trPr>
        <w:tc>
          <w:tcPr>
            <w:tcW w:w="4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Six Months Ended June 30,</w:t>
            </w:r>
          </w:p>
        </w:tc>
      </w:tr>
      <w:tr>
        <w:trPr>
          <w:trHeight w:val="263"/>
        </w:trPr>
        <w:tc>
          <w:tcPr>
            <w:tcW w:w="8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loss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(36,315)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(79,241)</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40,412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46,672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Change in fair value of financial instruments</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(3,849)</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debt issuance costs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706</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(Gain) loss on extinguishment of debt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(817)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PIK interest*</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(Earnings) loss from equity method investments*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1,619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bond premium</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Non-cash interest on leased facility</w:t>
            </w:r>
          </w:p>
        </w:tc>
        <w:tc>
          <w:tcPr>
            <w:tcW w:w="3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11,028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14,824</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Changes in operating assets and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Accounts receivable, net of allowance for doubtful accounts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29,334</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(13,415)</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Other assets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1,260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8,109</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Accrued expenses</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(9,569)</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(24,685)</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liabilities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632</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Lease obligation interest payment</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(483)</w:t>
            </w: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(13,167)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(43,788)</w:t>
            </w:r>
          </w:p>
        </w:tc>
      </w:tr>
      <w:tr>
        <w:trPr>
          <w:trHeight w:val="250"/>
        </w:trPr>
        <w:tc>
          <w:tcPr>
            <w:tcW w:w="8580" w:type="dxa"/>
            <w:vAlign w:val="bottom"/>
          </w:tcPr>
          <w:p>
            <w:pPr>
              <w:ind w:left="40"/>
              <w:spacing w:after="0"/>
              <w:rPr>
                <w:sz w:val="20"/>
                <w:szCs w:val="20"/>
                <w:color w:val="auto"/>
              </w:rPr>
            </w:pPr>
            <w:r>
              <w:rPr>
                <w:rFonts w:ascii="Arial" w:cs="Arial" w:eastAsia="Arial" w:hAnsi="Arial"/>
                <w:sz w:val="14"/>
                <w:szCs w:val="14"/>
                <w:color w:val="auto"/>
              </w:rPr>
              <w:t>Net cash provided by (used for) operating activities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18,564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(71,381)</w:t>
            </w:r>
          </w:p>
        </w:tc>
      </w:tr>
      <w:tr>
        <w:trPr>
          <w:trHeight w:val="27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Purchases of property and equipment</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(4,940)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(3,820)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capitalized software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(5,959)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(8,201)</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Purchases of marketable securities available for sale</w:t>
            </w:r>
          </w:p>
        </w:tc>
        <w:tc>
          <w:tcPr>
            <w:tcW w:w="32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(37,542)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(13,383)</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Maturity of marketable securities available for sale</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28,191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1,970</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Business acquired, net of cash</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(9,798)</w:t>
            </w:r>
          </w:p>
        </w:tc>
      </w:tr>
      <w:tr>
        <w:trPr>
          <w:trHeight w:val="256"/>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cash used for investing activities</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(20,250)</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(33,232)</w:t>
            </w:r>
          </w:p>
        </w:tc>
      </w:tr>
      <w:tr>
        <w:trPr>
          <w:trHeight w:val="264"/>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Extinguishment of outstanding Convertible Senior Notes</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(65,887)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Pr>
          <w:p>
            <w:pPr>
              <w:ind w:left="280"/>
              <w:spacing w:after="0"/>
              <w:rPr>
                <w:sz w:val="20"/>
                <w:szCs w:val="20"/>
                <w:color w:val="auto"/>
              </w:rPr>
            </w:pPr>
            <w:r>
              <w:rPr>
                <w:rFonts w:ascii="Arial" w:cs="Arial" w:eastAsia="Arial" w:hAnsi="Arial"/>
                <w:sz w:val="14"/>
                <w:szCs w:val="14"/>
                <w:color w:val="auto"/>
              </w:rPr>
              <w:t>Proceeds from issuance of preferred stock</w:t>
            </w:r>
          </w:p>
        </w:tc>
        <w:tc>
          <w:tcPr>
            <w:tcW w:w="32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86,220</w:t>
            </w:r>
          </w:p>
        </w:tc>
      </w:tr>
      <w:tr>
        <w:trPr>
          <w:trHeight w:val="276"/>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dividend payment</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(7,075)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Payments for finance leases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(718)</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for) provided by financing activities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(73,574)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85,502</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Effect of exchange rate changes on cash</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(749)</w:t>
            </w:r>
          </w:p>
        </w:tc>
      </w:tr>
      <w:tr>
        <w:trPr>
          <w:trHeight w:val="256"/>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restricted cash and cash equivalents</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(75,250)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(19,860)</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Cash, restricted cash and cash equivalents, beginning of period</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109,860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246,125</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restricted cash and cash equivalents, end of period</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226,265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 per the Condensed Consolidated Balance Sheets</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34,229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222,785</w:t>
            </w:r>
          </w:p>
        </w:tc>
      </w:tr>
      <w:tr>
        <w:trPr>
          <w:trHeight w:val="264"/>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Restricted cash per the Condensed Consolidated Balance Sheets</w:t>
            </w: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3,480</w:t>
            </w: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226,265</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6"/>
        </w:trPr>
        <w:tc>
          <w:tcPr>
            <w:tcW w:w="8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58"/>
        </w:trPr>
        <w:tc>
          <w:tcPr>
            <w:tcW w:w="8580" w:type="dxa"/>
            <w:vAlign w:val="bottom"/>
          </w:tcPr>
          <w:p>
            <w:pPr>
              <w:ind w:left="280"/>
              <w:spacing w:after="0"/>
              <w:rPr>
                <w:sz w:val="20"/>
                <w:szCs w:val="20"/>
                <w:color w:val="auto"/>
              </w:rPr>
            </w:pPr>
            <w:r>
              <w:rPr>
                <w:rFonts w:ascii="Arial" w:cs="Arial" w:eastAsia="Arial" w:hAnsi="Arial"/>
                <w:sz w:val="14"/>
                <w:szCs w:val="14"/>
                <w:color w:val="auto"/>
              </w:rPr>
              <w:t>Accrued dividends on Series A Convertible Participating Perpetual Preferred Stock</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7,332</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10,181</w:t>
            </w:r>
          </w:p>
        </w:tc>
      </w:tr>
    </w:tbl>
    <w:p>
      <w:pPr>
        <w:spacing w:after="0"/>
        <w:rPr>
          <w:sz w:val="20"/>
          <w:szCs w:val="20"/>
          <w:color w:val="auto"/>
        </w:rPr>
      </w:pPr>
      <w:r>
        <w:rPr>
          <w:rFonts w:ascii="Arial" w:cs="Arial" w:eastAsia="Arial" w:hAnsi="Arial"/>
          <w:sz w:val="18"/>
          <w:szCs w:val="18"/>
          <w:color w:val="auto"/>
        </w:rPr>
        <w:t>_______________________________</w:t>
      </w:r>
    </w:p>
    <w:p>
      <w:pPr>
        <w:spacing w:after="0" w:line="2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6. Investments in Affiliates and Related Transactions</w:t>
      </w:r>
      <w:r>
        <w:rPr>
          <w:rFonts w:ascii="Arial" w:cs="Arial" w:eastAsia="Arial" w:hAnsi="Arial"/>
          <w:sz w:val="18"/>
          <w:szCs w:val="18"/>
          <w:color w:val="auto"/>
        </w:rPr>
        <w:t xml:space="preserve"> for related party transactions reflected in this account.</w:t>
      </w:r>
    </w:p>
    <w:p>
      <w:pPr>
        <w:spacing w:after="0" w:line="215" w:lineRule="exact"/>
        <w:rPr>
          <w:rFonts w:ascii="Arial" w:cs="Arial" w:eastAsia="Arial" w:hAnsi="Arial"/>
          <w:sz w:val="18"/>
          <w:szCs w:val="18"/>
          <w:color w:val="auto"/>
        </w:rPr>
      </w:pPr>
    </w:p>
    <w:p>
      <w:pPr>
        <w:ind w:left="3380"/>
        <w:spacing w:after="0"/>
        <w:rPr>
          <w:rFonts w:ascii="Arial" w:cs="Arial" w:eastAsia="Arial" w:hAnsi="Arial"/>
          <w:sz w:val="18"/>
          <w:szCs w:val="18"/>
          <w:color w:val="auto"/>
        </w:rPr>
      </w:pPr>
      <w:r>
        <w:rPr>
          <w:rFonts w:ascii="Arial" w:cs="Arial" w:eastAsia="Arial" w:hAnsi="Arial"/>
          <w:sz w:val="16"/>
          <w:szCs w:val="16"/>
          <w:color w:val="auto"/>
        </w:rPr>
        <w:t>See accompanying notes to condensed consolidated financial statements.</w:t>
      </w:r>
    </w:p>
    <w:p>
      <w:pPr>
        <w:sectPr>
          <w:pgSz w:w="11900" w:h="16838" w:orient="portrait"/>
          <w:cols w:equalWidth="0" w:num="1">
            <w:col w:w="11420"/>
          </w:cols>
          <w:pgMar w:left="240" w:top="125" w:right="239" w:bottom="800" w:gutter="0" w:footer="0" w:header="0"/>
        </w:sect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25" w:right="239" w:bottom="80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Synchronoss Technologies, Inc. (“Synchronoss” or the “Company”) Digital, Cloud, Messaging and IoT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delivers platforms, products and solutions including:</w:t>
      </w:r>
    </w:p>
    <w:p>
      <w:pPr>
        <w:spacing w:after="0" w:line="144" w:lineRule="exact"/>
        <w:rPr>
          <w:sz w:val="20"/>
          <w:szCs w:val="20"/>
          <w:color w:val="auto"/>
        </w:rPr>
      </w:pPr>
    </w:p>
    <w:p>
      <w:pPr>
        <w:ind w:left="980" w:right="2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experience management (Platform as a Service) - including digital journey creation, and journey design products that use analytics that power digital advisor products for IT and Business Channel Owners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Cloud sync, backup, storage, device set up, content transfer and content engagement for user generated content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multi-channel messaging peer-to-peer (“P2P”) communications and application-to-person (“A2P”) commerce solutions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management technology for Smart Cities, Smart Buildings, Automotive and more</w:t>
      </w:r>
    </w:p>
    <w:p>
      <w:pPr>
        <w:spacing w:after="0" w:line="2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Synchronoss Digital Experience Platform (“DXP”) is a purpose-built experience management toolset that sits between the customers’ end-user facing applications and their existing back end systems, enabling the authoring and management of customer journeys in a cloud-native no/low-code environment. This platform uses products such as Journey Creator, Journey Advisor, CX Baseline and Digital Coach to create a wide variety of insight-driven customer experiences across existing channels (digital and analogue) including creating the ability to pause and resume continuous, intelligent experiences in an omni-channel environment. DXP can be operated by IT professionals and “citizen” developers (business analysts, etc.) enabling the Company’s customers to bring more compelling and complex experiences to market in less time with fewer and more diverse resources in a real-time, collaborative environment.</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Synchronoss IoT Platform creates an easy to use environment and extensible ecosystem making the management of disparate devices, sensors, data pools and networks easier to manage by IoT administrators and drives the propagation of new IoT applications and monetization models for TMT companies. The Company’s IoT platform utilizes Synchronoss platforms (DXP, Cloud, Messaging), products and solutions to make IoT more accessible and actionable for Smart Building facility managers, Smart City planners, Automotive OEMs and TMT ecosystem players.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Basis of Presentation and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2018. The results of operations for the three and six months ended June 30, 2019 are not necessarily indicative of the results to be expected for the year ending December 31, 2019.</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2018.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cash includes amounts related to various deposits, escrows and other cash collateral that are restricted by contractual obligation. As of June 30, 2019, the restricted cash amounts were primarily attributed to cash held in transit, and operating cash held by the Company’s consolidated joint venture Zentry, LLC (“Zentry”), which cannot be used to fulfill the obligations of the Company as a whole.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accounting pronouncements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100330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280" w:type="dxa"/>
            <w:vAlign w:val="bottom"/>
          </w:tcPr>
          <w:p>
            <w:pPr>
              <w:ind w:left="100"/>
              <w:spacing w:after="0"/>
              <w:rPr>
                <w:sz w:val="20"/>
                <w:szCs w:val="20"/>
                <w:color w:val="auto"/>
              </w:rPr>
            </w:pPr>
            <w:r>
              <w:rPr>
                <w:rFonts w:ascii="Arial" w:cs="Arial" w:eastAsia="Arial" w:hAnsi="Arial"/>
                <w:sz w:val="16"/>
                <w:szCs w:val="16"/>
                <w:color w:val="auto"/>
              </w:rPr>
              <w:t>Description</w:t>
            </w:r>
          </w:p>
        </w:tc>
        <w:tc>
          <w:tcPr>
            <w:tcW w:w="3100" w:type="dxa"/>
            <w:vAlign w:val="bottom"/>
          </w:tcPr>
          <w:p>
            <w:pPr>
              <w:ind w:left="160"/>
              <w:spacing w:after="0"/>
              <w:rPr>
                <w:sz w:val="20"/>
                <w:szCs w:val="20"/>
                <w:color w:val="auto"/>
              </w:rPr>
            </w:pPr>
            <w:r>
              <w:rPr>
                <w:rFonts w:ascii="Arial" w:cs="Arial" w:eastAsia="Arial" w:hAnsi="Arial"/>
                <w:sz w:val="16"/>
                <w:szCs w:val="16"/>
                <w:color w:val="auto"/>
              </w:rPr>
              <w:t>Effect on the financial statements</w:t>
            </w:r>
          </w:p>
        </w:tc>
      </w:tr>
      <w:tr>
        <w:trPr>
          <w:trHeight w:val="47"/>
        </w:trPr>
        <w:tc>
          <w:tcPr>
            <w:tcW w:w="1980" w:type="dxa"/>
            <w:vAlign w:val="bottom"/>
            <w:tcBorders>
              <w:bottom w:val="single" w:sz="8" w:color="auto"/>
            </w:tcBorders>
          </w:tcPr>
          <w:p>
            <w:pPr>
              <w:spacing w:after="0"/>
              <w:rPr>
                <w:sz w:val="4"/>
                <w:szCs w:val="4"/>
                <w:color w:val="auto"/>
              </w:rPr>
            </w:pPr>
          </w:p>
        </w:tc>
        <w:tc>
          <w:tcPr>
            <w:tcW w:w="628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Update 2018-07—</w:t>
            </w:r>
          </w:p>
        </w:tc>
        <w:tc>
          <w:tcPr>
            <w:tcW w:w="6280" w:type="dxa"/>
            <w:vAlign w:val="bottom"/>
          </w:tcPr>
          <w:p>
            <w:pPr>
              <w:ind w:left="100"/>
              <w:spacing w:after="0"/>
              <w:rPr>
                <w:sz w:val="20"/>
                <w:szCs w:val="20"/>
                <w:color w:val="auto"/>
              </w:rPr>
            </w:pPr>
            <w:r>
              <w:rPr>
                <w:rFonts w:ascii="Arial" w:cs="Arial" w:eastAsia="Arial" w:hAnsi="Arial"/>
                <w:sz w:val="16"/>
                <w:szCs w:val="16"/>
                <w:color w:val="auto"/>
                <w:w w:val="98"/>
              </w:rPr>
              <w:t>In June 2018, the Financial Accounting Standards Board (“FASB”) issued ASU 2018-07,</w:t>
            </w:r>
          </w:p>
        </w:tc>
        <w:tc>
          <w:tcPr>
            <w:tcW w:w="3100" w:type="dxa"/>
            <w:vAlign w:val="bottom"/>
          </w:tcPr>
          <w:p>
            <w:pPr>
              <w:ind w:left="160"/>
              <w:spacing w:after="0"/>
              <w:rPr>
                <w:sz w:val="20"/>
                <w:szCs w:val="20"/>
                <w:color w:val="auto"/>
              </w:rPr>
            </w:pPr>
            <w:r>
              <w:rPr>
                <w:rFonts w:ascii="Arial" w:cs="Arial" w:eastAsia="Arial" w:hAnsi="Arial"/>
                <w:sz w:val="16"/>
                <w:szCs w:val="16"/>
                <w:color w:val="auto"/>
                <w:w w:val="93"/>
              </w:rPr>
              <w:t>The adoption of this standard did not have a</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Compensation—Stock</w:t>
            </w:r>
          </w:p>
        </w:tc>
        <w:tc>
          <w:tcPr>
            <w:tcW w:w="6280" w:type="dxa"/>
            <w:vAlign w:val="bottom"/>
          </w:tcPr>
          <w:p>
            <w:pPr>
              <w:ind w:left="100"/>
              <w:spacing w:after="0"/>
              <w:rPr>
                <w:sz w:val="20"/>
                <w:szCs w:val="20"/>
                <w:color w:val="auto"/>
              </w:rPr>
            </w:pPr>
            <w:r>
              <w:rPr>
                <w:rFonts w:ascii="Arial" w:cs="Arial" w:eastAsia="Arial" w:hAnsi="Arial"/>
                <w:sz w:val="16"/>
                <w:szCs w:val="16"/>
                <w:color w:val="auto"/>
                <w:w w:val="97"/>
              </w:rPr>
              <w:t>regarding ASC Topic 718 “Compensation - Stock Compensation,” which largely aligns the</w:t>
            </w:r>
          </w:p>
        </w:tc>
        <w:tc>
          <w:tcPr>
            <w:tcW w:w="3100" w:type="dxa"/>
            <w:vAlign w:val="bottom"/>
          </w:tcPr>
          <w:p>
            <w:pPr>
              <w:ind w:left="160"/>
              <w:spacing w:after="0"/>
              <w:rPr>
                <w:sz w:val="20"/>
                <w:szCs w:val="20"/>
                <w:color w:val="auto"/>
              </w:rPr>
            </w:pPr>
            <w:r>
              <w:rPr>
                <w:rFonts w:ascii="Arial" w:cs="Arial" w:eastAsia="Arial" w:hAnsi="Arial"/>
                <w:sz w:val="16"/>
                <w:szCs w:val="16"/>
                <w:color w:val="auto"/>
                <w:w w:val="92"/>
              </w:rPr>
              <w:t>material effect on the Company’s condensed</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Compensation (Topic 718):</w:t>
            </w:r>
          </w:p>
        </w:tc>
        <w:tc>
          <w:tcPr>
            <w:tcW w:w="6280" w:type="dxa"/>
            <w:vAlign w:val="bottom"/>
          </w:tcPr>
          <w:p>
            <w:pPr>
              <w:ind w:left="100"/>
              <w:spacing w:after="0"/>
              <w:rPr>
                <w:sz w:val="20"/>
                <w:szCs w:val="20"/>
                <w:color w:val="auto"/>
              </w:rPr>
            </w:pPr>
            <w:r>
              <w:rPr>
                <w:rFonts w:ascii="Arial" w:cs="Arial" w:eastAsia="Arial" w:hAnsi="Arial"/>
                <w:sz w:val="16"/>
                <w:szCs w:val="16"/>
                <w:color w:val="auto"/>
              </w:rPr>
              <w:t>accounting for share-based compensation for non-employees with employees. The</w:t>
            </w:r>
          </w:p>
        </w:tc>
        <w:tc>
          <w:tcPr>
            <w:tcW w:w="3100" w:type="dxa"/>
            <w:vAlign w:val="bottom"/>
          </w:tcPr>
          <w:p>
            <w:pPr>
              <w:ind w:left="160"/>
              <w:spacing w:after="0"/>
              <w:rPr>
                <w:sz w:val="20"/>
                <w:szCs w:val="20"/>
                <w:color w:val="auto"/>
              </w:rPr>
            </w:pPr>
            <w:r>
              <w:rPr>
                <w:rFonts w:ascii="Arial" w:cs="Arial" w:eastAsia="Arial" w:hAnsi="Arial"/>
                <w:sz w:val="16"/>
                <w:szCs w:val="16"/>
                <w:color w:val="auto"/>
              </w:rPr>
              <w:t>consolidated financial statements.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Improvements to Non-</w:t>
            </w:r>
          </w:p>
        </w:tc>
        <w:tc>
          <w:tcPr>
            <w:tcW w:w="6280" w:type="dxa"/>
            <w:vAlign w:val="bottom"/>
          </w:tcPr>
          <w:p>
            <w:pPr>
              <w:ind w:left="100"/>
              <w:spacing w:after="0"/>
              <w:rPr>
                <w:sz w:val="20"/>
                <w:szCs w:val="20"/>
                <w:color w:val="auto"/>
              </w:rPr>
            </w:pPr>
            <w:r>
              <w:rPr>
                <w:rFonts w:ascii="Arial" w:cs="Arial" w:eastAsia="Arial" w:hAnsi="Arial"/>
                <w:sz w:val="16"/>
                <w:szCs w:val="16"/>
                <w:color w:val="auto"/>
                <w:w w:val="96"/>
              </w:rPr>
              <w:t>amendments in this ASU are effective for public business entities for fiscal years beginning</w:t>
            </w:r>
          </w:p>
        </w:tc>
        <w:tc>
          <w:tcPr>
            <w:tcW w:w="3100" w:type="dxa"/>
            <w:vAlign w:val="bottom"/>
          </w:tcPr>
          <w:p>
            <w:pPr>
              <w:spacing w:after="0"/>
              <w:rPr>
                <w:sz w:val="17"/>
                <w:szCs w:val="17"/>
                <w:color w:val="auto"/>
              </w:rPr>
            </w:pP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employee Share-Based</w:t>
            </w:r>
          </w:p>
        </w:tc>
        <w:tc>
          <w:tcPr>
            <w:tcW w:w="6280" w:type="dxa"/>
            <w:vAlign w:val="bottom"/>
          </w:tcPr>
          <w:p>
            <w:pPr>
              <w:ind w:left="100"/>
              <w:spacing w:after="0"/>
              <w:rPr>
                <w:sz w:val="20"/>
                <w:szCs w:val="20"/>
                <w:color w:val="auto"/>
              </w:rPr>
            </w:pPr>
            <w:r>
              <w:rPr>
                <w:rFonts w:ascii="Arial" w:cs="Arial" w:eastAsia="Arial" w:hAnsi="Arial"/>
                <w:sz w:val="16"/>
                <w:szCs w:val="16"/>
                <w:color w:val="auto"/>
                <w:w w:val="96"/>
              </w:rPr>
              <w:t>after December 15, 2018, including interim periods within that fiscal year. Early adoption is</w:t>
            </w:r>
          </w:p>
        </w:tc>
        <w:tc>
          <w:tcPr>
            <w:tcW w:w="3100" w:type="dxa"/>
            <w:vAlign w:val="bottom"/>
          </w:tcPr>
          <w:p>
            <w:pPr>
              <w:spacing w:after="0"/>
              <w:rPr>
                <w:sz w:val="17"/>
                <w:szCs w:val="17"/>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Payment Accounting</w:t>
            </w:r>
          </w:p>
        </w:tc>
        <w:tc>
          <w:tcPr>
            <w:tcW w:w="6280" w:type="dxa"/>
            <w:vAlign w:val="bottom"/>
          </w:tcPr>
          <w:p>
            <w:pPr>
              <w:ind w:left="100"/>
              <w:spacing w:after="0"/>
              <w:rPr>
                <w:sz w:val="20"/>
                <w:szCs w:val="20"/>
                <w:color w:val="auto"/>
              </w:rPr>
            </w:pPr>
            <w:r>
              <w:rPr>
                <w:rFonts w:ascii="Arial" w:cs="Arial" w:eastAsia="Arial" w:hAnsi="Arial"/>
                <w:sz w:val="16"/>
                <w:szCs w:val="16"/>
                <w:color w:val="auto"/>
              </w:rPr>
              <w:t>permitted, but no earlier than an entity’s adoption date of Topic 606.</w:t>
            </w:r>
          </w:p>
        </w:tc>
        <w:tc>
          <w:tcPr>
            <w:tcW w:w="3100" w:type="dxa"/>
            <w:vAlign w:val="bottom"/>
          </w:tcPr>
          <w:p>
            <w:pPr>
              <w:spacing w:after="0"/>
              <w:rPr>
                <w:sz w:val="17"/>
                <w:szCs w:val="17"/>
                <w:color w:val="auto"/>
              </w:rPr>
            </w:pP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280" w:type="dxa"/>
            <w:vAlign w:val="bottom"/>
          </w:tcPr>
          <w:p>
            <w:pPr>
              <w:spacing w:after="0"/>
              <w:rPr>
                <w:sz w:val="21"/>
                <w:szCs w:val="21"/>
                <w:color w:val="auto"/>
              </w:rPr>
            </w:pPr>
          </w:p>
        </w:tc>
        <w:tc>
          <w:tcPr>
            <w:tcW w:w="310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2019.</w:t>
            </w:r>
          </w:p>
        </w:tc>
        <w:tc>
          <w:tcPr>
            <w:tcW w:w="6280" w:type="dxa"/>
            <w:vAlign w:val="bottom"/>
          </w:tcPr>
          <w:p>
            <w:pPr>
              <w:spacing w:after="0"/>
              <w:rPr>
                <w:sz w:val="17"/>
                <w:szCs w:val="17"/>
                <w:color w:val="auto"/>
              </w:rPr>
            </w:pPr>
          </w:p>
        </w:tc>
        <w:tc>
          <w:tcPr>
            <w:tcW w:w="3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20955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64"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ASU 2018-15 Intangibles -</w:t>
      </w:r>
      <w:r>
        <w:rPr>
          <w:sz w:val="20"/>
          <w:szCs w:val="20"/>
          <w:color w:val="auto"/>
        </w:rPr>
        <w:tab/>
      </w:r>
      <w:r>
        <w:rPr>
          <w:rFonts w:ascii="Arial" w:cs="Arial" w:eastAsia="Arial" w:hAnsi="Arial"/>
          <w:sz w:val="14"/>
          <w:szCs w:val="14"/>
          <w:color w:val="auto"/>
        </w:rPr>
        <w:t>In August 2018, the FASB issued final guidance requiring a customer in a cloud computing</w:t>
      </w:r>
    </w:p>
    <w:p>
      <w:pPr>
        <w:spacing w:after="0" w:line="22"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Goodwill and Other -</w:t>
      </w:r>
      <w:r>
        <w:rPr>
          <w:sz w:val="20"/>
          <w:szCs w:val="20"/>
          <w:color w:val="auto"/>
        </w:rPr>
        <w:tab/>
      </w:r>
      <w:r>
        <w:rPr>
          <w:rFonts w:ascii="Arial" w:cs="Arial" w:eastAsia="Arial" w:hAnsi="Arial"/>
          <w:sz w:val="14"/>
          <w:szCs w:val="14"/>
          <w:color w:val="auto"/>
        </w:rPr>
        <w:t>arrangement that is a service contract to follow the internal use software guidance in</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Internal Use Software</w:t>
      </w:r>
      <w:r>
        <w:rPr>
          <w:sz w:val="20"/>
          <w:szCs w:val="20"/>
          <w:color w:val="auto"/>
        </w:rPr>
        <w:tab/>
      </w:r>
      <w:r>
        <w:rPr>
          <w:rFonts w:ascii="Arial" w:cs="Arial" w:eastAsia="Arial" w:hAnsi="Arial"/>
          <w:sz w:val="15"/>
          <w:szCs w:val="15"/>
          <w:color w:val="auto"/>
        </w:rPr>
        <w:t>Accounting Standards Codification (“ASC”) 350-402 Intangibles - Goodwill and Other -</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(Subtopic 350-40): Cloud</w:t>
      </w:r>
      <w:r>
        <w:rPr>
          <w:sz w:val="20"/>
          <w:szCs w:val="20"/>
          <w:color w:val="auto"/>
        </w:rPr>
        <w:tab/>
      </w:r>
      <w:r>
        <w:rPr>
          <w:rFonts w:ascii="Arial" w:cs="Arial" w:eastAsia="Arial" w:hAnsi="Arial"/>
          <w:sz w:val="14"/>
          <w:szCs w:val="14"/>
          <w:color w:val="auto"/>
        </w:rPr>
        <w:t>Internal Use Software (Subtopic 350-40) to determine which implementation costs to</w:t>
      </w:r>
    </w:p>
    <w:p>
      <w:pPr>
        <w:spacing w:after="0" w:line="19" w:lineRule="exact"/>
        <w:rPr>
          <w:sz w:val="20"/>
          <w:szCs w:val="20"/>
          <w:color w:val="auto"/>
        </w:rPr>
      </w:pPr>
    </w:p>
    <w:p>
      <w:pPr>
        <w:ind w:left="60"/>
        <w:spacing w:after="0"/>
        <w:tabs>
          <w:tab w:leader="none" w:pos="2100" w:val="left"/>
        </w:tabs>
        <w:rPr>
          <w:sz w:val="20"/>
          <w:szCs w:val="20"/>
          <w:color w:val="auto"/>
        </w:rPr>
      </w:pPr>
      <w:r>
        <w:rPr>
          <w:rFonts w:ascii="Arial" w:cs="Arial" w:eastAsia="Arial" w:hAnsi="Arial"/>
          <w:sz w:val="16"/>
          <w:szCs w:val="16"/>
          <w:color w:val="auto"/>
        </w:rPr>
        <w:t>Computing Arrangements</w:t>
      </w:r>
      <w:r>
        <w:rPr>
          <w:sz w:val="20"/>
          <w:szCs w:val="20"/>
          <w:color w:val="auto"/>
        </w:rPr>
        <w:tab/>
      </w:r>
      <w:r>
        <w:rPr>
          <w:rFonts w:ascii="Arial" w:cs="Arial" w:eastAsia="Arial" w:hAnsi="Arial"/>
          <w:sz w:val="14"/>
          <w:szCs w:val="14"/>
          <w:color w:val="auto"/>
        </w:rPr>
        <w:t>capitalize as assets. The amendments in this ASU are effective for fiscal years beginning after</w:t>
      </w:r>
    </w:p>
    <w:p>
      <w:pPr>
        <w:spacing w:after="0" w:line="19" w:lineRule="exact"/>
        <w:rPr>
          <w:sz w:val="20"/>
          <w:szCs w:val="20"/>
          <w:color w:val="auto"/>
        </w:rPr>
      </w:pPr>
    </w:p>
    <w:p>
      <w:pPr>
        <w:ind w:left="2120"/>
        <w:spacing w:after="0" w:line="302" w:lineRule="auto"/>
        <w:rPr>
          <w:sz w:val="20"/>
          <w:szCs w:val="20"/>
          <w:color w:val="auto"/>
        </w:rPr>
      </w:pPr>
      <w:r>
        <w:rPr>
          <w:rFonts w:ascii="Arial" w:cs="Arial" w:eastAsia="Arial" w:hAnsi="Arial"/>
          <w:sz w:val="15"/>
          <w:szCs w:val="15"/>
          <w:color w:val="auto"/>
        </w:rPr>
        <w:t>December 15, 2019. Early adoption of the amendments is permitted, including adoption in any interim period, for all entities and should be applied either retrospectively or prospectively to all implementation costs incurred after the date of adoption.</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of adoption: January 1,</w:t>
      </w:r>
    </w:p>
    <w:p>
      <w:pPr>
        <w:spacing w:after="0" w:line="2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33020</wp:posOffset>
            </wp:positionV>
            <wp:extent cx="7203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jc w:val="both"/>
        <w:ind w:right="60"/>
        <w:spacing w:after="0" w:line="335" w:lineRule="auto"/>
        <w:rPr>
          <w:sz w:val="20"/>
          <w:szCs w:val="20"/>
          <w:color w:val="auto"/>
        </w:rPr>
      </w:pPr>
      <w:r>
        <w:rPr>
          <w:rFonts w:ascii="Arial" w:cs="Arial" w:eastAsia="Arial" w:hAnsi="Arial"/>
          <w:sz w:val="14"/>
          <w:szCs w:val="14"/>
          <w:color w:val="auto"/>
        </w:rPr>
        <w:t>The adoption of this standard did not have a material effect on the Company’s condensed consolidated financial statements.</w:t>
      </w:r>
    </w:p>
    <w:p>
      <w:pPr>
        <w:spacing w:after="0" w:line="1590" w:lineRule="exact"/>
        <w:rPr>
          <w:sz w:val="20"/>
          <w:szCs w:val="20"/>
          <w:color w:val="auto"/>
        </w:rPr>
      </w:pPr>
    </w:p>
    <w:p>
      <w:pPr>
        <w:sectPr>
          <w:pgSz w:w="11900" w:h="16838" w:orient="portrait"/>
          <w:cols w:equalWidth="0" w:num="2">
            <w:col w:w="8260" w:space="200"/>
            <w:col w:w="2960"/>
          </w:cols>
          <w:pgMar w:left="240" w:top="125" w:right="239" w:bottom="1440" w:gutter="0" w:footer="0" w:header="0"/>
          <w:type w:val="continuous"/>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adopted Accounting Standards Codification Topic 842, Leases (ASC 842) on January 1, 2019. ASC 842 applies to a number of arrangements to which the Company is party whereby the Company acts as a lessee.</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Whenever the Company enters into a new arrangement, it must determine, at the inception date, whether the arrangement contains a lease.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to not separate lease and non-lease components. Each lease component is accounted for separately from other lease components, but together with the associated non-lease components.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each lease, the Company must then determine:</w:t>
      </w:r>
    </w:p>
    <w:p>
      <w:pPr>
        <w:spacing w:after="0" w:line="252" w:lineRule="exact"/>
        <w:rPr>
          <w:sz w:val="20"/>
          <w:szCs w:val="20"/>
          <w:color w:val="auto"/>
        </w:rPr>
      </w:pPr>
    </w:p>
    <w:p>
      <w:pPr>
        <w:jc w:val="both"/>
        <w:ind w:left="660" w:firstLine="320"/>
        <w:spacing w:after="0" w:line="311" w:lineRule="auto"/>
        <w:tabs>
          <w:tab w:leader="none" w:pos="137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lease term - The lease term is the period of the lease not cancellable by the Company, together with periods covered by: (i) renewal options the Company is reasonably certain to exercise or that are controlled by the lessor and (ii) termination options the Company is reasonably certain not to exercise.</w:t>
      </w:r>
    </w:p>
    <w:p>
      <w:pPr>
        <w:spacing w:after="0" w:line="181" w:lineRule="exact"/>
        <w:rPr>
          <w:rFonts w:ascii="Arial" w:cs="Arial" w:eastAsia="Arial" w:hAnsi="Arial"/>
          <w:sz w:val="18"/>
          <w:szCs w:val="18"/>
          <w:color w:val="auto"/>
        </w:rPr>
      </w:pPr>
    </w:p>
    <w:p>
      <w:pPr>
        <w:ind w:left="1360" w:hanging="380"/>
        <w:spacing w:after="0"/>
        <w:tabs>
          <w:tab w:leader="none" w:pos="1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present value of lease payments is calculated based on:</w:t>
      </w:r>
    </w:p>
    <w:p>
      <w:pPr>
        <w:spacing w:after="0" w:line="265" w:lineRule="exact"/>
        <w:rPr>
          <w:rFonts w:ascii="Arial" w:cs="Arial" w:eastAsia="Arial" w:hAnsi="Arial"/>
          <w:sz w:val="18"/>
          <w:szCs w:val="18"/>
          <w:color w:val="auto"/>
        </w:rPr>
      </w:pPr>
    </w:p>
    <w:p>
      <w:pPr>
        <w:jc w:val="both"/>
        <w:ind w:left="1300" w:firstLine="324"/>
        <w:spacing w:after="0" w:line="325" w:lineRule="auto"/>
        <w:rPr>
          <w:rFonts w:ascii="Arial" w:cs="Arial" w:eastAsia="Arial" w:hAnsi="Arial"/>
          <w:sz w:val="18"/>
          <w:szCs w:val="18"/>
          <w:color w:val="auto"/>
        </w:rPr>
      </w:pPr>
      <w:r>
        <w:rPr>
          <w:rFonts w:ascii="Arial" w:cs="Arial" w:eastAsia="Arial" w:hAnsi="Arial"/>
          <w:sz w:val="17"/>
          <w:szCs w:val="17"/>
          <w:color w:val="auto"/>
        </w:rPr>
        <w:t>– Lease payments - Lease payments include certain fixed and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(i) not related to the transfer of goods and services to the Company and (ii) allocated to the non-lease components in a lease arrangement, except for the classes of assets where the Company has elected to not separate lease and non-lease components.</w:t>
      </w:r>
    </w:p>
    <w:p>
      <w:pPr>
        <w:spacing w:after="0" w:line="175" w:lineRule="exact"/>
        <w:rPr>
          <w:rFonts w:ascii="Arial" w:cs="Arial" w:eastAsia="Arial" w:hAnsi="Arial"/>
          <w:sz w:val="18"/>
          <w:szCs w:val="18"/>
          <w:color w:val="auto"/>
        </w:rPr>
      </w:pPr>
    </w:p>
    <w:p>
      <w:pPr>
        <w:jc w:val="both"/>
        <w:ind w:left="1300" w:firstLine="324"/>
        <w:spacing w:after="0" w:line="354" w:lineRule="auto"/>
        <w:rPr>
          <w:rFonts w:ascii="Arial" w:cs="Arial" w:eastAsia="Arial" w:hAnsi="Arial"/>
          <w:sz w:val="18"/>
          <w:szCs w:val="18"/>
          <w:color w:val="auto"/>
        </w:rPr>
      </w:pPr>
      <w:r>
        <w:rPr>
          <w:rFonts w:ascii="Arial" w:cs="Arial" w:eastAsia="Arial" w:hAnsi="Arial"/>
          <w:sz w:val="16"/>
          <w:szCs w:val="16"/>
          <w:color w:val="auto"/>
        </w:rPr>
        <w:t>– Discount rate - 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156" w:lineRule="exact"/>
        <w:rPr>
          <w:rFonts w:ascii="Arial" w:cs="Arial" w:eastAsia="Arial" w:hAnsi="Arial"/>
          <w:sz w:val="18"/>
          <w:szCs w:val="18"/>
          <w:color w:val="auto"/>
        </w:rPr>
      </w:pPr>
    </w:p>
    <w:p>
      <w:pPr>
        <w:jc w:val="both"/>
        <w:ind w:left="660" w:firstLine="320"/>
        <w:spacing w:after="0" w:line="336" w:lineRule="auto"/>
        <w:tabs>
          <w:tab w:leader="none" w:pos="1371" w:val="left"/>
        </w:tabs>
        <w:numPr>
          <w:ilvl w:val="0"/>
          <w:numId w:val="7"/>
        </w:numPr>
        <w:rPr>
          <w:rFonts w:ascii="Arial" w:cs="Arial" w:eastAsia="Arial" w:hAnsi="Arial"/>
          <w:sz w:val="17"/>
          <w:szCs w:val="17"/>
          <w:color w:val="auto"/>
        </w:rPr>
      </w:pPr>
      <w:r>
        <w:rPr>
          <w:rFonts w:ascii="Arial" w:cs="Arial" w:eastAsia="Arial" w:hAnsi="Arial"/>
          <w:sz w:val="17"/>
          <w:szCs w:val="17"/>
          <w:color w:val="auto"/>
        </w:rPr>
        <w:t>Lease classification - 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13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Generally, upon the commencement of a lease, the Company will record a lease liability and a right-of-use (ROU) asset. However, the Company has elected, for certain classes of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and (ii) lease payments made, net of lease incentives received, prior to lease commencement.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Over the lease term, the Company generally increases it lease liabilities using the effective interest method and decreases its lease liabilities for lease payments made. The Company generally amortizes its ROU assets over the shorter of the estimated useful life and the lease term and assesses its ROU assets for impairment, similar to other long-lived assets.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finance leases, amortization expense and interest expense are recognized separately in the Condensed Consolidated Statements of Operations, with amortization expense generally recorded on a straight-line basis and interest expense recorded using the effective interest method. For operating leases, a single lease cost is generally recognized in the Condensed Consolidated Statements of Operations on a straight-line basis over the lease term. Lease costs for short-term leases not recognized in the Condensed Consolidated Balance Sheets are recognized in the Condensed Consolidated Statements of Operations on a straight-line basis over the lease term. Variable lease costs not initially included in the lease liability and ROU asset impairment charges are expensed as incurred.</w:t>
      </w:r>
    </w:p>
    <w:p>
      <w:pPr>
        <w:spacing w:after="0" w:line="19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ASU No. 2016-02, “Leases (Topic 842)” (ASU 2016-02). In July 2018, the FASB issued ASU No. 2018-10, “Codification Improvements to Topic 842, Leases” (ASU 2018-10), which provides narrow amendments to clarify how to apply certain aspects of the new lease standard, and ASU No. 2018-11, “Leases (Topic 842) - Targeted Improvements” (ASU 2018-11), which addresses implementation issues related to the new lease standard. These and certain other lease-related ASUs have generally been codified in ASC 842. ASC 842 supersedes the lease accounting requirements in Accounting Standards Codification Topic 840, Leases (ASC 840), and requires lessees to, among other things, recognize a lease liability, which represents the discounted obligation to make future minimum lease payments, and a corresponding right-of-use asset on the balance sheet for most leases.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adopted ASC 842 on January 1, 2019 for leases that existed on that date. The Company has elected to apply the provisions of ASC 842 modified retrospectively at January 1, 2019 through a cumulative-effect adjustment. Prior period results continue to be presented under ASC 840 based on the accounting standards originally in effect for such periods.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elected certain practical expedients permitted under the transition guidance within ASC 842 to leases that commenced before January 1, 2019, including the package of practical expedients. Due to the Company's election of the package of practical expedients, the Company has carried forward certain historical conclusions for expired or existing contracts, including conclusions relating to initial direct costs and to the existence and classification of leases.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January 1, 2019, as a result of adopting ASC 842, the Company recorded a net decrease of $3.6 million to its Accumulated deficit.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adoption of ASC 842 did not have a material effect on the Company's Loss from continuing operations or Net loss, or the related per-share amounts, during the three and six months ended June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Standards issued not yet adopted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100330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18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Standard</w:t>
            </w:r>
          </w:p>
        </w:tc>
        <w:tc>
          <w:tcPr>
            <w:tcW w:w="6400" w:type="dxa"/>
            <w:vAlign w:val="bottom"/>
          </w:tcPr>
          <w:p>
            <w:pPr>
              <w:ind w:left="120"/>
              <w:spacing w:after="0"/>
              <w:rPr>
                <w:sz w:val="20"/>
                <w:szCs w:val="20"/>
                <w:color w:val="auto"/>
              </w:rPr>
            </w:pPr>
            <w:r>
              <w:rPr>
                <w:rFonts w:ascii="Arial" w:cs="Arial" w:eastAsia="Arial" w:hAnsi="Arial"/>
                <w:sz w:val="16"/>
                <w:szCs w:val="16"/>
                <w:color w:val="auto"/>
              </w:rPr>
              <w:t>Description</w:t>
            </w:r>
          </w:p>
        </w:tc>
        <w:tc>
          <w:tcPr>
            <w:tcW w:w="3000" w:type="dxa"/>
            <w:vAlign w:val="bottom"/>
          </w:tcPr>
          <w:p>
            <w:pPr>
              <w:ind w:left="80"/>
              <w:spacing w:after="0"/>
              <w:rPr>
                <w:sz w:val="20"/>
                <w:szCs w:val="20"/>
                <w:color w:val="auto"/>
              </w:rPr>
            </w:pPr>
            <w:r>
              <w:rPr>
                <w:rFonts w:ascii="Arial" w:cs="Arial" w:eastAsia="Arial" w:hAnsi="Arial"/>
                <w:sz w:val="16"/>
                <w:szCs w:val="16"/>
                <w:color w:val="auto"/>
              </w:rPr>
              <w:t>Effect on the financial statements</w:t>
            </w:r>
          </w:p>
        </w:tc>
      </w:tr>
      <w:tr>
        <w:trPr>
          <w:trHeight w:val="33"/>
        </w:trPr>
        <w:tc>
          <w:tcPr>
            <w:tcW w:w="198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Update 2018-17-</w:t>
            </w:r>
          </w:p>
        </w:tc>
        <w:tc>
          <w:tcPr>
            <w:tcW w:w="6400" w:type="dxa"/>
            <w:vAlign w:val="bottom"/>
          </w:tcPr>
          <w:p>
            <w:pPr>
              <w:ind w:left="120"/>
              <w:spacing w:after="0"/>
              <w:rPr>
                <w:sz w:val="20"/>
                <w:szCs w:val="20"/>
                <w:color w:val="auto"/>
              </w:rPr>
            </w:pPr>
            <w:r>
              <w:rPr>
                <w:rFonts w:ascii="Arial" w:cs="Arial" w:eastAsia="Arial" w:hAnsi="Arial"/>
                <w:sz w:val="16"/>
                <w:szCs w:val="16"/>
                <w:color w:val="auto"/>
                <w:w w:val="95"/>
              </w:rPr>
              <w:t>The update is intended to improve general purpose financial reporting by considering indirect</w:t>
            </w:r>
          </w:p>
        </w:tc>
        <w:tc>
          <w:tcPr>
            <w:tcW w:w="3000" w:type="dxa"/>
            <w:vAlign w:val="bottom"/>
          </w:tcPr>
          <w:p>
            <w:pPr>
              <w:ind w:left="8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Consolidation (Topic 810):</w:t>
            </w:r>
          </w:p>
        </w:tc>
        <w:tc>
          <w:tcPr>
            <w:tcW w:w="6400" w:type="dxa"/>
            <w:vAlign w:val="bottom"/>
          </w:tcPr>
          <w:p>
            <w:pPr>
              <w:ind w:left="120"/>
              <w:spacing w:after="0"/>
              <w:rPr>
                <w:sz w:val="20"/>
                <w:szCs w:val="20"/>
                <w:color w:val="auto"/>
              </w:rPr>
            </w:pPr>
            <w:r>
              <w:rPr>
                <w:rFonts w:ascii="Arial" w:cs="Arial" w:eastAsia="Arial" w:hAnsi="Arial"/>
                <w:sz w:val="16"/>
                <w:szCs w:val="16"/>
                <w:color w:val="auto"/>
                <w:w w:val="94"/>
              </w:rPr>
              <w:t>interests held through related parties in common control arrangements on a proportional basis</w:t>
            </w:r>
          </w:p>
        </w:tc>
        <w:tc>
          <w:tcPr>
            <w:tcW w:w="3000" w:type="dxa"/>
            <w:vAlign w:val="bottom"/>
          </w:tcPr>
          <w:p>
            <w:pPr>
              <w:ind w:left="80"/>
              <w:spacing w:after="0"/>
              <w:rPr>
                <w:sz w:val="20"/>
                <w:szCs w:val="20"/>
                <w:color w:val="auto"/>
              </w:rPr>
            </w:pPr>
            <w:r>
              <w:rPr>
                <w:rFonts w:ascii="Arial" w:cs="Arial" w:eastAsia="Arial" w:hAnsi="Arial"/>
                <w:sz w:val="16"/>
                <w:szCs w:val="16"/>
                <w:color w:val="auto"/>
              </w:rPr>
              <w:t>impact of the adoption of this ASU on its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Targeted Improvements to</w:t>
            </w:r>
          </w:p>
        </w:tc>
        <w:tc>
          <w:tcPr>
            <w:tcW w:w="6400" w:type="dxa"/>
            <w:vAlign w:val="bottom"/>
          </w:tcPr>
          <w:p>
            <w:pPr>
              <w:ind w:left="120"/>
              <w:spacing w:after="0"/>
              <w:rPr>
                <w:sz w:val="20"/>
                <w:szCs w:val="20"/>
                <w:color w:val="auto"/>
              </w:rPr>
            </w:pPr>
            <w:r>
              <w:rPr>
                <w:rFonts w:ascii="Arial" w:cs="Arial" w:eastAsia="Arial" w:hAnsi="Arial"/>
                <w:sz w:val="16"/>
                <w:szCs w:val="16"/>
                <w:color w:val="auto"/>
              </w:rPr>
              <w:t>for determining whether fees paid to decision makers and service providers are variable</w:t>
            </w:r>
          </w:p>
        </w:tc>
        <w:tc>
          <w:tcPr>
            <w:tcW w:w="3000" w:type="dxa"/>
            <w:vAlign w:val="bottom"/>
          </w:tcPr>
          <w:p>
            <w:pPr>
              <w:ind w:left="80"/>
              <w:spacing w:after="0"/>
              <w:rPr>
                <w:sz w:val="20"/>
                <w:szCs w:val="20"/>
                <w:color w:val="auto"/>
              </w:rPr>
            </w:pPr>
            <w:r>
              <w:rPr>
                <w:rFonts w:ascii="Arial" w:cs="Arial" w:eastAsia="Arial" w:hAnsi="Arial"/>
                <w:sz w:val="16"/>
                <w:szCs w:val="16"/>
                <w:color w:val="auto"/>
              </w:rPr>
              <w:t>condensed consolidated financial</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Related Party Guidance for</w:t>
            </w:r>
          </w:p>
        </w:tc>
        <w:tc>
          <w:tcPr>
            <w:tcW w:w="6400" w:type="dxa"/>
            <w:vAlign w:val="bottom"/>
          </w:tcPr>
          <w:p>
            <w:pPr>
              <w:ind w:left="120"/>
              <w:spacing w:after="0"/>
              <w:rPr>
                <w:sz w:val="20"/>
                <w:szCs w:val="20"/>
                <w:color w:val="auto"/>
              </w:rPr>
            </w:pPr>
            <w:r>
              <w:rPr>
                <w:rFonts w:ascii="Arial" w:cs="Arial" w:eastAsia="Arial" w:hAnsi="Arial"/>
                <w:sz w:val="16"/>
                <w:szCs w:val="16"/>
                <w:color w:val="auto"/>
                <w:w w:val="97"/>
              </w:rPr>
              <w:t>interests. The amendments in ASU 2018-17 will be effective for fiscal years beginning after</w:t>
            </w:r>
          </w:p>
        </w:tc>
        <w:tc>
          <w:tcPr>
            <w:tcW w:w="300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Variable Interest Entities</w:t>
            </w:r>
          </w:p>
        </w:tc>
        <w:tc>
          <w:tcPr>
            <w:tcW w:w="6400" w:type="dxa"/>
            <w:vAlign w:val="bottom"/>
          </w:tcPr>
          <w:p>
            <w:pPr>
              <w:ind w:left="120"/>
              <w:spacing w:after="0"/>
              <w:rPr>
                <w:sz w:val="20"/>
                <w:szCs w:val="20"/>
                <w:color w:val="auto"/>
              </w:rPr>
            </w:pPr>
            <w:r>
              <w:rPr>
                <w:rFonts w:ascii="Arial" w:cs="Arial" w:eastAsia="Arial" w:hAnsi="Arial"/>
                <w:sz w:val="16"/>
                <w:szCs w:val="16"/>
                <w:color w:val="auto"/>
              </w:rPr>
              <w:t>December 15, 2019, with early adoption permitted.</w:t>
            </w:r>
          </w:p>
        </w:tc>
        <w:tc>
          <w:tcPr>
            <w:tcW w:w="3000" w:type="dxa"/>
            <w:vAlign w:val="bottom"/>
          </w:tcPr>
          <w:p>
            <w:pPr>
              <w:spacing w:after="0"/>
              <w:rPr>
                <w:sz w:val="17"/>
                <w:szCs w:val="17"/>
                <w:color w:val="auto"/>
              </w:rPr>
            </w:pPr>
          </w:p>
        </w:tc>
      </w:tr>
      <w:tr>
        <w:trPr>
          <w:trHeight w:val="455"/>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2020.</w:t>
            </w:r>
          </w:p>
        </w:tc>
        <w:tc>
          <w:tcPr>
            <w:tcW w:w="64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13"/>
        </w:trPr>
        <w:tc>
          <w:tcPr>
            <w:tcW w:w="1980" w:type="dxa"/>
            <w:vAlign w:val="bottom"/>
          </w:tcPr>
          <w:p>
            <w:pPr>
              <w:ind w:left="20"/>
              <w:spacing w:after="0"/>
              <w:rPr>
                <w:sz w:val="20"/>
                <w:szCs w:val="20"/>
                <w:color w:val="auto"/>
              </w:rPr>
            </w:pPr>
            <w:r>
              <w:rPr>
                <w:rFonts w:ascii="Arial" w:cs="Arial" w:eastAsia="Arial" w:hAnsi="Arial"/>
                <w:sz w:val="16"/>
                <w:szCs w:val="16"/>
                <w:color w:val="auto"/>
              </w:rPr>
              <w:t>ASU 2016-13 Financial</w:t>
            </w:r>
          </w:p>
        </w:tc>
        <w:tc>
          <w:tcPr>
            <w:tcW w:w="6400" w:type="dxa"/>
            <w:vAlign w:val="bottom"/>
          </w:tcPr>
          <w:p>
            <w:pPr>
              <w:ind w:left="120"/>
              <w:spacing w:after="0"/>
              <w:rPr>
                <w:sz w:val="20"/>
                <w:szCs w:val="20"/>
                <w:color w:val="auto"/>
              </w:rPr>
            </w:pPr>
            <w:r>
              <w:rPr>
                <w:rFonts w:ascii="Arial" w:cs="Arial" w:eastAsia="Arial" w:hAnsi="Arial"/>
                <w:sz w:val="16"/>
                <w:szCs w:val="16"/>
                <w:color w:val="auto"/>
                <w:w w:val="98"/>
              </w:rPr>
              <w:t>In June 2016, the FASB issued ASU 2016-13 which replaces the incurred loss impairment</w:t>
            </w:r>
          </w:p>
        </w:tc>
        <w:tc>
          <w:tcPr>
            <w:tcW w:w="3000" w:type="dxa"/>
            <w:vAlign w:val="bottom"/>
          </w:tcPr>
          <w:p>
            <w:pPr>
              <w:ind w:left="80"/>
              <w:spacing w:after="0"/>
              <w:rPr>
                <w:sz w:val="20"/>
                <w:szCs w:val="20"/>
                <w:color w:val="auto"/>
              </w:rPr>
            </w:pPr>
            <w:r>
              <w:rPr>
                <w:rFonts w:ascii="Arial" w:cs="Arial" w:eastAsia="Arial" w:hAnsi="Arial"/>
                <w:sz w:val="16"/>
                <w:szCs w:val="16"/>
                <w:color w:val="auto"/>
              </w:rPr>
              <w:t>The Company is currently evaluating the</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Instruments-Credit Losses</w:t>
            </w:r>
          </w:p>
        </w:tc>
        <w:tc>
          <w:tcPr>
            <w:tcW w:w="6400" w:type="dxa"/>
            <w:vAlign w:val="bottom"/>
          </w:tcPr>
          <w:p>
            <w:pPr>
              <w:ind w:left="120"/>
              <w:spacing w:after="0"/>
              <w:rPr>
                <w:sz w:val="20"/>
                <w:szCs w:val="20"/>
                <w:color w:val="auto"/>
              </w:rPr>
            </w:pPr>
            <w:r>
              <w:rPr>
                <w:rFonts w:ascii="Arial" w:cs="Arial" w:eastAsia="Arial" w:hAnsi="Arial"/>
                <w:sz w:val="16"/>
                <w:szCs w:val="16"/>
                <w:color w:val="auto"/>
                <w:w w:val="93"/>
              </w:rPr>
              <w:t>methodology in current U.S. GAAP with a methodology that reflects expected credit losses and</w:t>
            </w:r>
          </w:p>
        </w:tc>
        <w:tc>
          <w:tcPr>
            <w:tcW w:w="3000" w:type="dxa"/>
            <w:vAlign w:val="bottom"/>
          </w:tcPr>
          <w:p>
            <w:pPr>
              <w:ind w:left="80"/>
              <w:spacing w:after="0"/>
              <w:rPr>
                <w:sz w:val="20"/>
                <w:szCs w:val="20"/>
                <w:color w:val="auto"/>
              </w:rPr>
            </w:pPr>
            <w:r>
              <w:rPr>
                <w:rFonts w:ascii="Arial" w:cs="Arial" w:eastAsia="Arial" w:hAnsi="Arial"/>
                <w:sz w:val="16"/>
                <w:szCs w:val="16"/>
                <w:color w:val="auto"/>
                <w:w w:val="94"/>
              </w:rPr>
              <w:t>impact of the adoption of this ASU but does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(Topic 326): Measurement</w:t>
            </w:r>
          </w:p>
        </w:tc>
        <w:tc>
          <w:tcPr>
            <w:tcW w:w="6400" w:type="dxa"/>
            <w:vAlign w:val="bottom"/>
          </w:tcPr>
          <w:p>
            <w:pPr>
              <w:ind w:left="120"/>
              <w:spacing w:after="0"/>
              <w:rPr>
                <w:sz w:val="20"/>
                <w:szCs w:val="20"/>
                <w:color w:val="auto"/>
              </w:rPr>
            </w:pPr>
            <w:r>
              <w:rPr>
                <w:rFonts w:ascii="Arial" w:cs="Arial" w:eastAsia="Arial" w:hAnsi="Arial"/>
                <w:sz w:val="16"/>
                <w:szCs w:val="16"/>
                <w:color w:val="auto"/>
                <w:w w:val="94"/>
              </w:rPr>
              <w:t>requires consideration of a broader range of reasonable and supportable information to inform</w:t>
            </w:r>
          </w:p>
        </w:tc>
        <w:tc>
          <w:tcPr>
            <w:tcW w:w="3000" w:type="dxa"/>
            <w:vAlign w:val="bottom"/>
          </w:tcPr>
          <w:p>
            <w:pPr>
              <w:ind w:left="80"/>
              <w:spacing w:after="0"/>
              <w:rPr>
                <w:sz w:val="20"/>
                <w:szCs w:val="20"/>
                <w:color w:val="auto"/>
              </w:rPr>
            </w:pPr>
            <w:r>
              <w:rPr>
                <w:rFonts w:ascii="Arial" w:cs="Arial" w:eastAsia="Arial" w:hAnsi="Arial"/>
                <w:sz w:val="16"/>
                <w:szCs w:val="16"/>
                <w:color w:val="auto"/>
                <w:w w:val="94"/>
              </w:rPr>
              <w:t>not expect that the pending adoption of this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of Credit Losses on</w:t>
            </w:r>
          </w:p>
        </w:tc>
        <w:tc>
          <w:tcPr>
            <w:tcW w:w="6400" w:type="dxa"/>
            <w:vAlign w:val="bottom"/>
          </w:tcPr>
          <w:p>
            <w:pPr>
              <w:ind w:left="120"/>
              <w:spacing w:after="0"/>
              <w:rPr>
                <w:sz w:val="20"/>
                <w:szCs w:val="20"/>
                <w:color w:val="auto"/>
              </w:rPr>
            </w:pPr>
            <w:r>
              <w:rPr>
                <w:rFonts w:ascii="Arial" w:cs="Arial" w:eastAsia="Arial" w:hAnsi="Arial"/>
                <w:sz w:val="16"/>
                <w:szCs w:val="16"/>
                <w:color w:val="auto"/>
                <w:w w:val="96"/>
              </w:rPr>
              <w:t>credit loss estimates. The ASU is effective for public companies in annual periods beginning</w:t>
            </w:r>
          </w:p>
        </w:tc>
        <w:tc>
          <w:tcPr>
            <w:tcW w:w="3000" w:type="dxa"/>
            <w:vAlign w:val="bottom"/>
          </w:tcPr>
          <w:p>
            <w:pPr>
              <w:ind w:left="80"/>
              <w:spacing w:after="0"/>
              <w:rPr>
                <w:sz w:val="20"/>
                <w:szCs w:val="20"/>
                <w:color w:val="auto"/>
              </w:rPr>
            </w:pPr>
            <w:r>
              <w:rPr>
                <w:rFonts w:ascii="Arial" w:cs="Arial" w:eastAsia="Arial" w:hAnsi="Arial"/>
                <w:sz w:val="16"/>
                <w:szCs w:val="16"/>
                <w:color w:val="auto"/>
              </w:rPr>
              <w:t>ASU will have a material effect on its</w:t>
            </w:r>
          </w:p>
        </w:tc>
      </w:tr>
      <w:tr>
        <w:trPr>
          <w:trHeight w:val="203"/>
        </w:trPr>
        <w:tc>
          <w:tcPr>
            <w:tcW w:w="1980" w:type="dxa"/>
            <w:vAlign w:val="bottom"/>
          </w:tcPr>
          <w:p>
            <w:pPr>
              <w:ind w:left="20"/>
              <w:spacing w:after="0"/>
              <w:rPr>
                <w:sz w:val="20"/>
                <w:szCs w:val="20"/>
                <w:color w:val="auto"/>
              </w:rPr>
            </w:pPr>
            <w:r>
              <w:rPr>
                <w:rFonts w:ascii="Arial" w:cs="Arial" w:eastAsia="Arial" w:hAnsi="Arial"/>
                <w:sz w:val="16"/>
                <w:szCs w:val="16"/>
                <w:color w:val="auto"/>
              </w:rPr>
              <w:t>Financial Instruments</w:t>
            </w:r>
          </w:p>
        </w:tc>
        <w:tc>
          <w:tcPr>
            <w:tcW w:w="6400" w:type="dxa"/>
            <w:vAlign w:val="bottom"/>
          </w:tcPr>
          <w:p>
            <w:pPr>
              <w:ind w:left="120"/>
              <w:spacing w:after="0"/>
              <w:rPr>
                <w:sz w:val="20"/>
                <w:szCs w:val="20"/>
                <w:color w:val="auto"/>
              </w:rPr>
            </w:pPr>
            <w:r>
              <w:rPr>
                <w:rFonts w:ascii="Arial" w:cs="Arial" w:eastAsia="Arial" w:hAnsi="Arial"/>
                <w:sz w:val="16"/>
                <w:szCs w:val="16"/>
                <w:color w:val="auto"/>
                <w:w w:val="95"/>
              </w:rPr>
              <w:t>after December 15, 2019, and interim periods within those years. Early adoption is permitted</w:t>
            </w:r>
          </w:p>
        </w:tc>
        <w:tc>
          <w:tcPr>
            <w:tcW w:w="3000" w:type="dxa"/>
            <w:vAlign w:val="bottom"/>
          </w:tcPr>
          <w:p>
            <w:pPr>
              <w:ind w:left="80"/>
              <w:spacing w:after="0"/>
              <w:rPr>
                <w:sz w:val="20"/>
                <w:szCs w:val="20"/>
                <w:color w:val="auto"/>
              </w:rPr>
            </w:pPr>
            <w:r>
              <w:rPr>
                <w:rFonts w:ascii="Arial" w:cs="Arial" w:eastAsia="Arial" w:hAnsi="Arial"/>
                <w:sz w:val="16"/>
                <w:szCs w:val="16"/>
                <w:color w:val="auto"/>
              </w:rPr>
              <w:t>condensed consolidated financial</w:t>
            </w:r>
          </w:p>
        </w:tc>
      </w:tr>
      <w:tr>
        <w:trPr>
          <w:trHeight w:val="206"/>
        </w:trPr>
        <w:tc>
          <w:tcPr>
            <w:tcW w:w="1980" w:type="dxa"/>
            <w:vAlign w:val="bottom"/>
          </w:tcPr>
          <w:p>
            <w:pPr>
              <w:spacing w:after="0"/>
              <w:rPr>
                <w:sz w:val="17"/>
                <w:szCs w:val="17"/>
                <w:color w:val="auto"/>
              </w:rPr>
            </w:pPr>
          </w:p>
        </w:tc>
        <w:tc>
          <w:tcPr>
            <w:tcW w:w="6400" w:type="dxa"/>
            <w:vAlign w:val="bottom"/>
          </w:tcPr>
          <w:p>
            <w:pPr>
              <w:ind w:left="120"/>
              <w:spacing w:after="0"/>
              <w:rPr>
                <w:sz w:val="20"/>
                <w:szCs w:val="20"/>
                <w:color w:val="auto"/>
              </w:rPr>
            </w:pPr>
            <w:r>
              <w:rPr>
                <w:rFonts w:ascii="Arial" w:cs="Arial" w:eastAsia="Arial" w:hAnsi="Arial"/>
                <w:sz w:val="16"/>
                <w:szCs w:val="16"/>
                <w:color w:val="auto"/>
              </w:rPr>
              <w:t>beginning after December 15, 2018 and interim periods within those years.</w:t>
            </w:r>
          </w:p>
        </w:tc>
        <w:tc>
          <w:tcPr>
            <w:tcW w:w="3000" w:type="dxa"/>
            <w:vAlign w:val="bottom"/>
          </w:tcPr>
          <w:p>
            <w:pPr>
              <w:ind w:left="80"/>
              <w:spacing w:after="0"/>
              <w:rPr>
                <w:sz w:val="20"/>
                <w:szCs w:val="20"/>
                <w:color w:val="auto"/>
              </w:rPr>
            </w:pPr>
            <w:r>
              <w:rPr>
                <w:rFonts w:ascii="Arial" w:cs="Arial" w:eastAsia="Arial" w:hAnsi="Arial"/>
                <w:sz w:val="16"/>
                <w:szCs w:val="16"/>
                <w:color w:val="auto"/>
              </w:rPr>
              <w:t>statements.</w:t>
            </w:r>
          </w:p>
        </w:tc>
      </w:tr>
      <w:tr>
        <w:trPr>
          <w:trHeight w:val="253"/>
        </w:trPr>
        <w:tc>
          <w:tcPr>
            <w:tcW w:w="1980" w:type="dxa"/>
            <w:vAlign w:val="bottom"/>
          </w:tcPr>
          <w:p>
            <w:pPr>
              <w:ind w:left="20"/>
              <w:spacing w:after="0"/>
              <w:rPr>
                <w:sz w:val="20"/>
                <w:szCs w:val="20"/>
                <w:color w:val="auto"/>
              </w:rPr>
            </w:pPr>
            <w:r>
              <w:rPr>
                <w:rFonts w:ascii="Arial" w:cs="Arial" w:eastAsia="Arial" w:hAnsi="Arial"/>
                <w:sz w:val="16"/>
                <w:szCs w:val="16"/>
                <w:color w:val="auto"/>
                <w:w w:val="96"/>
              </w:rPr>
              <w:t>Date of adoption: January 1,</w:t>
            </w:r>
          </w:p>
        </w:tc>
        <w:tc>
          <w:tcPr>
            <w:tcW w:w="6400" w:type="dxa"/>
            <w:vAlign w:val="bottom"/>
          </w:tcPr>
          <w:p>
            <w:pPr>
              <w:spacing w:after="0"/>
              <w:rPr>
                <w:sz w:val="21"/>
                <w:szCs w:val="21"/>
                <w:color w:val="auto"/>
              </w:rPr>
            </w:pPr>
          </w:p>
        </w:tc>
        <w:tc>
          <w:tcPr>
            <w:tcW w:w="3000" w:type="dxa"/>
            <w:vAlign w:val="bottom"/>
          </w:tcPr>
          <w:p>
            <w:pPr>
              <w:spacing w:after="0"/>
              <w:rPr>
                <w:sz w:val="21"/>
                <w:szCs w:val="21"/>
                <w:color w:val="auto"/>
              </w:rPr>
            </w:pPr>
          </w:p>
        </w:tc>
      </w:tr>
      <w:tr>
        <w:trPr>
          <w:trHeight w:val="206"/>
        </w:trPr>
        <w:tc>
          <w:tcPr>
            <w:tcW w:w="1980" w:type="dxa"/>
            <w:vAlign w:val="bottom"/>
          </w:tcPr>
          <w:p>
            <w:pPr>
              <w:ind w:left="20"/>
              <w:spacing w:after="0"/>
              <w:rPr>
                <w:sz w:val="20"/>
                <w:szCs w:val="20"/>
                <w:color w:val="auto"/>
              </w:rPr>
            </w:pPr>
            <w:r>
              <w:rPr>
                <w:rFonts w:ascii="Arial" w:cs="Arial" w:eastAsia="Arial" w:hAnsi="Arial"/>
                <w:sz w:val="16"/>
                <w:szCs w:val="16"/>
                <w:color w:val="auto"/>
              </w:rPr>
              <w:t>2020.</w:t>
            </w:r>
          </w:p>
        </w:tc>
        <w:tc>
          <w:tcPr>
            <w:tcW w:w="640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33"/>
        </w:trPr>
        <w:tc>
          <w:tcPr>
            <w:tcW w:w="198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6"/>
              </w:rPr>
              <w:t>Three Months Ended June 30, 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Three Months Ended June 30, 2018</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Cloud</w:t>
            </w:r>
          </w:p>
        </w:tc>
        <w:tc>
          <w:tcPr>
            <w:tcW w:w="220" w:type="dxa"/>
            <w:vAlign w:val="bottom"/>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Digital</w:t>
            </w: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40" w:type="dxa"/>
            <w:vAlign w:val="bottom"/>
          </w:tcPr>
          <w:p>
            <w:pPr>
              <w:spacing w:after="0"/>
              <w:rPr>
                <w:sz w:val="22"/>
                <w:szCs w:val="22"/>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780" w:type="dxa"/>
            <w:vAlign w:val="bottom"/>
          </w:tcPr>
          <w:p>
            <w:pPr>
              <w:jc w:val="right"/>
              <w:ind w:right="220"/>
              <w:spacing w:after="0"/>
              <w:rPr>
                <w:sz w:val="20"/>
                <w:szCs w:val="20"/>
                <w:color w:val="auto"/>
              </w:rPr>
            </w:pPr>
            <w:r>
              <w:rPr>
                <w:rFonts w:ascii="Arial" w:cs="Arial" w:eastAsia="Arial" w:hAnsi="Arial"/>
                <w:sz w:val="14"/>
                <w:szCs w:val="14"/>
                <w:b w:val="1"/>
                <w:bCs w:val="1"/>
                <w:color w:val="auto"/>
              </w:rPr>
              <w:t>Cloud</w:t>
            </w:r>
          </w:p>
        </w:tc>
        <w:tc>
          <w:tcPr>
            <w:tcW w:w="32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Digital</w:t>
            </w:r>
          </w:p>
        </w:tc>
        <w:tc>
          <w:tcPr>
            <w:tcW w:w="220" w:type="dxa"/>
            <w:vAlign w:val="bottom"/>
          </w:tcPr>
          <w:p>
            <w:pPr>
              <w:spacing w:after="0"/>
              <w:rPr>
                <w:sz w:val="22"/>
                <w:szCs w:val="22"/>
                <w:color w:val="auto"/>
              </w:rPr>
            </w:pPr>
          </w:p>
        </w:tc>
        <w:tc>
          <w:tcPr>
            <w:tcW w:w="960" w:type="dxa"/>
            <w:vAlign w:val="bottom"/>
          </w:tcPr>
          <w:p>
            <w:pPr>
              <w:jc w:val="right"/>
              <w:ind w:right="200"/>
              <w:spacing w:after="0"/>
              <w:rPr>
                <w:sz w:val="20"/>
                <w:szCs w:val="20"/>
                <w:color w:val="auto"/>
              </w:rPr>
            </w:pPr>
            <w:r>
              <w:rPr>
                <w:rFonts w:ascii="Arial" w:cs="Arial" w:eastAsia="Arial" w:hAnsi="Arial"/>
                <w:sz w:val="14"/>
                <w:szCs w:val="14"/>
                <w:b w:val="1"/>
                <w:bCs w:val="1"/>
                <w:color w:val="auto"/>
                <w:w w:val="91"/>
              </w:rPr>
              <w:t>Messaging</w:t>
            </w:r>
          </w:p>
        </w:tc>
        <w:tc>
          <w:tcPr>
            <w:tcW w:w="240" w:type="dxa"/>
            <w:vAlign w:val="bottom"/>
          </w:tcPr>
          <w:p>
            <w:pPr>
              <w:spacing w:after="0"/>
              <w:rPr>
                <w:sz w:val="22"/>
                <w:szCs w:val="22"/>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38,582</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20,508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2,281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61,371</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36,563</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20,172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2,260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58,995</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APAC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8,785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9,942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9,717</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10,648</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EMEA</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1,849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4,123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6,533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2,157</w:t>
            </w: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1,083</w:t>
            </w:r>
          </w:p>
        </w:tc>
        <w:tc>
          <w:tcPr>
            <w:tcW w:w="220" w:type="dxa"/>
            <w:vAlign w:val="bottom"/>
          </w:tcPr>
          <w:p>
            <w:pPr>
              <w:spacing w:after="0"/>
              <w:rPr>
                <w:sz w:val="20"/>
                <w:szCs w:val="20"/>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3,859</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7,099</w:t>
            </w:r>
          </w:p>
        </w:tc>
      </w:tr>
      <w:tr>
        <w:trPr>
          <w:trHeight w:val="3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40,431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22,226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15,189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77,846</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38,720</w:t>
            </w:r>
          </w:p>
        </w:tc>
        <w:tc>
          <w:tcPr>
            <w:tcW w:w="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22,186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15,836</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76,742</w:t>
            </w:r>
          </w:p>
        </w:tc>
      </w:tr>
      <w:tr>
        <w:trPr>
          <w:trHeight w:val="324"/>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3,641</w:t>
            </w:r>
          </w:p>
        </w:tc>
        <w:tc>
          <w:tcPr>
            <w:tcW w:w="120" w:type="dxa"/>
            <w:vAlign w:val="bottom"/>
          </w:tcPr>
          <w:p>
            <w:pPr>
              <w:spacing w:after="0"/>
              <w:rPr>
                <w:sz w:val="20"/>
                <w:szCs w:val="20"/>
                <w:color w:val="auto"/>
              </w:rPr>
            </w:pP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3,989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4,881</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12,511</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3,576</w:t>
            </w:r>
          </w:p>
        </w:tc>
        <w:tc>
          <w:tcPr>
            <w:tcW w:w="3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4,294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1,831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9,701</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Transaction Services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2,442</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2,116</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4,558</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35,199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16,137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8,557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59,893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32,666</w:t>
            </w:r>
          </w:p>
        </w:tc>
        <w:tc>
          <w:tcPr>
            <w:tcW w:w="3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14,454</w:t>
            </w:r>
          </w:p>
        </w:tc>
        <w:tc>
          <w:tcPr>
            <w:tcW w:w="220" w:type="dxa"/>
            <w:vAlign w:val="bottom"/>
          </w:tcPr>
          <w:p>
            <w:pPr>
              <w:spacing w:after="0"/>
              <w:rPr>
                <w:sz w:val="20"/>
                <w:szCs w:val="20"/>
                <w:color w:val="auto"/>
              </w:rPr>
            </w:pPr>
          </w:p>
        </w:tc>
        <w:tc>
          <w:tcPr>
            <w:tcW w:w="960" w:type="dxa"/>
            <w:vAlign w:val="bottom"/>
          </w:tcPr>
          <w:p>
            <w:pPr>
              <w:jc w:val="right"/>
              <w:ind w:right="120"/>
              <w:spacing w:after="0"/>
              <w:rPr>
                <w:sz w:val="20"/>
                <w:szCs w:val="20"/>
                <w:color w:val="auto"/>
              </w:rPr>
            </w:pPr>
            <w:r>
              <w:rPr>
                <w:rFonts w:ascii="Arial" w:cs="Arial" w:eastAsia="Arial" w:hAnsi="Arial"/>
                <w:sz w:val="16"/>
                <w:szCs w:val="16"/>
                <w:color w:val="auto"/>
              </w:rPr>
              <w:t>6,954</w:t>
            </w: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54,074</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1,751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2,777</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1,322</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rPr>
              <w:t>7,051</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8,409</w:t>
            </w:r>
          </w:p>
        </w:tc>
      </w:tr>
      <w:tr>
        <w:trPr>
          <w:trHeight w:val="231"/>
        </w:trPr>
        <w:tc>
          <w:tcPr>
            <w:tcW w:w="23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40,431</w:t>
            </w:r>
          </w:p>
        </w:tc>
        <w:tc>
          <w:tcPr>
            <w:tcW w:w="12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22,226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15,189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77,846</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38,720</w:t>
            </w:r>
          </w:p>
        </w:tc>
        <w:tc>
          <w:tcPr>
            <w:tcW w:w="3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22,186</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15,836</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76,742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Six Months Ended June 30, 2019</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8"/>
              </w:rPr>
              <w:t>Six Months Ended June 30, 2018</w:t>
            </w: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2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Cloud</w:t>
            </w:r>
          </w:p>
        </w:tc>
        <w:tc>
          <w:tcPr>
            <w:tcW w:w="120" w:type="dxa"/>
            <w:vAlign w:val="bottom"/>
          </w:tcPr>
          <w:p>
            <w:pPr>
              <w:spacing w:after="0"/>
              <w:rPr>
                <w:sz w:val="22"/>
                <w:szCs w:val="22"/>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b w:val="1"/>
                <w:bCs w:val="1"/>
                <w:color w:val="auto"/>
              </w:rPr>
              <w:t>Digital</w:t>
            </w: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Messaging</w:t>
            </w:r>
          </w:p>
        </w:tc>
        <w:tc>
          <w:tcPr>
            <w:tcW w:w="240" w:type="dxa"/>
            <w:vAlign w:val="bottom"/>
          </w:tcPr>
          <w:p>
            <w:pPr>
              <w:spacing w:after="0"/>
              <w:rPr>
                <w:sz w:val="22"/>
                <w:szCs w:val="22"/>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2"/>
                <w:szCs w:val="22"/>
                <w:color w:val="auto"/>
              </w:rPr>
            </w:pPr>
          </w:p>
        </w:tc>
        <w:tc>
          <w:tcPr>
            <w:tcW w:w="800" w:type="dxa"/>
            <w:vAlign w:val="bottom"/>
          </w:tcPr>
          <w:p>
            <w:pPr>
              <w:jc w:val="right"/>
              <w:ind w:right="240"/>
              <w:spacing w:after="0"/>
              <w:rPr>
                <w:sz w:val="20"/>
                <w:szCs w:val="20"/>
                <w:color w:val="auto"/>
              </w:rPr>
            </w:pPr>
            <w:r>
              <w:rPr>
                <w:rFonts w:ascii="Arial" w:cs="Arial" w:eastAsia="Arial" w:hAnsi="Arial"/>
                <w:sz w:val="14"/>
                <w:szCs w:val="14"/>
                <w:b w:val="1"/>
                <w:bCs w:val="1"/>
                <w:color w:val="auto"/>
              </w:rPr>
              <w:t>Cloud</w:t>
            </w:r>
          </w:p>
        </w:tc>
        <w:tc>
          <w:tcPr>
            <w:tcW w:w="300" w:type="dxa"/>
            <w:vAlign w:val="bottom"/>
          </w:tcPr>
          <w:p>
            <w:pPr>
              <w:spacing w:after="0"/>
              <w:rPr>
                <w:sz w:val="22"/>
                <w:szCs w:val="22"/>
                <w:color w:val="auto"/>
              </w:rPr>
            </w:pPr>
          </w:p>
        </w:tc>
        <w:tc>
          <w:tcPr>
            <w:tcW w:w="820" w:type="dxa"/>
            <w:vAlign w:val="bottom"/>
          </w:tcPr>
          <w:p>
            <w:pPr>
              <w:jc w:val="right"/>
              <w:ind w:right="240"/>
              <w:spacing w:after="0"/>
              <w:rPr>
                <w:sz w:val="20"/>
                <w:szCs w:val="20"/>
                <w:color w:val="auto"/>
              </w:rPr>
            </w:pPr>
            <w:r>
              <w:rPr>
                <w:rFonts w:ascii="Arial" w:cs="Arial" w:eastAsia="Arial" w:hAnsi="Arial"/>
                <w:sz w:val="14"/>
                <w:szCs w:val="14"/>
                <w:b w:val="1"/>
                <w:bCs w:val="1"/>
                <w:color w:val="auto"/>
              </w:rPr>
              <w:t>Digital</w:t>
            </w:r>
          </w:p>
        </w:tc>
        <w:tc>
          <w:tcPr>
            <w:tcW w:w="220" w:type="dxa"/>
            <w:vAlign w:val="bottom"/>
          </w:tcPr>
          <w:p>
            <w:pPr>
              <w:spacing w:after="0"/>
              <w:rPr>
                <w:sz w:val="22"/>
                <w:szCs w:val="22"/>
                <w:color w:val="auto"/>
              </w:rPr>
            </w:pPr>
          </w:p>
        </w:tc>
        <w:tc>
          <w:tcPr>
            <w:tcW w:w="920" w:type="dxa"/>
            <w:vAlign w:val="bottom"/>
          </w:tcPr>
          <w:p>
            <w:pPr>
              <w:jc w:val="right"/>
              <w:ind w:right="160"/>
              <w:spacing w:after="0"/>
              <w:rPr>
                <w:sz w:val="20"/>
                <w:szCs w:val="20"/>
                <w:color w:val="auto"/>
              </w:rPr>
            </w:pPr>
            <w:r>
              <w:rPr>
                <w:rFonts w:ascii="Arial" w:cs="Arial" w:eastAsia="Arial" w:hAnsi="Arial"/>
                <w:sz w:val="14"/>
                <w:szCs w:val="14"/>
                <w:b w:val="1"/>
                <w:bCs w:val="1"/>
                <w:color w:val="auto"/>
                <w:w w:val="91"/>
              </w:rPr>
              <w:t>Messaging</w:t>
            </w:r>
          </w:p>
        </w:tc>
        <w:tc>
          <w:tcPr>
            <w:tcW w:w="280" w:type="dxa"/>
            <w:vAlign w:val="bottom"/>
          </w:tcPr>
          <w:p>
            <w:pPr>
              <w:spacing w:after="0"/>
              <w:rPr>
                <w:sz w:val="22"/>
                <w:szCs w:val="22"/>
                <w:color w:val="auto"/>
              </w:rPr>
            </w:pPr>
          </w:p>
        </w:tc>
        <w:tc>
          <w:tcPr>
            <w:tcW w:w="78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r>
      <w:tr>
        <w:trPr>
          <w:trHeight w:val="250"/>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Geography</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Americas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77,496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41,272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123,118</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72,423</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41,051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4,871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118,345</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APAC</w:t>
            </w: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26,940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29,095</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2,615</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25,640</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28,255</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EMEA</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3,645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1,650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8,443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13,738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4,601</w:t>
            </w:r>
          </w:p>
        </w:tc>
        <w:tc>
          <w:tcPr>
            <w:tcW w:w="3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1,531</w:t>
            </w:r>
          </w:p>
        </w:tc>
        <w:tc>
          <w:tcPr>
            <w:tcW w:w="2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7,719</w:t>
            </w:r>
          </w:p>
        </w:tc>
        <w:tc>
          <w:tcPr>
            <w:tcW w:w="2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13,851</w:t>
            </w:r>
          </w:p>
        </w:tc>
      </w:tr>
      <w:tr>
        <w:trPr>
          <w:trHeight w:val="33"/>
        </w:trPr>
        <w:tc>
          <w:tcPr>
            <w:tcW w:w="2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81,141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45,077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39,733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165,951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77,024</w:t>
            </w:r>
          </w:p>
        </w:tc>
        <w:tc>
          <w:tcPr>
            <w:tcW w:w="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45,197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38,230</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160,451</w:t>
            </w:r>
          </w:p>
        </w:tc>
      </w:tr>
      <w:tr>
        <w:trPr>
          <w:trHeight w:val="324"/>
        </w:trPr>
        <w:tc>
          <w:tcPr>
            <w:tcW w:w="2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7,359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8,292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17,368</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33,019</w:t>
            </w:r>
          </w:p>
        </w:tc>
        <w:tc>
          <w:tcPr>
            <w:tcW w:w="14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7,020</w:t>
            </w:r>
          </w:p>
        </w:tc>
        <w:tc>
          <w:tcPr>
            <w:tcW w:w="30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10,002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6,390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23,412</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Transaction Services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6,043</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4,785</w:t>
            </w: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3,895</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8,680</w:t>
            </w:r>
          </w:p>
        </w:tc>
      </w:tr>
      <w:tr>
        <w:trPr>
          <w:trHeight w:val="237"/>
        </w:trPr>
        <w:tc>
          <w:tcPr>
            <w:tcW w:w="2380" w:type="dxa"/>
            <w:vAlign w:val="bottom"/>
          </w:tcPr>
          <w:p>
            <w:pPr>
              <w:ind w:left="260"/>
              <w:spacing w:after="0"/>
              <w:rPr>
                <w:sz w:val="20"/>
                <w:szCs w:val="20"/>
                <w:color w:val="auto"/>
              </w:rPr>
            </w:pPr>
            <w:r>
              <w:rPr>
                <w:rFonts w:ascii="Arial" w:cs="Arial" w:eastAsia="Arial" w:hAnsi="Arial"/>
                <w:sz w:val="16"/>
                <w:szCs w:val="16"/>
                <w:color w:val="auto"/>
              </w:rPr>
              <w:t>Subscription Services</w:t>
            </w:r>
          </w:p>
        </w:tc>
        <w:tc>
          <w:tcPr>
            <w:tcW w:w="2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70,793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32,539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40"/>
              <w:spacing w:after="0"/>
              <w:rPr>
                <w:sz w:val="20"/>
                <w:szCs w:val="20"/>
                <w:color w:val="auto"/>
              </w:rPr>
            </w:pPr>
            <w:r>
              <w:rPr>
                <w:rFonts w:ascii="Arial" w:cs="Arial" w:eastAsia="Arial" w:hAnsi="Arial"/>
                <w:sz w:val="16"/>
                <w:szCs w:val="16"/>
                <w:color w:val="auto"/>
              </w:rPr>
              <w:t>17,722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121,054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64,795</w:t>
            </w:r>
          </w:p>
        </w:tc>
        <w:tc>
          <w:tcPr>
            <w:tcW w:w="30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29,531</w:t>
            </w:r>
          </w:p>
        </w:tc>
        <w:tc>
          <w:tcPr>
            <w:tcW w:w="22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15,733</w:t>
            </w:r>
          </w:p>
        </w:tc>
        <w:tc>
          <w:tcPr>
            <w:tcW w:w="28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110,059</w:t>
            </w:r>
          </w:p>
        </w:tc>
      </w:tr>
      <w:tr>
        <w:trPr>
          <w:trHeight w:val="33"/>
        </w:trPr>
        <w:tc>
          <w:tcPr>
            <w:tcW w:w="2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2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License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1,086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5,835</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424</w:t>
            </w: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1,769</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16,107</w:t>
            </w:r>
          </w:p>
        </w:tc>
        <w:tc>
          <w:tcPr>
            <w:tcW w:w="28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18,300</w:t>
            </w:r>
          </w:p>
        </w:tc>
      </w:tr>
      <w:tr>
        <w:trPr>
          <w:trHeight w:val="231"/>
        </w:trPr>
        <w:tc>
          <w:tcPr>
            <w:tcW w:w="2380" w:type="dxa"/>
            <w:vAlign w:val="bottom"/>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81,141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45,077</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39,733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165,951</w:t>
            </w:r>
          </w:p>
        </w:tc>
        <w:tc>
          <w:tcPr>
            <w:tcW w:w="140" w:type="dxa"/>
            <w:vAlign w:val="bottom"/>
          </w:tcPr>
          <w:p>
            <w:pPr>
              <w:spacing w:after="0"/>
              <w:rPr>
                <w:sz w:val="20"/>
                <w:szCs w:val="20"/>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77,024</w:t>
            </w:r>
          </w:p>
        </w:tc>
        <w:tc>
          <w:tcPr>
            <w:tcW w:w="3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45,197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38,230</w:t>
            </w:r>
          </w:p>
        </w:tc>
        <w:tc>
          <w:tcPr>
            <w:tcW w:w="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160,451</w:t>
            </w: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 Accounts Receivable and Contract balances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 of financial position at their net estimated realizable value. The Company maintains an allowance for doubtful accounts to provide for the estimated amount of receivables that may not be collected. The allowance is based upon an assessment of customer creditworthiness, historical payment experience, the age of outstanding receivables and other applicable factors.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 contract asset is a right to consideration that is conditional upon factors other than the passage of time. For example, the Company would record a contract asset if its records revenue on a professional services engagement but are not entitled to bill until the Company achieves specified milestones. Contract asset balance at June 30, 2019 is $6.8 million.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collected in advance of services being provided are accounted for as contract liabilities, which are presented as deferred revenue on the accompanying balance sheet and are realized with the associated revenue recognized under the contract. Nearly all of the Company's contract liabilities balance is related to services revenue, primarily subscription services contracts.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contract assets and liabilities are reported in a net position on a customer basis at the end of each reporting period.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in the contract liabilities balance (current and noncurrent) during the period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9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Liabilities*</w:t>
            </w:r>
          </w:p>
        </w:tc>
      </w:tr>
      <w:tr>
        <w:trPr>
          <w:trHeight w:val="27"/>
        </w:trPr>
        <w:tc>
          <w:tcPr>
            <w:tcW w:w="9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40" w:type="dxa"/>
            <w:vAlign w:val="bottom"/>
          </w:tcPr>
          <w:p>
            <w:pPr>
              <w:ind w:left="40"/>
              <w:spacing w:after="0"/>
              <w:rPr>
                <w:sz w:val="20"/>
                <w:szCs w:val="20"/>
                <w:color w:val="auto"/>
              </w:rPr>
            </w:pPr>
            <w:r>
              <w:rPr>
                <w:rFonts w:ascii="Arial" w:cs="Arial" w:eastAsia="Arial" w:hAnsi="Arial"/>
                <w:sz w:val="18"/>
                <w:szCs w:val="18"/>
                <w:color w:val="auto"/>
              </w:rPr>
              <w:t>Balance - January 1, 2019</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116,942</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recognized in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(147,904)</w:t>
            </w:r>
          </w:p>
        </w:tc>
      </w:tr>
      <w:tr>
        <w:trPr>
          <w:trHeight w:val="243"/>
        </w:trPr>
        <w:tc>
          <w:tcPr>
            <w:tcW w:w="9940" w:type="dxa"/>
            <w:vAlign w:val="bottom"/>
          </w:tcPr>
          <w:p>
            <w:pPr>
              <w:ind w:left="180"/>
              <w:spacing w:after="0"/>
              <w:rPr>
                <w:sz w:val="20"/>
                <w:szCs w:val="20"/>
                <w:color w:val="auto"/>
              </w:rPr>
            </w:pPr>
            <w:r>
              <w:rPr>
                <w:rFonts w:ascii="Arial" w:cs="Arial" w:eastAsia="Arial" w:hAnsi="Arial"/>
                <w:sz w:val="18"/>
                <w:szCs w:val="18"/>
                <w:color w:val="auto"/>
              </w:rPr>
              <w:t>Amounts billed but not recognized as revenue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134,664</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June 30, 2019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103,702</w:t>
            </w:r>
          </w:p>
        </w:tc>
      </w:tr>
      <w:tr>
        <w:trPr>
          <w:trHeight w:val="27"/>
        </w:trPr>
        <w:tc>
          <w:tcPr>
            <w:tcW w:w="99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Comprised of Deferred Revenue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the remaining performance obligations</w:t>
      </w:r>
    </w:p>
    <w:p>
      <w:pPr>
        <w:spacing w:after="0" w:line="22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Topic 606 requires that the Company disclose the aggregate amount of transaction price that is allocated to performance obligations that have not yet been satisfied as of June 30, 2019. The Company has elected not to disclose transaction price allocated to remaining performance obligations for:</w:t>
      </w:r>
    </w:p>
    <w:p>
      <w:pPr>
        <w:spacing w:after="0" w:line="147"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Contracts for which the Company recognizes revenues based on the right to invoice for services performed;</w:t>
      </w:r>
    </w:p>
    <w:p>
      <w:pPr>
        <w:spacing w:after="0" w:line="9" w:lineRule="exact"/>
        <w:rPr>
          <w:rFonts w:ascii="Arial" w:cs="Arial" w:eastAsia="Arial" w:hAnsi="Arial"/>
          <w:sz w:val="18"/>
          <w:szCs w:val="18"/>
          <w:color w:val="auto"/>
        </w:rPr>
      </w:pPr>
    </w:p>
    <w:p>
      <w:pPr>
        <w:ind w:left="660" w:right="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remaining performance obligations, all of which will be resolved in the period in which amounts are known:</w:t>
      </w:r>
    </w:p>
    <w:p>
      <w:pPr>
        <w:spacing w:after="0" w:line="22" w:lineRule="exact"/>
        <w:rPr>
          <w:sz w:val="20"/>
          <w:szCs w:val="20"/>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consideration for future transactions, above any contractual minimums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consideration for success-based transactions contingent on third party data</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credits for failure to meet future service level requirements</w:t>
      </w:r>
    </w:p>
    <w:p>
      <w:pPr>
        <w:spacing w:after="0" w:line="23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June 30, 2019, the aggregate amount of transaction price allocated to remaining performance obligations, other than those meeting the exclusion criteria above, was $274.0 million, of which approximately 93.6% is expected to be recognized as revenues within 2 years, and the remainder thereafter.</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8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 Observable inputs - quoted prices in active markets for identical assets and liabilities;</w:t>
      </w:r>
    </w:p>
    <w:p>
      <w:pPr>
        <w:spacing w:after="0" w:line="23"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 Unobservable inputs - includes amounts derived from valuation models where one or more significant inputs are unobservable and require the Company to develop relevant assumptions.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80" w:type="dxa"/>
            <w:vAlign w:val="bottom"/>
            <w:gridSpan w:val="5"/>
          </w:tcPr>
          <w:p>
            <w:pPr>
              <w:ind w:left="6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20"/>
                <w:szCs w:val="20"/>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102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60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4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34,610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34,610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78,936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34,610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44,326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57"/>
        </w:trPr>
        <w:tc>
          <w:tcPr>
            <w:tcW w:w="60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37465</wp:posOffset>
            </wp:positionV>
            <wp:extent cx="34048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040" w:type="dxa"/>
            <w:vAlign w:val="bottom"/>
          </w:tcPr>
          <w:p>
            <w:pPr>
              <w:jc w:val="right"/>
              <w:ind w:right="231"/>
              <w:spacing w:after="0"/>
              <w:rPr>
                <w:sz w:val="20"/>
                <w:szCs w:val="20"/>
                <w:color w:val="auto"/>
              </w:rPr>
            </w:pPr>
            <w:r>
              <w:rPr>
                <w:rFonts w:ascii="Arial" w:cs="Arial" w:eastAsia="Arial" w:hAnsi="Arial"/>
                <w:sz w:val="16"/>
                <w:szCs w:val="16"/>
                <w:b w:val="1"/>
                <w:bCs w:val="1"/>
                <w:color w:val="auto"/>
              </w:rPr>
              <w:t>(Level 2)</w:t>
            </w:r>
          </w:p>
        </w:tc>
        <w:tc>
          <w:tcPr>
            <w:tcW w:w="0" w:type="dxa"/>
            <w:vAlign w:val="bottom"/>
          </w:tcPr>
          <w:p>
            <w:pPr>
              <w:spacing w:after="0"/>
              <w:rPr>
                <w:sz w:val="1"/>
                <w:szCs w:val="1"/>
                <w:color w:val="auto"/>
              </w:rPr>
            </w:pPr>
          </w:p>
        </w:tc>
      </w:tr>
      <w:tr>
        <w:trPr>
          <w:trHeight w:val="33"/>
        </w:trPr>
        <w:tc>
          <w:tcPr>
            <w:tcW w:w="60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6060" w:type="dxa"/>
            <w:vAlign w:val="bottom"/>
          </w:tcPr>
          <w:p>
            <w:pPr>
              <w:ind w:left="280"/>
              <w:spacing w:after="0"/>
              <w:rPr>
                <w:sz w:val="20"/>
                <w:szCs w:val="20"/>
                <w:color w:val="auto"/>
              </w:rPr>
            </w:pPr>
            <w:r>
              <w:rPr>
                <w:rFonts w:ascii="Arial" w:cs="Arial" w:eastAsia="Arial" w:hAnsi="Arial"/>
                <w:sz w:val="18"/>
                <w:szCs w:val="18"/>
                <w:color w:val="auto"/>
              </w:rPr>
              <w:t xml:space="preserve">Cash, cash equivalents and restricted cash </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109,860</w:t>
            </w:r>
          </w:p>
        </w:tc>
        <w:tc>
          <w:tcPr>
            <w:tcW w:w="12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0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Marketable securities-short term </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28,230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28,230</w:t>
            </w:r>
          </w:p>
        </w:tc>
        <w:tc>
          <w:tcPr>
            <w:tcW w:w="0" w:type="dxa"/>
            <w:vAlign w:val="bottom"/>
          </w:tcPr>
          <w:p>
            <w:pPr>
              <w:spacing w:after="0"/>
              <w:rPr>
                <w:sz w:val="1"/>
                <w:szCs w:val="1"/>
                <w:color w:val="auto"/>
              </w:rPr>
            </w:pPr>
          </w:p>
        </w:tc>
      </w:tr>
      <w:tr>
        <w:trPr>
          <w:trHeight w:val="257"/>
        </w:trPr>
        <w:tc>
          <w:tcPr>
            <w:tcW w:w="6060" w:type="dxa"/>
            <w:vAlign w:val="bottom"/>
          </w:tcPr>
          <w:p>
            <w:pPr>
              <w:ind w:left="280"/>
              <w:spacing w:after="0" w:line="257" w:lineRule="exact"/>
              <w:rPr>
                <w:sz w:val="20"/>
                <w:szCs w:val="20"/>
                <w:color w:val="auto"/>
              </w:rPr>
            </w:pPr>
            <w:r>
              <w:rPr>
                <w:rFonts w:ascii="Arial" w:cs="Arial" w:eastAsia="Arial" w:hAnsi="Arial"/>
                <w:sz w:val="18"/>
                <w:szCs w:val="18"/>
                <w:color w:val="auto"/>
              </w:rPr>
              <w:t xml:space="preserve">Marketable securities-long term </w:t>
            </w:r>
            <w:r>
              <w:rPr>
                <w:rFonts w:ascii="Arial" w:cs="Arial" w:eastAsia="Arial" w:hAnsi="Arial"/>
                <w:sz w:val="25"/>
                <w:szCs w:val="25"/>
                <w:color w:val="auto"/>
                <w:vertAlign w:val="superscript"/>
              </w:rPr>
              <w:t>(2)</w:t>
            </w:r>
          </w:p>
        </w:tc>
        <w:tc>
          <w:tcPr>
            <w:tcW w:w="280" w:type="dxa"/>
            <w:vAlign w:val="bottom"/>
          </w:tcPr>
          <w:p>
            <w:pPr>
              <w:spacing w:after="0"/>
              <w:rPr>
                <w:sz w:val="22"/>
                <w:szCs w:val="22"/>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6,658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6,658</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144,748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109,860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34,888</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Temporary Equity</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060" w:type="dxa"/>
            <w:vAlign w:val="bottom"/>
          </w:tcPr>
          <w:p>
            <w:pPr>
              <w:ind w:left="280"/>
              <w:spacing w:after="0"/>
              <w:rPr>
                <w:sz w:val="20"/>
                <w:szCs w:val="20"/>
                <w:color w:val="auto"/>
              </w:rPr>
            </w:pPr>
            <w:r>
              <w:rPr>
                <w:rFonts w:ascii="Arial" w:cs="Arial" w:eastAsia="Arial" w:hAnsi="Arial"/>
                <w:sz w:val="18"/>
                <w:szCs w:val="18"/>
                <w:color w:val="auto"/>
              </w:rPr>
              <w:t xml:space="preserve">Redeemable noncontrolling interests </w:t>
            </w:r>
            <w:r>
              <w:rPr>
                <w:rFonts w:ascii="Arial" w:cs="Arial" w:eastAsia="Arial" w:hAnsi="Arial"/>
                <w:sz w:val="25"/>
                <w:szCs w:val="25"/>
                <w:color w:val="auto"/>
                <w:vertAlign w:val="superscript"/>
              </w:rPr>
              <w:t>(3)</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6"/>
                <w:szCs w:val="16"/>
                <w:b w:val="1"/>
                <w:bCs w:val="1"/>
                <w:color w:val="auto"/>
              </w:rPr>
              <w:t>Total temporary equity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-1059815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-339725</wp:posOffset>
            </wp:positionV>
            <wp:extent cx="340487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-699770</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ind w:left="340" w:hanging="332"/>
        <w:spacing w:after="0" w:line="183"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Cash equivalents primarily included money market funds.</w:t>
      </w:r>
    </w:p>
    <w:p>
      <w:pPr>
        <w:spacing w:after="0" w:line="2" w:lineRule="exact"/>
        <w:rPr>
          <w:rFonts w:ascii="Arial" w:cs="Arial" w:eastAsia="Arial" w:hAnsi="Arial"/>
          <w:sz w:val="25"/>
          <w:szCs w:val="25"/>
          <w:color w:val="auto"/>
          <w:vertAlign w:val="superscript"/>
        </w:rPr>
      </w:pPr>
    </w:p>
    <w:p>
      <w:pPr>
        <w:ind w:left="340" w:hanging="332"/>
        <w:spacing w:after="0" w:line="203" w:lineRule="auto"/>
        <w:tabs>
          <w:tab w:leader="none" w:pos="34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Marketable securities are comprised of municipal bonds, certificates of deposit. corporate bonds, treasury bonds, and mutual funds.</w:t>
      </w:r>
    </w:p>
    <w:p>
      <w:pPr>
        <w:spacing w:after="0" w:line="2"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11"/>
        </w:numPr>
        <w:rPr>
          <w:rFonts w:ascii="Arial" w:cs="Arial" w:eastAsia="Arial" w:hAnsi="Arial"/>
          <w:sz w:val="24"/>
          <w:szCs w:val="24"/>
          <w:color w:val="auto"/>
          <w:vertAlign w:val="superscript"/>
        </w:rPr>
      </w:pPr>
      <w:r>
        <w:rPr>
          <w:rFonts w:ascii="Arial" w:cs="Arial" w:eastAsia="Arial" w:hAnsi="Arial"/>
          <w:sz w:val="17"/>
          <w:szCs w:val="17"/>
          <w:color w:val="auto"/>
        </w:rPr>
        <w:t>Put arrangements held by the noncontrolling interests in certain of the Company’s joint ventures.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ind w:left="289"/>
        <w:spacing w:after="0"/>
        <w:rPr>
          <w:sz w:val="20"/>
          <w:szCs w:val="20"/>
          <w:color w:val="auto"/>
        </w:rPr>
      </w:pPr>
      <w:r>
        <w:rPr>
          <w:rFonts w:ascii="Arial" w:cs="Arial" w:eastAsia="Arial" w:hAnsi="Arial"/>
          <w:sz w:val="16"/>
          <w:szCs w:val="16"/>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37465</wp:posOffset>
            </wp:positionV>
            <wp:extent cx="7975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36" w:lineRule="exact"/>
        <w:rPr>
          <w:sz w:val="20"/>
          <w:szCs w:val="20"/>
          <w:color w:val="auto"/>
        </w:rPr>
      </w:pPr>
    </w:p>
    <w:p>
      <w:pPr>
        <w:ind w:left="949" w:hanging="949"/>
        <w:spacing w:after="0"/>
        <w:tabs>
          <w:tab w:leader="none" w:pos="9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949"/>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57" w:lineRule="exact"/>
        <w:rPr>
          <w:sz w:val="20"/>
          <w:szCs w:val="20"/>
          <w:color w:val="auto"/>
        </w:rPr>
      </w:pPr>
    </w:p>
    <w:p>
      <w:pPr>
        <w:ind w:left="949" w:hanging="949"/>
        <w:spacing w:after="0"/>
        <w:tabs>
          <w:tab w:leader="none" w:pos="9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7975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54" w:lineRule="exact"/>
        <w:rPr>
          <w:sz w:val="20"/>
          <w:szCs w:val="20"/>
          <w:color w:val="auto"/>
        </w:rPr>
      </w:pPr>
    </w:p>
    <w:p>
      <w:pPr>
        <w:ind w:left="629" w:hanging="62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12,500</w:t>
      </w:r>
    </w:p>
    <w:p>
      <w:pPr>
        <w:spacing w:after="0" w:line="99" w:lineRule="exact"/>
        <w:rPr>
          <w:rFonts w:ascii="Arial" w:cs="Arial" w:eastAsia="Arial" w:hAnsi="Arial"/>
          <w:sz w:val="16"/>
          <w:szCs w:val="16"/>
          <w:color w:val="auto"/>
        </w:rPr>
      </w:pPr>
    </w:p>
    <w:p>
      <w:pPr>
        <w:ind w:left="629" w:hanging="629"/>
        <w:spacing w:after="0"/>
        <w:tabs>
          <w:tab w:leader="none" w:pos="629" w:val="left"/>
        </w:tabs>
        <w:numPr>
          <w:ilvl w:val="0"/>
          <w:numId w:val="14"/>
        </w:numPr>
        <w:rPr>
          <w:rFonts w:ascii="Arial" w:cs="Arial" w:eastAsia="Arial" w:hAnsi="Arial"/>
          <w:sz w:val="16"/>
          <w:szCs w:val="16"/>
          <w:color w:val="auto"/>
        </w:rPr>
      </w:pPr>
      <w:r>
        <w:rPr>
          <w:rFonts w:ascii="Arial" w:cs="Arial" w:eastAsia="Arial" w:hAnsi="Arial"/>
          <w:sz w:val="16"/>
          <w:szCs w:val="16"/>
          <w:color w:val="auto"/>
        </w:rPr>
        <w:t>12,500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7975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558" w:lineRule="exact"/>
        <w:rPr>
          <w:sz w:val="20"/>
          <w:szCs w:val="20"/>
          <w:color w:val="auto"/>
        </w:rPr>
      </w:pPr>
    </w:p>
    <w:p>
      <w:pPr>
        <w:sectPr>
          <w:pgSz w:w="11900" w:h="16838" w:orient="portrait"/>
          <w:cols w:equalWidth="0" w:num="2">
            <w:col w:w="10060" w:space="131"/>
            <w:col w:w="1229"/>
          </w:cols>
          <w:pgMar w:left="240" w:top="125" w:right="239" w:bottom="1440" w:gutter="0" w:footer="0" w:header="0"/>
          <w:type w:val="continuous"/>
        </w:sectPr>
      </w:pPr>
    </w:p>
    <w:p>
      <w:pPr>
        <w:jc w:val="both"/>
        <w:ind w:firstLine="243"/>
        <w:spacing w:after="0" w:line="259" w:lineRule="auto"/>
        <w:rPr>
          <w:sz w:val="20"/>
          <w:szCs w:val="20"/>
          <w:color w:val="auto"/>
        </w:rPr>
      </w:pPr>
      <w:r>
        <w:rPr>
          <w:rFonts w:ascii="Arial" w:cs="Arial" w:eastAsia="Arial" w:hAnsi="Arial"/>
          <w:sz w:val="18"/>
          <w:szCs w:val="18"/>
          <w:color w:val="auto"/>
        </w:rPr>
        <w:t>The Company utilizes the market approach to measure fair value for its financial assets. The market approach uses prices and other relevant information generated by market transactions involving identical or comparable assets. The Company’s marketable securities investments classified as Level 2 primarily utilize broker quotes in a non-active market for valuation of these securities. No transfers of assets between Level 1, Level 2 and Level 3 of the fair value measurement hierarchy occurred during the six months ended June 30, 2019.</w:t>
      </w:r>
    </w:p>
    <w:p>
      <w:pPr>
        <w:spacing w:after="0" w:line="18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marketable debt securities, unrealized gains and losses are reported as a component of accumulated other comprehensive income in stockholders’ equity. The cost of securities sold is based on the specific identification method. The Company evaluates investments with unrealized losses to determine if the losses are other than temporary. The Company has determined that the gross unrealized losses at June 30, 2019 and 2018 are temporary. In making this determination, the Company considered the financial condition, credit ratings and near-term prospects of the issuers, the underlying collateral of the investments, and the magnitude of the losses as compared to the cost and the length of time the investments have been in an unrealized loss position. Additionally, while the Company classifies the securities as available for sale, the Company does not currently intend to sell such investments and it is more likely than not to recover the carrying value prior to being required to sell such investments.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marketable equity securities are mutual funds measured at fair value and classified within Level 2 in the fair value hierarchy. Unrealized gains and losses related to our marketable equity securities were recognized in other income (expense), net.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June 30, 2019 and December 31, 2018, the estimated fair value of investments in marketable debt securities,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June 30, 2019</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center"/>
              <w:ind w:right="193"/>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center"/>
              <w:ind w:right="193"/>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color w:val="auto"/>
              </w:rPr>
              <w:t>Marketable securities - debt:</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6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9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Treasury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9,990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9,990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10,583</w:t>
            </w:r>
          </w:p>
        </w:tc>
        <w:tc>
          <w:tcPr>
            <w:tcW w:w="0" w:type="dxa"/>
            <w:vAlign w:val="bottom"/>
          </w:tcPr>
          <w:p>
            <w:pPr>
              <w:spacing w:after="0"/>
              <w:rPr>
                <w:sz w:val="1"/>
                <w:szCs w:val="1"/>
                <w:color w:val="auto"/>
              </w:rPr>
            </w:pPr>
          </w:p>
        </w:tc>
      </w:tr>
      <w:tr>
        <w:trPr>
          <w:trHeight w:val="432"/>
        </w:trPr>
        <w:tc>
          <w:tcPr>
            <w:tcW w:w="40" w:type="dxa"/>
            <w:vAlign w:val="bottom"/>
          </w:tcPr>
          <w:p>
            <w:pPr>
              <w:spacing w:after="0"/>
              <w:rPr>
                <w:sz w:val="24"/>
                <w:szCs w:val="24"/>
                <w:color w:val="auto"/>
              </w:rPr>
            </w:pPr>
          </w:p>
        </w:tc>
        <w:tc>
          <w:tcPr>
            <w:tcW w:w="10120" w:type="dxa"/>
            <w:vAlign w:val="bottom"/>
            <w:gridSpan w:val="11"/>
          </w:tcPr>
          <w:p>
            <w:pPr>
              <w:ind w:left="300"/>
              <w:spacing w:after="0"/>
              <w:rPr>
                <w:sz w:val="20"/>
                <w:szCs w:val="20"/>
                <w:color w:val="auto"/>
              </w:rPr>
            </w:pPr>
            <w:r>
              <w:rPr>
                <w:rFonts w:ascii="Arial" w:cs="Arial" w:eastAsia="Arial" w:hAnsi="Arial"/>
                <w:sz w:val="18"/>
                <w:szCs w:val="18"/>
                <w:color w:val="auto"/>
              </w:rPr>
              <w:t>As of June 30, 2019, the aggregate related fair value of investment with unrealized losses was approximately $0.2 million.</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December 31, 2018</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040" w:type="dxa"/>
            <w:vAlign w:val="bottom"/>
          </w:tcPr>
          <w:p>
            <w:pPr>
              <w:spacing w:after="0"/>
              <w:rPr>
                <w:sz w:val="4"/>
                <w:szCs w:val="4"/>
                <w:color w:val="auto"/>
              </w:rPr>
            </w:pPr>
          </w:p>
        </w:tc>
        <w:tc>
          <w:tcPr>
            <w:tcW w:w="39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Unrealized</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Unrealized</w:t>
            </w:r>
          </w:p>
        </w:tc>
        <w:tc>
          <w:tcPr>
            <w:tcW w:w="280" w:type="dxa"/>
            <w:vAlign w:val="bottom"/>
          </w:tcPr>
          <w:p>
            <w:pPr>
              <w:spacing w:after="0"/>
              <w:rPr>
                <w:sz w:val="17"/>
                <w:szCs w:val="17"/>
                <w:color w:val="auto"/>
              </w:rPr>
            </w:pPr>
          </w:p>
        </w:tc>
        <w:tc>
          <w:tcPr>
            <w:tcW w:w="980" w:type="dxa"/>
            <w:vAlign w:val="bottom"/>
          </w:tcPr>
          <w:p>
            <w:pPr>
              <w:jc w:val="center"/>
              <w:ind w:right="193"/>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3"/>
              </w:rPr>
              <w:t>Losses</w:t>
            </w:r>
          </w:p>
        </w:tc>
        <w:tc>
          <w:tcPr>
            <w:tcW w:w="280" w:type="dxa"/>
            <w:vAlign w:val="bottom"/>
          </w:tcPr>
          <w:p>
            <w:pPr>
              <w:spacing w:after="0"/>
              <w:rPr>
                <w:sz w:val="18"/>
                <w:szCs w:val="18"/>
                <w:color w:val="auto"/>
              </w:rPr>
            </w:pPr>
          </w:p>
        </w:tc>
        <w:tc>
          <w:tcPr>
            <w:tcW w:w="980" w:type="dxa"/>
            <w:vAlign w:val="bottom"/>
          </w:tcPr>
          <w:p>
            <w:pPr>
              <w:jc w:val="center"/>
              <w:ind w:right="193"/>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33"/>
        </w:trPr>
        <w:tc>
          <w:tcPr>
            <w:tcW w:w="6060" w:type="dxa"/>
            <w:vAlign w:val="bottom"/>
            <w:gridSpan w:val="3"/>
            <w:vMerge w:val="restart"/>
          </w:tcPr>
          <w:p>
            <w:pPr>
              <w:ind w:left="40"/>
              <w:spacing w:after="0"/>
              <w:rPr>
                <w:sz w:val="20"/>
                <w:szCs w:val="20"/>
                <w:color w:val="auto"/>
              </w:rPr>
            </w:pPr>
            <w:r>
              <w:rPr>
                <w:rFonts w:ascii="Arial" w:cs="Arial" w:eastAsia="Arial" w:hAnsi="Arial"/>
                <w:sz w:val="18"/>
                <w:szCs w:val="18"/>
                <w:color w:val="auto"/>
              </w:rPr>
              <w:t>Marketable securities - debt:</w:t>
            </w: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39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Municipal bonds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10,881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Treasury bonds</w:t>
            </w:r>
          </w:p>
        </w:tc>
        <w:tc>
          <w:tcPr>
            <w:tcW w:w="1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15,685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15,685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30,727</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2018, the aggregate related fair value of investment with unrealized losses was approximately $14.9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marketable debt securities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June 30, 2019</w:t>
            </w:r>
          </w:p>
        </w:tc>
        <w:tc>
          <w:tcPr>
            <w:tcW w:w="820" w:type="dxa"/>
            <w:vAlign w:val="bottom"/>
          </w:tcPr>
          <w:p>
            <w:pPr>
              <w:spacing w:after="0"/>
              <w:rPr>
                <w:sz w:val="18"/>
                <w:szCs w:val="18"/>
                <w:color w:val="auto"/>
              </w:rPr>
            </w:pPr>
          </w:p>
        </w:tc>
      </w:tr>
      <w:tr>
        <w:trPr>
          <w:trHeight w:val="33"/>
        </w:trPr>
        <w:tc>
          <w:tcPr>
            <w:tcW w:w="8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9"/>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Amortized</w:t>
            </w:r>
          </w:p>
        </w:tc>
        <w:tc>
          <w:tcPr>
            <w:tcW w:w="440" w:type="dxa"/>
            <w:vAlign w:val="bottom"/>
          </w:tcPr>
          <w:p>
            <w:pPr>
              <w:spacing w:after="0"/>
              <w:rPr>
                <w:sz w:val="18"/>
                <w:szCs w:val="18"/>
                <w:color w:val="auto"/>
              </w:rPr>
            </w:pPr>
          </w:p>
        </w:tc>
        <w:tc>
          <w:tcPr>
            <w:tcW w:w="820" w:type="dxa"/>
            <w:vAlign w:val="bottom"/>
          </w:tcPr>
          <w:p>
            <w:pPr>
              <w:jc w:val="right"/>
              <w:ind w:right="393"/>
              <w:spacing w:after="0"/>
              <w:rPr>
                <w:sz w:val="20"/>
                <w:szCs w:val="20"/>
                <w:color w:val="auto"/>
              </w:rPr>
            </w:pPr>
            <w:r>
              <w:rPr>
                <w:rFonts w:ascii="Arial" w:cs="Arial" w:eastAsia="Arial" w:hAnsi="Arial"/>
                <w:sz w:val="16"/>
                <w:szCs w:val="16"/>
                <w:b w:val="1"/>
                <w:bCs w:val="1"/>
                <w:color w:val="auto"/>
              </w:rPr>
              <w:t>Fair</w:t>
            </w:r>
          </w:p>
        </w:tc>
      </w:tr>
      <w:tr>
        <w:trPr>
          <w:trHeight w:val="210"/>
        </w:trPr>
        <w:tc>
          <w:tcPr>
            <w:tcW w:w="8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4"/>
              </w:rPr>
              <w:t>Cost</w:t>
            </w:r>
          </w:p>
        </w:tc>
        <w:tc>
          <w:tcPr>
            <w:tcW w:w="440" w:type="dxa"/>
            <w:vAlign w:val="bottom"/>
          </w:tcPr>
          <w:p>
            <w:pPr>
              <w:spacing w:after="0"/>
              <w:rPr>
                <w:sz w:val="18"/>
                <w:szCs w:val="18"/>
                <w:color w:val="auto"/>
              </w:rPr>
            </w:pPr>
          </w:p>
        </w:tc>
        <w:tc>
          <w:tcPr>
            <w:tcW w:w="820" w:type="dxa"/>
            <w:vAlign w:val="bottom"/>
          </w:tcPr>
          <w:p>
            <w:pPr>
              <w:jc w:val="right"/>
              <w:ind w:right="353"/>
              <w:spacing w:after="0"/>
              <w:rPr>
                <w:sz w:val="20"/>
                <w:szCs w:val="20"/>
                <w:color w:val="auto"/>
              </w:rPr>
            </w:pPr>
            <w:r>
              <w:rPr>
                <w:rFonts w:ascii="Arial" w:cs="Arial" w:eastAsia="Arial" w:hAnsi="Arial"/>
                <w:sz w:val="16"/>
                <w:szCs w:val="16"/>
                <w:b w:val="1"/>
                <w:bCs w:val="1"/>
                <w:color w:val="auto"/>
                <w:w w:val="84"/>
              </w:rPr>
              <w:t>Value</w:t>
            </w:r>
          </w:p>
        </w:tc>
      </w:tr>
      <w:tr>
        <w:trPr>
          <w:trHeight w:val="33"/>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within one year</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10,516</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Due after 1 year through 5 years</w:t>
            </w: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67</w:t>
            </w:r>
          </w:p>
        </w:tc>
      </w:tr>
      <w:tr>
        <w:trPr>
          <w:trHeight w:val="27"/>
        </w:trPr>
        <w:tc>
          <w:tcPr>
            <w:tcW w:w="8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Due after 5 years through 10 years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280"/>
              <w:spacing w:after="0"/>
              <w:rPr>
                <w:sz w:val="20"/>
                <w:szCs w:val="20"/>
                <w:color w:val="auto"/>
              </w:rPr>
            </w:pPr>
            <w:r>
              <w:rPr>
                <w:rFonts w:ascii="Arial" w:cs="Arial" w:eastAsia="Arial" w:hAnsi="Arial"/>
                <w:sz w:val="18"/>
                <w:szCs w:val="18"/>
                <w:color w:val="auto"/>
              </w:rPr>
              <w:t>Due after 10 years</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 debt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10,583</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2019 and December 31, 2018, the estimated fair value of investments in marketable equity securities,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December 31, 2018</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Mutual funds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Realized gains (losses)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Balance at June 30, 2019</w:t>
      </w:r>
    </w:p>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ind w:left="925" w:hanging="925"/>
        <w:spacing w:after="0"/>
        <w:tabs>
          <w:tab w:leader="none" w:pos="925" w:val="left"/>
        </w:tabs>
        <w:numPr>
          <w:ilvl w:val="0"/>
          <w:numId w:val="15"/>
        </w:numPr>
        <w:rPr>
          <w:rFonts w:ascii="Arial" w:cs="Arial" w:eastAsia="Arial" w:hAnsi="Arial"/>
          <w:sz w:val="16"/>
          <w:szCs w:val="16"/>
          <w:color w:val="auto"/>
        </w:rPr>
      </w:pPr>
      <w:r>
        <w:rPr>
          <w:rFonts w:ascii="Arial" w:cs="Arial" w:eastAsia="Arial" w:hAnsi="Arial"/>
          <w:sz w:val="16"/>
          <w:szCs w:val="16"/>
          <w:color w:val="auto"/>
        </w:rPr>
        <w:t>4,161</w:t>
      </w:r>
    </w:p>
    <w:p>
      <w:pPr>
        <w:spacing w:after="0" w:line="86" w:lineRule="exact"/>
        <w:rPr>
          <w:rFonts w:ascii="Arial" w:cs="Arial" w:eastAsia="Arial" w:hAnsi="Arial"/>
          <w:sz w:val="16"/>
          <w:szCs w:val="16"/>
          <w:color w:val="auto"/>
        </w:rPr>
      </w:pPr>
    </w:p>
    <w:p>
      <w:pPr>
        <w:ind w:left="845"/>
        <w:spacing w:after="0"/>
        <w:rPr>
          <w:rFonts w:ascii="Arial" w:cs="Arial" w:eastAsia="Arial" w:hAnsi="Arial"/>
          <w:sz w:val="16"/>
          <w:szCs w:val="16"/>
          <w:color w:val="auto"/>
        </w:rPr>
      </w:pPr>
      <w:r>
        <w:rPr>
          <w:rFonts w:ascii="Arial" w:cs="Arial" w:eastAsia="Arial" w:hAnsi="Arial"/>
          <w:sz w:val="16"/>
          <w:szCs w:val="16"/>
          <w:color w:val="auto"/>
        </w:rPr>
        <w:t>29,581</w:t>
      </w:r>
    </w:p>
    <w:p>
      <w:pPr>
        <w:spacing w:after="0" w:line="86" w:lineRule="exact"/>
        <w:rPr>
          <w:rFonts w:ascii="Arial" w:cs="Arial" w:eastAsia="Arial" w:hAnsi="Arial"/>
          <w:sz w:val="16"/>
          <w:szCs w:val="16"/>
          <w:color w:val="auto"/>
        </w:rPr>
      </w:pPr>
    </w:p>
    <w:p>
      <w:pPr>
        <w:ind w:left="1245"/>
        <w:spacing w:after="0"/>
        <w:rPr>
          <w:rFonts w:ascii="Arial" w:cs="Arial" w:eastAsia="Arial" w:hAnsi="Arial"/>
          <w:sz w:val="16"/>
          <w:szCs w:val="16"/>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39370</wp:posOffset>
            </wp:positionV>
            <wp:extent cx="934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8" w:lineRule="exact"/>
        <w:rPr>
          <w:sz w:val="20"/>
          <w:szCs w:val="20"/>
          <w:color w:val="auto"/>
        </w:rPr>
      </w:pPr>
    </w:p>
    <w:p>
      <w:pPr>
        <w:ind w:left="845" w:hanging="845"/>
        <w:spacing w:after="0"/>
        <w:tabs>
          <w:tab w:leader="none" w:pos="8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33,743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46355</wp:posOffset>
            </wp:positionV>
            <wp:extent cx="9347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720" w:space="255"/>
            <w:col w:w="1445"/>
          </w:cols>
          <w:pgMar w:left="240" w:top="125" w:right="239" w:bottom="1440" w:gutter="0" w:footer="0" w:header="0"/>
          <w:type w:val="continuous"/>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 noncontrolling interests could significantly increase or decrease the fair value estimates recorded in the Condensed Consolidated Balance Sheets.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six months ended June 30, 2019 were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December 31, 2018</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12,500</w:t>
            </w:r>
          </w:p>
        </w:tc>
      </w:tr>
      <w:tr>
        <w:trPr>
          <w:trHeight w:val="243"/>
        </w:trPr>
        <w:tc>
          <w:tcPr>
            <w:tcW w:w="10160" w:type="dxa"/>
            <w:vAlign w:val="bottom"/>
          </w:tcPr>
          <w:p>
            <w:pPr>
              <w:ind w:left="280"/>
              <w:spacing w:after="0"/>
              <w:rPr>
                <w:sz w:val="20"/>
                <w:szCs w:val="20"/>
                <w:color w:val="auto"/>
              </w:rPr>
            </w:pPr>
            <w:r>
              <w:rPr>
                <w:rFonts w:ascii="Arial" w:cs="Arial" w:eastAsia="Arial" w:hAnsi="Arial"/>
                <w:sz w:val="18"/>
                <w:szCs w:val="18"/>
                <w:color w:val="auto"/>
              </w:rPr>
              <w:t>Fair value adjustment</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(906)</w:t>
            </w:r>
          </w:p>
        </w:tc>
      </w:tr>
      <w:tr>
        <w:trPr>
          <w:trHeight w:val="27"/>
        </w:trPr>
        <w:tc>
          <w:tcPr>
            <w:tcW w:w="10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attributable to redeemable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906</w:t>
            </w:r>
          </w:p>
        </w:tc>
      </w:tr>
      <w:tr>
        <w:trPr>
          <w:trHeight w:val="257"/>
        </w:trPr>
        <w:tc>
          <w:tcPr>
            <w:tcW w:w="10160" w:type="dxa"/>
            <w:vAlign w:val="bottom"/>
          </w:tcPr>
          <w:p>
            <w:pPr>
              <w:ind w:left="40"/>
              <w:spacing w:after="0"/>
              <w:rPr>
                <w:sz w:val="20"/>
                <w:szCs w:val="20"/>
                <w:color w:val="auto"/>
              </w:rPr>
            </w:pPr>
            <w:r>
              <w:rPr>
                <w:rFonts w:ascii="Arial" w:cs="Arial" w:eastAsia="Arial" w:hAnsi="Arial"/>
                <w:sz w:val="18"/>
                <w:szCs w:val="18"/>
                <w:color w:val="auto"/>
              </w:rPr>
              <w:t>Balance at June 30, 2019</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12,500</w:t>
            </w:r>
          </w:p>
        </w:tc>
      </w:tr>
      <w:tr>
        <w:trPr>
          <w:trHeight w:val="20"/>
        </w:trPr>
        <w:tc>
          <w:tcPr>
            <w:tcW w:w="10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have entered into contracts with third parties to lease a variety of assets, including certain real estate, equipment, automobiles and other assets. Our leases frequently allow for lease payments that could vary based on factors such as inflation or the degree of utilization of the underlying asset. For example, certain of our real estate leases could require us to make payments that vary based on common area maintenance charges, insurance and other charges. Our lease agreements do not contain any material residual value guarantees or material restrictive covenants.</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The Company does not have material sublease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June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ROU assets: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180"/>
              <w:spacing w:after="0"/>
              <w:rPr>
                <w:sz w:val="20"/>
                <w:szCs w:val="20"/>
                <w:color w:val="auto"/>
              </w:rPr>
            </w:pPr>
            <w:r>
              <w:rPr>
                <w:rFonts w:ascii="Arial" w:cs="Arial" w:eastAsia="Arial" w:hAnsi="Arial"/>
                <w:sz w:val="18"/>
                <w:szCs w:val="18"/>
                <w:color w:val="auto"/>
              </w:rPr>
              <w:t>Non-current operating lease ROU assets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63,416</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982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color w:val="auto"/>
              </w:rPr>
              <w:t>Operating lease liabilities:</w:t>
            </w:r>
          </w:p>
        </w:tc>
        <w:tc>
          <w:tcPr>
            <w:tcW w:w="5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operating lease liabilities*</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65,141</w:t>
            </w:r>
          </w:p>
        </w:tc>
        <w:tc>
          <w:tcPr>
            <w:tcW w:w="0" w:type="dxa"/>
            <w:vAlign w:val="bottom"/>
          </w:tcPr>
          <w:p>
            <w:pPr>
              <w:spacing w:after="0"/>
              <w:rPr>
                <w:sz w:val="1"/>
                <w:szCs w:val="1"/>
                <w:color w:val="auto"/>
              </w:rPr>
            </w:pPr>
          </w:p>
        </w:tc>
      </w:tr>
      <w:tr>
        <w:trPr>
          <w:trHeight w:val="27"/>
        </w:trPr>
        <w:tc>
          <w:tcPr>
            <w:tcW w:w="98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lease liabilities</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72,717</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are included in Accrued Expenses on Condensed Consolidated Balance Sheets.</w:t>
      </w:r>
    </w:p>
    <w:p>
      <w:pPr>
        <w:spacing w:after="0" w:line="210"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6"/>
          <w:szCs w:val="16"/>
          <w:color w:val="auto"/>
        </w:rPr>
        <w:t>The following table presents information about lease expense and sublease income for the three and six months ended June 30, 2019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40" w:type="dxa"/>
            <w:vAlign w:val="bottom"/>
            <w:gridSpan w:val="3"/>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1700" w:type="dxa"/>
            <w:vAlign w:val="bottom"/>
          </w:tcPr>
          <w:p>
            <w:pPr>
              <w:jc w:val="right"/>
              <w:ind w:right="232"/>
              <w:spacing w:after="0"/>
              <w:rPr>
                <w:sz w:val="20"/>
                <w:szCs w:val="20"/>
                <w:color w:val="auto"/>
              </w:rPr>
            </w:pPr>
            <w:r>
              <w:rPr>
                <w:rFonts w:ascii="Arial" w:cs="Arial" w:eastAsia="Arial" w:hAnsi="Arial"/>
                <w:sz w:val="16"/>
                <w:szCs w:val="16"/>
                <w:b w:val="1"/>
                <w:bCs w:val="1"/>
                <w:color w:val="auto"/>
                <w:w w:val="98"/>
              </w:rPr>
              <w:t>Six Months Ended</w:t>
            </w:r>
          </w:p>
        </w:tc>
        <w:tc>
          <w:tcPr>
            <w:tcW w:w="0" w:type="dxa"/>
            <w:vAlign w:val="bottom"/>
          </w:tcPr>
          <w:p>
            <w:pPr>
              <w:spacing w:after="0"/>
              <w:rPr>
                <w:sz w:val="1"/>
                <w:szCs w:val="1"/>
                <w:color w:val="auto"/>
              </w:rPr>
            </w:pPr>
          </w:p>
        </w:tc>
      </w:tr>
      <w:tr>
        <w:trPr>
          <w:trHeight w:val="33"/>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40"/>
              <w:spacing w:after="0"/>
              <w:rPr>
                <w:sz w:val="20"/>
                <w:szCs w:val="20"/>
                <w:color w:val="auto"/>
              </w:rPr>
            </w:pPr>
            <w:r>
              <w:rPr>
                <w:rFonts w:ascii="Arial" w:cs="Arial" w:eastAsia="Arial" w:hAnsi="Arial"/>
                <w:sz w:val="18"/>
                <w:szCs w:val="18"/>
                <w:color w:val="auto"/>
              </w:rPr>
              <w:t>Operating lease cost*</w:t>
            </w:r>
          </w:p>
        </w:tc>
        <w:tc>
          <w:tcPr>
            <w:tcW w:w="392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3,324</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6,758</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lease costs and income:</w:t>
            </w:r>
          </w:p>
        </w:tc>
        <w:tc>
          <w:tcPr>
            <w:tcW w:w="3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180"/>
              <w:spacing w:after="0"/>
              <w:rPr>
                <w:sz w:val="20"/>
                <w:szCs w:val="20"/>
                <w:color w:val="auto"/>
              </w:rPr>
            </w:pPr>
            <w:r>
              <w:rPr>
                <w:rFonts w:ascii="Arial" w:cs="Arial" w:eastAsia="Arial" w:hAnsi="Arial"/>
                <w:sz w:val="18"/>
                <w:szCs w:val="18"/>
                <w:color w:val="auto"/>
              </w:rPr>
              <w:t>Variable lease costs*</w:t>
            </w:r>
          </w:p>
        </w:tc>
        <w:tc>
          <w:tcPr>
            <w:tcW w:w="3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12"/>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3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Sublease income*</w:t>
            </w:r>
          </w:p>
        </w:tc>
        <w:tc>
          <w:tcPr>
            <w:tcW w:w="3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257"/>
        </w:trPr>
        <w:tc>
          <w:tcPr>
            <w:tcW w:w="4260" w:type="dxa"/>
            <w:vAlign w:val="bottom"/>
          </w:tcPr>
          <w:p>
            <w:pPr>
              <w:ind w:left="40"/>
              <w:spacing w:after="0"/>
              <w:rPr>
                <w:sz w:val="20"/>
                <w:szCs w:val="20"/>
                <w:color w:val="auto"/>
              </w:rPr>
            </w:pPr>
            <w:r>
              <w:rPr>
                <w:rFonts w:ascii="Arial" w:cs="Arial" w:eastAsia="Arial" w:hAnsi="Arial"/>
                <w:sz w:val="18"/>
                <w:szCs w:val="18"/>
                <w:color w:val="auto"/>
              </w:rPr>
              <w:t>Total net lease cost</w:t>
            </w:r>
          </w:p>
        </w:tc>
        <w:tc>
          <w:tcPr>
            <w:tcW w:w="3180" w:type="dxa"/>
            <w:vAlign w:val="bottom"/>
          </w:tcPr>
          <w:p>
            <w:pPr>
              <w:spacing w:after="0"/>
              <w:rPr>
                <w:sz w:val="22"/>
                <w:szCs w:val="22"/>
                <w:color w:val="auto"/>
              </w:rPr>
            </w:pPr>
          </w:p>
        </w:tc>
        <w:tc>
          <w:tcPr>
            <w:tcW w:w="7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2,248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5,395</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180" w:type="dxa"/>
            <w:vAlign w:val="bottom"/>
            <w:vMerge w:val="restart"/>
          </w:tcPr>
          <w:p>
            <w:pPr>
              <w:jc w:val="right"/>
              <w:ind w:right="1550"/>
              <w:spacing w:after="0"/>
              <w:rPr>
                <w:sz w:val="20"/>
                <w:szCs w:val="20"/>
                <w:color w:val="auto"/>
              </w:rPr>
            </w:pPr>
            <w:r>
              <w:rPr>
                <w:rFonts w:ascii="Arial" w:cs="Arial" w:eastAsia="Arial" w:hAnsi="Arial"/>
                <w:sz w:val="18"/>
                <w:szCs w:val="18"/>
                <w:color w:val="auto"/>
              </w:rPr>
              <w:t>18</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60" w:type="dxa"/>
            <w:vAlign w:val="bottom"/>
            <w:vMerge w:val="continue"/>
          </w:tcPr>
          <w:p>
            <w:pPr>
              <w:spacing w:after="0"/>
              <w:rPr>
                <w:sz w:val="17"/>
                <w:szCs w:val="17"/>
                <w:color w:val="auto"/>
              </w:rPr>
            </w:pPr>
          </w:p>
        </w:tc>
        <w:tc>
          <w:tcPr>
            <w:tcW w:w="318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31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hanging="332"/>
        <w:spacing w:after="0" w:line="277"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June 30, 2019 for each of the five years subsequent to December 31, 2018 and thereafter, as well as a reconciliation of such undiscounted cash flows to our lease liabilities at June 30, 2019 (in thousands):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111"/>
              <w:spacing w:after="0"/>
              <w:rPr>
                <w:sz w:val="20"/>
                <w:szCs w:val="20"/>
                <w:color w:val="auto"/>
              </w:rPr>
            </w:pPr>
            <w:r>
              <w:rPr>
                <w:rFonts w:ascii="Arial" w:cs="Arial" w:eastAsia="Arial" w:hAnsi="Arial"/>
                <w:sz w:val="16"/>
                <w:szCs w:val="16"/>
                <w:b w:val="1"/>
                <w:bCs w:val="1"/>
                <w:color w:val="auto"/>
                <w:w w:val="90"/>
              </w:rPr>
              <w:t>Operating Leases</w:t>
            </w:r>
          </w:p>
        </w:tc>
      </w:tr>
      <w:tr>
        <w:trPr>
          <w:trHeight w:val="33"/>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13,456</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12,761</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12,235</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44,207</w:t>
            </w:r>
          </w:p>
        </w:tc>
      </w:tr>
      <w:tr>
        <w:trPr>
          <w:trHeight w:val="27"/>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future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99,036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(26,319)</w:t>
            </w:r>
          </w:p>
        </w:tc>
      </w:tr>
      <w:tr>
        <w:trPr>
          <w:trHeight w:val="27"/>
        </w:trPr>
        <w:tc>
          <w:tcPr>
            <w:tcW w:w="9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Present value of future lease payments (lease liability)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72,717</w:t>
            </w:r>
          </w:p>
        </w:tc>
      </w:tr>
      <w:tr>
        <w:trPr>
          <w:trHeight w:val="20"/>
        </w:trPr>
        <w:tc>
          <w:tcPr>
            <w:tcW w:w="98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419"/>
        </w:trPr>
        <w:tc>
          <w:tcPr>
            <w:tcW w:w="11420" w:type="dxa"/>
            <w:vAlign w:val="bottom"/>
            <w:gridSpan w:val="3"/>
          </w:tcPr>
          <w:p>
            <w:pPr>
              <w:ind w:left="340"/>
              <w:spacing w:after="0"/>
              <w:rPr>
                <w:sz w:val="20"/>
                <w:szCs w:val="20"/>
                <w:color w:val="auto"/>
              </w:rPr>
            </w:pPr>
            <w:r>
              <w:rPr>
                <w:rFonts w:ascii="Arial" w:cs="Arial" w:eastAsia="Arial" w:hAnsi="Arial"/>
                <w:sz w:val="18"/>
                <w:szCs w:val="18"/>
                <w:color w:val="auto"/>
                <w:w w:val="95"/>
              </w:rPr>
              <w:t>The following table provides the weighted-average remaining lease term and weighted-average discount rates for our leases as of June 30, 2019:</w:t>
            </w:r>
          </w:p>
        </w:tc>
      </w:tr>
      <w:tr>
        <w:trPr>
          <w:trHeight w:val="135"/>
        </w:trPr>
        <w:tc>
          <w:tcPr>
            <w:tcW w:w="9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9820" w:type="dxa"/>
            <w:vAlign w:val="bottom"/>
          </w:tcPr>
          <w:p>
            <w:pPr>
              <w:ind w:left="180"/>
              <w:spacing w:after="0"/>
              <w:rPr>
                <w:sz w:val="20"/>
                <w:szCs w:val="20"/>
                <w:color w:val="auto"/>
              </w:rPr>
            </w:pPr>
            <w:r>
              <w:rPr>
                <w:rFonts w:ascii="Arial" w:cs="Arial" w:eastAsia="Arial" w:hAnsi="Arial"/>
                <w:sz w:val="18"/>
                <w:szCs w:val="18"/>
                <w:color w:val="auto"/>
              </w:rPr>
              <w:t>Weighted-average remaining lease term (years), weighted based on lease liability balances</w:t>
            </w:r>
          </w:p>
        </w:tc>
        <w:tc>
          <w:tcPr>
            <w:tcW w:w="16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8.05</w:t>
            </w:r>
          </w:p>
        </w:tc>
      </w:tr>
      <w:tr>
        <w:trPr>
          <w:trHeight w:val="27"/>
        </w:trPr>
        <w:tc>
          <w:tcPr>
            <w:tcW w:w="9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9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discount rate (percentages), weighted based on the remaining balance of lease payments</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9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provides certain cash flow and supplemental noncash information related to our lease liabilities for the six months ended June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Operating Leases: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6,082</w:t>
            </w:r>
          </w:p>
        </w:tc>
      </w:tr>
      <w:tr>
        <w:trPr>
          <w:trHeight w:val="27"/>
        </w:trPr>
        <w:tc>
          <w:tcPr>
            <w:tcW w:w="75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 arising from obtaining right-of-use assets</w:t>
            </w:r>
          </w:p>
        </w:tc>
        <w:tc>
          <w:tcPr>
            <w:tcW w:w="28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273</w:t>
            </w:r>
          </w:p>
        </w:tc>
      </w:tr>
      <w:tr>
        <w:trPr>
          <w:trHeight w:val="27"/>
        </w:trPr>
        <w:tc>
          <w:tcPr>
            <w:tcW w:w="7540" w:type="dxa"/>
            <w:vAlign w:val="bottom"/>
            <w:shd w:val="clear" w:color="auto" w:fill="CCEEFF"/>
          </w:tcPr>
          <w:p>
            <w:pPr>
              <w:spacing w:after="0"/>
              <w:rPr>
                <w:sz w:val="2"/>
                <w:szCs w:val="2"/>
                <w:color w:val="auto"/>
              </w:rPr>
            </w:pPr>
          </w:p>
        </w:tc>
        <w:tc>
          <w:tcPr>
            <w:tcW w:w="28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Investments in Affiliates and Related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Sequential Technology International, LLC</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connection with the divestiture of the exception handling business of the Company, Synchronoss entered into a three-year Cloud Telephony and Support services agreement to grant Sequential Technology International, LLC (“STIN”) access to certain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Synchronoss software and private branch exchange systems to facilitate exception handling operations required to support STIN customers.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months ended June 30, 2019 and 2018, the Company recognized $6.4 million and $6.4 million, respectively, in revenue related to Cloud Telephony and Support services, and $0.0 million and $0.4 million, respectively, in revenue related to all other services.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2019 and 2018, the Company recognized $12.8 million and $12.8 million, respectively, in revenue related to Cloud Telephony and Support services, and $0.0 million and $0.9 million, respectively, in revenue related to all other services.</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STIN affiliate accounts receivable balances in the Condensed Consolidated Balance Sheet as of June 30, 2019 and December 31, 2018, were $35.4 million and $27.5 million, respectively. These amounts principally included revenues generated from the Cloud and Telephony Support Services agreement and pass-through of vendor expenses incurred during the transition and assignment of vendor contracts.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debt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2019</w:t>
            </w:r>
          </w:p>
        </w:tc>
        <w:tc>
          <w:tcPr>
            <w:tcW w:w="220" w:type="dxa"/>
            <w:vAlign w:val="bottom"/>
          </w:tcPr>
          <w:p>
            <w:pPr>
              <w:spacing w:after="0"/>
              <w:rPr>
                <w:sz w:val="18"/>
                <w:szCs w:val="18"/>
                <w:color w:val="auto"/>
              </w:rPr>
            </w:pPr>
          </w:p>
        </w:tc>
        <w:tc>
          <w:tcPr>
            <w:tcW w:w="1720" w:type="dxa"/>
            <w:vAlign w:val="bottom"/>
          </w:tcPr>
          <w:p>
            <w:pPr>
              <w:jc w:val="right"/>
              <w:ind w:right="232"/>
              <w:spacing w:after="0"/>
              <w:rPr>
                <w:sz w:val="20"/>
                <w:szCs w:val="20"/>
                <w:color w:val="auto"/>
              </w:rPr>
            </w:pPr>
            <w:r>
              <w:rPr>
                <w:rFonts w:ascii="Arial" w:cs="Arial" w:eastAsia="Arial" w:hAnsi="Arial"/>
                <w:sz w:val="16"/>
                <w:szCs w:val="16"/>
                <w:b w:val="1"/>
                <w:bCs w:val="1"/>
                <w:color w:val="auto"/>
                <w:w w:val="95"/>
              </w:rPr>
              <w:t>December 31, 2018</w:t>
            </w:r>
          </w:p>
        </w:tc>
      </w:tr>
      <w:tr>
        <w:trPr>
          <w:trHeight w:val="33"/>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47,112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113,980</w:t>
            </w:r>
          </w:p>
        </w:tc>
      </w:tr>
      <w:tr>
        <w:trPr>
          <w:trHeight w:val="270"/>
        </w:trPr>
        <w:tc>
          <w:tcPr>
            <w:tcW w:w="74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Unamortized debt issuance cost </w:t>
            </w:r>
            <w:r>
              <w:rPr>
                <w:rFonts w:ascii="Arial" w:cs="Arial" w:eastAsia="Arial" w:hAnsi="Arial"/>
                <w:sz w:val="25"/>
                <w:szCs w:val="25"/>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r>
      <w:tr>
        <w:trPr>
          <w:trHeight w:val="25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 carrying value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47,076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113,542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0"/>
        </w:trPr>
        <w:tc>
          <w:tcPr>
            <w:tcW w:w="7440" w:type="dxa"/>
            <w:vAlign w:val="bottom"/>
          </w:tcPr>
          <w:p>
            <w:pPr>
              <w:ind w:left="280"/>
              <w:spacing w:after="0"/>
              <w:rPr>
                <w:sz w:val="20"/>
                <w:szCs w:val="20"/>
                <w:color w:val="auto"/>
              </w:rPr>
            </w:pPr>
            <w:r>
              <w:rPr>
                <w:rFonts w:ascii="Arial" w:cs="Arial" w:eastAsia="Arial" w:hAnsi="Arial"/>
                <w:sz w:val="18"/>
                <w:szCs w:val="18"/>
                <w:color w:val="auto"/>
              </w:rPr>
              <w:t>Total short-term debt, carrying value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2"/>
              <w:spacing w:after="0"/>
              <w:rPr>
                <w:sz w:val="20"/>
                <w:szCs w:val="20"/>
                <w:color w:val="auto"/>
              </w:rPr>
            </w:pPr>
            <w:r>
              <w:rPr>
                <w:rFonts w:ascii="Arial" w:cs="Arial" w:eastAsia="Arial" w:hAnsi="Arial"/>
                <w:sz w:val="18"/>
                <w:szCs w:val="18"/>
                <w:color w:val="auto"/>
              </w:rPr>
              <w:t>47,076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113,542</w:t>
            </w:r>
          </w:p>
        </w:tc>
      </w:tr>
      <w:tr>
        <w:trPr>
          <w:trHeight w:val="239"/>
        </w:trPr>
        <w:tc>
          <w:tcPr>
            <w:tcW w:w="7440" w:type="dxa"/>
            <w:vAlign w:val="bottom"/>
          </w:tcPr>
          <w:p>
            <w:pPr>
              <w:spacing w:after="0"/>
              <w:rPr>
                <w:sz w:val="20"/>
                <w:szCs w:val="20"/>
                <w:color w:val="auto"/>
              </w:rPr>
            </w:pPr>
            <w:r>
              <w:rPr>
                <w:rFonts w:ascii="Arial" w:cs="Arial" w:eastAsia="Arial" w:hAnsi="Arial"/>
                <w:sz w:val="18"/>
                <w:szCs w:val="18"/>
                <w:color w:val="auto"/>
              </w:rPr>
              <w:t>________________________________</w:t>
            </w: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ind w:left="340" w:hanging="332"/>
        <w:spacing w:after="0" w:line="183"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Unamortized debt issuance cost is related to Convertible Senior Notes.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August 12, 2014, the Company issued $230.0 million aggregate principal amount of its 0.75% Convertible Senior Notes due in 2019 (the “2019 Notes”). The 2019 Notes mature on August 15, 2019, and bear interest at a rate of 0.75% per annum payable semi-annually in arrears on February 15 and August 15 of each year. The Company accounted for the $230.0 million face value of the debt as a liability and capitalized approximately $7.1 million of financing fees, related to the issuance which are presented net of the face value of the 2019 Notes on the Condensed Consolidated Balance Sheets.</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2019 Notes are senior, unsecured obligations of the Company, and are convertible into shares of its common stock based on a conversion rate of 18.8072 shares per $1,000 principal amount of 2019 Notes which is equivalent to an initial conversion price of approximately $53.17 per share. The Company will satisfy any conversion of the 2019 Notes with shares of the Company’s common stock. The 2019 Notes are convertible at the note holders’ option prior to their maturity and if specified corporate transactions occur. The issue price of the 2019 Notes was equal to their face amount.</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Holders of the 2019 Notes who convert their notes in connection with a qualifying fundamental change, as defined in the related indenture, may be entitled to a make-whole premium in the form of an increase in the conversion rate. Additionally, following the occurrence of a fundamental change, holders may require that the Company repurchase some or all of the 2019 Notes for cash at a repurchase price equal to 100% of the principal amount of the notes being repurchased, plus accrued and unpaid interest, if any. As of June 30, 2019, none of these conditions existed with respect to the 2019 Notes.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2019 Notes are the Company’s direct senior unsecured obligations and rank equal in right of payment to all of the Company’s existing and future unsecured and unsubordinated indebtedness.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2019, the carrying amount of the liability was $47.1 million and the outstanding principal of the 2019 Notes was $47.1 million, with an effective interest rate of approximately 1.37%. The fair value of the 2019 Notes was $46.9 million at June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30, 2019. The fair value of the liability of the 2019 Notes was determined using a discounted cash flow model based on current market interest rates available to the Company. These inputs are corroborated by observable market data for similar liabilities and therefore classified within Level 2 of the fair-value hierarchy.</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is required to meet all SEC filing requirements and deadlines to be compliant with the 2019 Notes. In the event that the Company does not meet the filing requirements, the Company will be in default under the 2019 Notes unless it elects to pay the noteholders additional interest of 0.25% up to 180 days from the date of the notice of default and 0.50% thereafter up to 360 days. The Company may agree to pay additional interest to the holders by notifying holders and the trustee within 90 days from the notice of default. If the Company decides to pay the additional interest but has not remedied its failure to meet all SEC filing requirements within 360 days from the notice of default, it will be in default. If the Company fails to elect to pay the additional interest, it will be in default if it does not remedy its failure to meet all SEC filing requirements within the 90 days from the notice of default.</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6"/>
          <w:szCs w:val="16"/>
          <w:color w:val="auto"/>
        </w:rPr>
        <w:t>The Company received a notice of default from holders of more than 25% of the outstanding principal amount of the 2019 Notes on October 13, 2017. In accordance with the terms of the 2019 Notes, the Company elected to begin paying additional interest starting January 11, 2018 (the 90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day following the Company’s receipt of the notice of default). As a result of the Company regaining compliance with its SEC filing requirements, the Company was no longer required to pay the additional interest as of July 9, 2018. The Company was required to record a derivative related to this contingent interest as a liability and expense in its financial statements due to the late filings of the Company’s quarterly reports on Form 10-Q in 2017. At June 30, 2019, the recorded contingent interest derivative liability within accrued expenses was zero as a result of Company regaining compliance with its SEC filing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interest expense: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6"/>
                <w:szCs w:val="16"/>
                <w:b w:val="1"/>
                <w:bCs w:val="1"/>
                <w:color w:val="auto"/>
              </w:rPr>
              <w:t>2019</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6"/>
        </w:trPr>
        <w:tc>
          <w:tcPr>
            <w:tcW w:w="5160" w:type="dxa"/>
            <w:vAlign w:val="bottom"/>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Convertible Senior Notes</w:t>
            </w:r>
          </w:p>
        </w:tc>
        <w:tc>
          <w:tcPr>
            <w:tcW w:w="10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auto"/>
            </w:tcBorders>
            <w:shd w:val="clear" w:color="auto" w:fill="CCEEFF"/>
          </w:tcPr>
          <w:p>
            <w:pPr>
              <w:spacing w:after="0"/>
              <w:rPr>
                <w:sz w:val="4"/>
                <w:szCs w:val="4"/>
                <w:color w:val="auto"/>
              </w:rPr>
            </w:pPr>
          </w:p>
        </w:tc>
        <w:tc>
          <w:tcPr>
            <w:tcW w:w="33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Amortization of debt issuance costs</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706</w:t>
            </w: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Interest on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w:t>
            </w:r>
          </w:p>
        </w:tc>
      </w:tr>
      <w:tr>
        <w:trPr>
          <w:trHeight w:val="243"/>
        </w:trPr>
        <w:tc>
          <w:tcPr>
            <w:tcW w:w="40" w:type="dxa"/>
            <w:vAlign w:val="bottom"/>
          </w:tcPr>
          <w:p>
            <w:pPr>
              <w:spacing w:after="0"/>
              <w:rPr>
                <w:sz w:val="21"/>
                <w:szCs w:val="21"/>
                <w:color w:val="auto"/>
              </w:rPr>
            </w:pPr>
          </w:p>
        </w:tc>
        <w:tc>
          <w:tcPr>
            <w:tcW w:w="5120" w:type="dxa"/>
            <w:vAlign w:val="bottom"/>
            <w:gridSpan w:val="2"/>
          </w:tcPr>
          <w:p>
            <w:pPr>
              <w:ind w:left="240"/>
              <w:spacing w:after="0"/>
              <w:rPr>
                <w:sz w:val="20"/>
                <w:szCs w:val="20"/>
                <w:color w:val="auto"/>
              </w:rPr>
            </w:pPr>
            <w:r>
              <w:rPr>
                <w:rFonts w:ascii="Arial" w:cs="Arial" w:eastAsia="Arial" w:hAnsi="Arial"/>
                <w:sz w:val="18"/>
                <w:szCs w:val="18"/>
                <w:color w:val="auto"/>
              </w:rPr>
              <w:t>Additional interest on default</w:t>
            </w:r>
          </w:p>
        </w:tc>
        <w:tc>
          <w:tcPr>
            <w:tcW w:w="10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192</w:t>
            </w: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0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483</w:t>
            </w: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322</w:t>
            </w: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2,565</w:t>
            </w: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(Loss) / Income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accumulated other comprehensive (loss) income during the six months ended June 30, 2019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1620" w:type="dxa"/>
            <w:vAlign w:val="bottom"/>
            <w:gridSpan w:val="3"/>
          </w:tcPr>
          <w:p>
            <w:pPr>
              <w:ind w:left="80"/>
              <w:spacing w:after="0"/>
              <w:rPr>
                <w:sz w:val="20"/>
                <w:szCs w:val="20"/>
                <w:color w:val="auto"/>
              </w:rPr>
            </w:pPr>
            <w:r>
              <w:rPr>
                <w:rFonts w:ascii="Arial" w:cs="Arial" w:eastAsia="Arial" w:hAnsi="Arial"/>
                <w:sz w:val="13"/>
                <w:szCs w:val="13"/>
                <w:b w:val="1"/>
                <w:bCs w:val="1"/>
                <w:color w:val="auto"/>
                <w:w w:val="99"/>
              </w:rPr>
              <w:t>Balance at December 31,</w:t>
            </w: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4"/>
        </w:trPr>
        <w:tc>
          <w:tcPr>
            <w:tcW w:w="51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7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6"/>
              </w:rPr>
              <w:t>Other comprehensive loss</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Tax effect</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Balance at June 30, 2019</w:t>
            </w:r>
          </w:p>
        </w:tc>
      </w:tr>
      <w:tr>
        <w:trPr>
          <w:trHeight w:val="257"/>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w:t>
            </w:r>
          </w:p>
        </w:tc>
        <w:tc>
          <w:tcPr>
            <w:tcW w:w="360" w:type="dxa"/>
            <w:vAlign w:val="bottom"/>
            <w:shd w:val="clear" w:color="auto" w:fill="CCEEFF"/>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(26,436)</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31"/>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331"/>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(25,929)</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Unrealized loss on intra-entity foreign currency transactions</w:t>
            </w:r>
          </w:p>
        </w:tc>
        <w:tc>
          <w:tcPr>
            <w:tcW w:w="36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4"/>
                <w:szCs w:val="14"/>
                <w:color w:val="auto"/>
              </w:rPr>
              <w:t>(3,906)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ind w:left="92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(4,025)</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holding losses on marketable debt securities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r>
      <w:tr>
        <w:trPr>
          <w:trHeight w:val="243"/>
        </w:trPr>
        <w:tc>
          <w:tcPr>
            <w:tcW w:w="5160" w:type="dxa"/>
            <w:vAlign w:val="bottom"/>
          </w:tcPr>
          <w:p>
            <w:pPr>
              <w:ind w:left="40"/>
              <w:spacing w:after="0"/>
              <w:rPr>
                <w:sz w:val="20"/>
                <w:szCs w:val="20"/>
                <w:color w:val="auto"/>
              </w:rPr>
            </w:pPr>
            <w:r>
              <w:rPr>
                <w:rFonts w:ascii="Arial" w:cs="Arial" w:eastAsia="Arial" w:hAnsi="Arial"/>
                <w:sz w:val="14"/>
                <w:szCs w:val="14"/>
                <w:color w:val="auto"/>
              </w:rPr>
              <w:t>Total</w:t>
            </w:r>
          </w:p>
        </w:tc>
        <w:tc>
          <w:tcPr>
            <w:tcW w:w="360" w:type="dxa"/>
            <w:vAlign w:val="bottom"/>
            <w:tcBorders>
              <w:top w:val="single" w:sz="8" w:color="auto"/>
              <w:bottom w:val="single" w:sz="8" w:color="auto"/>
            </w:tcBorders>
          </w:tcPr>
          <w:p>
            <w:pPr>
              <w:jc w:val="right"/>
              <w:ind w:right="191"/>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rPr>
              <w:t>(30,383)</w:t>
            </w:r>
          </w:p>
        </w:tc>
        <w:tc>
          <w:tcPr>
            <w:tcW w:w="12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(562)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(30,897)</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significant changes to Company’s authorized capital stock and preferred stock during the six months ended June 30,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Board of Directors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30, 2019, there were 202,256 shares of Series A Preferred Stock outstanding, including the initial issuance of 185,000 shares of Series A Preferred Stock and the issuance of 17,256 shares of Series A Preferred Stock as dividends.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on each share of Series A Preferred Stock on a quarterly basis, an amount equal to the dividend rate of 14.5% divided by four and multiplied by the then-applicable Liquidation Preference (as defined in the Series A Certificate) per share of Series A Preferred Stock (collectively, the “Preferred Dividends”). The Preferred Dividends are due on January 1, April 1, July 1 and October 1 of each year (each, a “Series A Dividend Payment Date”). The Company may choose to pay the Preferred Dividends in cash or in additional shares of Series A Preferred Stock. In the event the Company does not declare and pay a dividend in-kind or in cash on any Series A Dividend Payment Date, the unpaid amount of the Preferred Dividend will be added to the Liquidation Preference. In addition, the Series A Preferred Stock participates in dividends declared and paid on shares of the Company’s common stock.</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June 30, 2019, the Liquidation Value and Redemption Value of the Preferred Shares was $243.1 million.</w:t>
      </w:r>
    </w:p>
    <w:p>
      <w:pPr>
        <w:spacing w:after="0" w:line="19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holders of a majority of the Series A Preferred Stock, voting separately as a class, are entitled at each of the Company’s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the Company’s Board of Directors for so long as the Preferred Percentage (as defined in the Series A Certificate) is equal to or greater than 10%; and (ii) to nominate and elect one member of the Company’s Board of Directors for so long as the Preferred Percentage is equal to or greater than 5% but less than 10%.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the Company is required to obtain the prior approval of Silver prior to taking certain actions, including: (i) certain dividends, repayments and redemptions; (ii) any amendment to the Company’s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the Company; (iv) changes in the size of the Company’s Board of Directors; (v) any amendment, alteration, modification or repeal of the charter of the Company’s Nominating and Corporate Governance Committee of the Board of Directors and related documents; and (vi) any change in the Company’s principal business or the entry into any line of business outside of the Company’s existing lines of businesses. In addition, in the event that the Company is in EBITDA Non-Compliance (as defined in the Series A Certificate) or the undertaking of certain actions would result in the Company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18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Under the Series A Certificate, if Silver and certain of its affiliates have elected to effect a conversion of some or all of their shares of Series A Preferred Stock and if the sum, without duplication, of (i) the aggregate number of shares of the Company’s common stock issued to such holders upon such conversion and any shares of the Company’s common stock previously issued to such holders upon conversion of Series A Preferred Stock and then held by such holders, plus (ii) the number of shares of the Company’s common stock underlying shares of Series A Preferred Stock that would be held at such time by such holders (after giving effect to such conversion), would exceed the 19.9% of the issued and outstanding shares of the Company’s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the Company’s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the Company’s common stock under the applicable listing standards.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to maintain its ownership percentage.</w:t>
      </w:r>
    </w:p>
    <w:p>
      <w:pPr>
        <w:spacing w:after="0" w:line="19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7"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A summary of the Company’s Series A Convertible Participating Perpetual Preferred Stock balance at June 30, 2019 and changes during the six months ended June 30, 2019, are presented below:</w:t>
      </w:r>
    </w:p>
    <w:p>
      <w:pPr>
        <w:spacing w:after="0" w:line="176" w:lineRule="exact"/>
        <w:rPr>
          <w:sz w:val="20"/>
          <w:szCs w:val="20"/>
          <w:color w:val="auto"/>
        </w:rPr>
      </w:pPr>
    </w:p>
    <w:p>
      <w:pPr>
        <w:ind w:left="9400"/>
        <w:spacing w:after="0"/>
        <w:rPr>
          <w:sz w:val="20"/>
          <w:szCs w:val="20"/>
          <w:color w:val="auto"/>
        </w:rPr>
      </w:pPr>
      <w:r>
        <w:rPr>
          <w:rFonts w:ascii="Arial" w:cs="Arial" w:eastAsia="Arial" w:hAnsi="Arial"/>
          <w:sz w:val="14"/>
          <w:szCs w:val="14"/>
          <w:b w:val="1"/>
          <w:bCs w:val="1"/>
          <w:color w:val="auto"/>
        </w:rPr>
        <w:t>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Shares</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Amount</w:t>
            </w:r>
          </w:p>
        </w:tc>
      </w:tr>
      <w:tr>
        <w:trPr>
          <w:trHeight w:val="236"/>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176,603</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Issuance of preferred stock</w:t>
            </w:r>
          </w:p>
        </w:tc>
        <w:tc>
          <w:tcPr>
            <w:tcW w:w="460" w:type="dxa"/>
            <w:vAlign w:val="bottom"/>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Initial discount and issuance costs related to preferred stock</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9380" w:type="dxa"/>
            <w:vAlign w:val="bottom"/>
            <w:gridSpan w:val="2"/>
          </w:tcPr>
          <w:p>
            <w:pPr>
              <w:ind w:left="180"/>
              <w:spacing w:after="0"/>
              <w:rPr>
                <w:sz w:val="20"/>
                <w:szCs w:val="20"/>
                <w:color w:val="auto"/>
              </w:rPr>
            </w:pPr>
            <w:r>
              <w:rPr>
                <w:rFonts w:ascii="Arial" w:cs="Arial" w:eastAsia="Arial" w:hAnsi="Arial"/>
                <w:sz w:val="16"/>
                <w:szCs w:val="16"/>
                <w:color w:val="auto"/>
              </w:rPr>
              <w:t>Amortization of preferred stock issuance costs</w:t>
            </w:r>
          </w:p>
        </w:tc>
        <w:tc>
          <w:tcPr>
            <w:tcW w:w="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Arial" w:cs="Arial" w:eastAsia="Arial" w:hAnsi="Arial"/>
                <w:sz w:val="16"/>
                <w:szCs w:val="16"/>
                <w:color w:val="auto"/>
              </w:rPr>
              <w:t>990</w:t>
            </w:r>
          </w:p>
        </w:tc>
      </w:tr>
      <w:tr>
        <w:trPr>
          <w:trHeight w:val="33"/>
        </w:trPr>
        <w:tc>
          <w:tcPr>
            <w:tcW w:w="8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Issuance of preferred PIK dividend</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7,075</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Balance at June 30, 2019</w:t>
            </w:r>
          </w:p>
        </w:tc>
        <w:tc>
          <w:tcPr>
            <w:tcW w:w="104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184,668</w:t>
            </w:r>
          </w:p>
        </w:tc>
      </w:tr>
      <w:tr>
        <w:trPr>
          <w:trHeight w:val="20"/>
        </w:trPr>
        <w:tc>
          <w:tcPr>
            <w:tcW w:w="8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Subsequent to June 30, 2019, the Company paid the accrued Preferred Dividends in-kind of $7.3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registration rights during the three and six months ended June 30,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significant changes to the Company’s Stock Plans during the three and six months ended June 30, 2019. As of June 30, 2019, there were 1.9 million shares available for the grant or award under the Company’s 2015 Plan and 0.3 million shares available for the grant or award under the Company’s new hire equity incentive plan.</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performance cash awards granted to executives under the Long Term Incentive (“LTI”) Plans have been accounted for as liability awards, due to the Company’s intent and the ability to settle such awards in cash upon vesting and has reflected such awards in accrued expenses. As of June 30, 2019, the liability for such awards is approximately $0.3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The following table summarizes stock-based compensation expense related to all of the Company’s stock awards included by operating expense categories,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2,412</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3,342</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3,927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7,571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5,473</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14,824</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00" w:type="dxa"/>
            <w:vAlign w:val="bottom"/>
            <w:gridSpan w:val="6"/>
          </w:tcPr>
          <w:p>
            <w:pPr>
              <w:ind w:left="520"/>
              <w:spacing w:after="0"/>
              <w:rPr>
                <w:sz w:val="20"/>
                <w:szCs w:val="20"/>
                <w:color w:val="auto"/>
              </w:rPr>
            </w:pPr>
            <w:r>
              <w:rPr>
                <w:rFonts w:ascii="Arial" w:cs="Arial" w:eastAsia="Arial" w:hAnsi="Arial"/>
                <w:sz w:val="16"/>
                <w:szCs w:val="16"/>
                <w:b w:val="1"/>
                <w:bCs w:val="1"/>
                <w:color w:val="auto"/>
              </w:rPr>
              <w:t>Three Months Ended June 30,</w:t>
            </w:r>
          </w:p>
        </w:tc>
        <w:tc>
          <w:tcPr>
            <w:tcW w:w="360" w:type="dxa"/>
            <w:vAlign w:val="bottom"/>
          </w:tcPr>
          <w:p>
            <w:pPr>
              <w:spacing w:after="0"/>
              <w:rPr>
                <w:sz w:val="18"/>
                <w:szCs w:val="18"/>
                <w:color w:val="auto"/>
              </w:rPr>
            </w:pPr>
          </w:p>
        </w:tc>
        <w:tc>
          <w:tcPr>
            <w:tcW w:w="2700" w:type="dxa"/>
            <w:vAlign w:val="bottom"/>
            <w:gridSpan w:val="4"/>
          </w:tcPr>
          <w:p>
            <w:pPr>
              <w:jc w:val="right"/>
              <w:ind w:right="47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1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r>
      <w:tr>
        <w:trPr>
          <w:trHeight w:val="33"/>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options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1,796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3,740</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Restricted stock awards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3,526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11,064</w:t>
            </w: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Stock Purchase Plan</w:t>
            </w:r>
          </w:p>
        </w:tc>
        <w:tc>
          <w:tcPr>
            <w:tcW w:w="9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Performance Based Cash Units</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before taxes</w:t>
            </w:r>
          </w:p>
        </w:tc>
        <w:tc>
          <w:tcPr>
            <w:tcW w:w="940" w:type="dxa"/>
            <w:vAlign w:val="bottom"/>
            <w:tcBorders>
              <w:bottom w:val="single" w:sz="8" w:color="CCEEFF"/>
            </w:tcBorders>
            <w:shd w:val="clear" w:color="auto" w:fill="CCEEFF"/>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5,473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940" w:type="dxa"/>
            <w:vAlign w:val="bottom"/>
            <w:tcBorders>
              <w:top w:val="single" w:sz="8" w:color="auto"/>
              <w:bottom w:val="single" w:sz="8" w:color="auto"/>
            </w:tcBorders>
          </w:tcPr>
          <w:p>
            <w:pPr>
              <w:jc w:val="right"/>
              <w:ind w:right="734"/>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1,056</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2,114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2,954</w:t>
            </w: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equity awards as of June 30, 2019 was approximately $41.8 million. The expense is expected to be recognized over a weighted-average period of approximately 2.20 years.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stock-based compensation cost related to unvested performance based cash units as of June 30, 2019 was approximately $2.1 million. The expense is expected to be recognized over a weighted-average period of approximately 2.35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changes to the Company’s Stock Option Plans during the three and six months ended June 30, 2019.</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uses the Black-Scholes option pricing model for determining the estimated fair value for stock options. The weighted-average assumptions used in the Black-Scholes option pricing model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00" w:type="dxa"/>
            <w:vAlign w:val="bottom"/>
          </w:tcPr>
          <w:p>
            <w:pPr>
              <w:spacing w:after="0"/>
              <w:rPr>
                <w:sz w:val="18"/>
                <w:szCs w:val="18"/>
                <w:color w:val="auto"/>
              </w:rPr>
            </w:pPr>
          </w:p>
        </w:tc>
        <w:tc>
          <w:tcPr>
            <w:tcW w:w="26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0" w:type="dxa"/>
            <w:vAlign w:val="bottom"/>
            <w:gridSpan w:val="4"/>
          </w:tcPr>
          <w:p>
            <w:pPr>
              <w:jc w:val="right"/>
              <w:ind w:right="531"/>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50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50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3"/>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r>
      <w:tr>
        <w:trPr>
          <w:trHeight w:val="33"/>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stock price volatility</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life of options (in years)</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4.08</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r>
      <w:tr>
        <w:trPr>
          <w:trHeight w:val="27"/>
        </w:trPr>
        <w:tc>
          <w:tcPr>
            <w:tcW w:w="5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(grant date) of the options</w:t>
            </w:r>
          </w:p>
        </w:tc>
        <w:tc>
          <w:tcPr>
            <w:tcW w:w="96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6"/>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5"/>
              </w:rPr>
              <w:t>5.47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5.34</w:t>
            </w:r>
          </w:p>
        </w:tc>
      </w:tr>
      <w:tr>
        <w:trPr>
          <w:trHeight w:val="675"/>
        </w:trPr>
        <w:tc>
          <w:tcPr>
            <w:tcW w:w="5000" w:type="dxa"/>
            <w:vAlign w:val="bottom"/>
          </w:tcPr>
          <w:p>
            <w:pPr>
              <w:spacing w:after="0"/>
              <w:rPr>
                <w:sz w:val="24"/>
                <w:szCs w:val="24"/>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as of June 30, 2019:</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0"/>
              </w:rPr>
              <w:t>Aggregate</w:t>
            </w:r>
          </w:p>
        </w:tc>
      </w:tr>
      <w:tr>
        <w:trPr>
          <w:trHeight w:val="203"/>
        </w:trPr>
        <w:tc>
          <w:tcPr>
            <w:tcW w:w="4700" w:type="dxa"/>
            <w:vAlign w:val="bottom"/>
          </w:tcPr>
          <w:p>
            <w:pPr>
              <w:spacing w:after="0"/>
              <w:rPr>
                <w:sz w:val="17"/>
                <w:szCs w:val="17"/>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40" w:type="dxa"/>
            <w:vAlign w:val="bottom"/>
          </w:tcPr>
          <w:p>
            <w:pPr>
              <w:spacing w:after="0"/>
              <w:rPr>
                <w:sz w:val="17"/>
                <w:szCs w:val="17"/>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Weighted-Average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280" w:type="dxa"/>
            <w:vAlign w:val="bottom"/>
          </w:tcPr>
          <w:p>
            <w:pPr>
              <w:spacing w:after="0"/>
              <w:rPr>
                <w:sz w:val="17"/>
                <w:szCs w:val="17"/>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Options</w:t>
            </w:r>
          </w:p>
        </w:tc>
        <w:tc>
          <w:tcPr>
            <w:tcW w:w="17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Options</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Term (Years)</w:t>
            </w:r>
          </w:p>
        </w:tc>
        <w:tc>
          <w:tcPr>
            <w:tcW w:w="280" w:type="dxa"/>
            <w:vAlign w:val="bottom"/>
          </w:tcPr>
          <w:p>
            <w:pPr>
              <w:spacing w:after="0"/>
              <w:rPr>
                <w:sz w:val="18"/>
                <w:szCs w:val="18"/>
                <w:color w:val="auto"/>
              </w:rPr>
            </w:pPr>
          </w:p>
        </w:tc>
        <w:tc>
          <w:tcPr>
            <w:tcW w:w="1320" w:type="dxa"/>
            <w:vAlign w:val="bottom"/>
          </w:tcPr>
          <w:p>
            <w:pPr>
              <w:jc w:val="center"/>
              <w:ind w:right="194"/>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47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30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Options Cancelled</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June 30,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5,078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1,566</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91"/>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Vested at June 30, 2019</w:t>
            </w:r>
          </w:p>
        </w:tc>
        <w:tc>
          <w:tcPr>
            <w:tcW w:w="1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14</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June 30, 2019</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r>
      <w:tr>
        <w:trPr>
          <w:trHeight w:val="20"/>
        </w:trPr>
        <w:tc>
          <w:tcPr>
            <w:tcW w:w="47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intrinsic value for stock options exercisable at June 30, 2019 and 2018 was insignificant and nil, respectively. The total intrinsic value of stock options exercised for the six months ended June 30, 2019 and 2018 was insignificant and nil,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 of Restricted Stock and Performance Stock</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significant changes to the Company’s restricted stock award (“Restricted Stock”) and performance stock plan during the three and six months ended June 30, 2019 from March 31, 2019.</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unvested restricted stock at June 30, 2019, and changes during the six months ended June 30, 2019, is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jc w:val="right"/>
              <w:ind w:right="33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120" w:type="dxa"/>
            <w:vAlign w:val="bottom"/>
            <w:gridSpan w:val="2"/>
          </w:tcPr>
          <w:p>
            <w:pPr>
              <w:ind w:left="40"/>
              <w:spacing w:after="0"/>
              <w:rPr>
                <w:sz w:val="20"/>
                <w:szCs w:val="20"/>
                <w:color w:val="auto"/>
              </w:rPr>
            </w:pPr>
            <w:r>
              <w:rPr>
                <w:rFonts w:ascii="Arial" w:cs="Arial" w:eastAsia="Arial" w:hAnsi="Arial"/>
                <w:sz w:val="16"/>
                <w:szCs w:val="16"/>
                <w:b w:val="1"/>
                <w:bCs w:val="1"/>
                <w:color w:val="auto"/>
              </w:rPr>
              <w:t>Unvested Restricted Stock</w:t>
            </w:r>
          </w:p>
        </w:tc>
        <w:tc>
          <w:tcPr>
            <w:tcW w:w="1600" w:type="dxa"/>
            <w:vAlign w:val="bottom"/>
          </w:tcPr>
          <w:p>
            <w:pPr>
              <w:jc w:val="right"/>
              <w:ind w:right="453"/>
              <w:spacing w:after="0"/>
              <w:rPr>
                <w:sz w:val="20"/>
                <w:szCs w:val="20"/>
                <w:color w:val="auto"/>
              </w:rPr>
            </w:pPr>
            <w:r>
              <w:rPr>
                <w:rFonts w:ascii="Arial" w:cs="Arial" w:eastAsia="Arial" w:hAnsi="Arial"/>
                <w:sz w:val="16"/>
                <w:szCs w:val="16"/>
                <w:b w:val="1"/>
                <w:bCs w:val="1"/>
                <w:color w:val="auto"/>
              </w:rPr>
              <w:t>Awards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December 31, 2018</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6.87</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20.23</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Arial" w:cs="Arial" w:eastAsia="Arial" w:hAnsi="Arial"/>
                <w:sz w:val="18"/>
                <w:szCs w:val="18"/>
                <w:color w:val="auto"/>
              </w:rPr>
              <w:t>10.71</w:t>
            </w:r>
          </w:p>
        </w:tc>
      </w:tr>
      <w:tr>
        <w:trPr>
          <w:trHeight w:val="27"/>
        </w:trPr>
        <w:tc>
          <w:tcPr>
            <w:tcW w:w="8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Unvested at June 30, 2019</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3,691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9.29</w:t>
            </w: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Cash Units</w:t>
      </w:r>
    </w:p>
    <w:p>
      <w:pPr>
        <w:spacing w:after="0" w:line="225" w:lineRule="exact"/>
        <w:rPr>
          <w:sz w:val="20"/>
          <w:szCs w:val="20"/>
          <w:color w:val="auto"/>
        </w:rPr>
      </w:pPr>
    </w:p>
    <w:p>
      <w:pPr>
        <w:ind w:right="2660" w:firstLine="324"/>
        <w:spacing w:after="0" w:line="342" w:lineRule="auto"/>
        <w:rPr>
          <w:sz w:val="20"/>
          <w:szCs w:val="20"/>
          <w:color w:val="auto"/>
        </w:rPr>
      </w:pPr>
      <w:r>
        <w:rPr>
          <w:rFonts w:ascii="Arial" w:cs="Arial" w:eastAsia="Arial" w:hAnsi="Arial"/>
          <w:sz w:val="16"/>
          <w:szCs w:val="16"/>
          <w:color w:val="auto"/>
        </w:rPr>
        <w:t>Performance based cash units granted under the Company’s 2015 Plan vest at the end of a three-year period based on service and achievement of certain performance objectives determined by the Company’s Board of Directors.</w:t>
      </w:r>
    </w:p>
    <w:p>
      <w:pPr>
        <w:spacing w:after="0" w:line="12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summary of the Company’s unvested performance-based cash units at June 30, 2019 and changes during the six months ended June 30, 2019, is presented below:</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8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1"/>
              </w:rPr>
              <w:t>Weighted- Average</w:t>
            </w:r>
          </w:p>
        </w:tc>
      </w:tr>
      <w:tr>
        <w:trPr>
          <w:trHeight w:val="203"/>
        </w:trPr>
        <w:tc>
          <w:tcPr>
            <w:tcW w:w="8080" w:type="dxa"/>
            <w:vAlign w:val="bottom"/>
          </w:tcPr>
          <w:p>
            <w:pPr>
              <w:spacing w:after="0"/>
              <w:rPr>
                <w:sz w:val="17"/>
                <w:szCs w:val="17"/>
                <w:color w:val="auto"/>
              </w:rPr>
            </w:pPr>
          </w:p>
        </w:tc>
        <w:tc>
          <w:tcPr>
            <w:tcW w:w="1180" w:type="dxa"/>
            <w:vAlign w:val="bottom"/>
          </w:tcPr>
          <w:p>
            <w:pPr>
              <w:jc w:val="center"/>
              <w:ind w:left="319"/>
              <w:spacing w:after="0"/>
              <w:rPr>
                <w:sz w:val="20"/>
                <w:szCs w:val="20"/>
                <w:color w:val="auto"/>
              </w:rPr>
            </w:pPr>
            <w:r>
              <w:rPr>
                <w:rFonts w:ascii="Arial" w:cs="Arial" w:eastAsia="Arial" w:hAnsi="Arial"/>
                <w:sz w:val="16"/>
                <w:szCs w:val="16"/>
                <w:b w:val="1"/>
                <w:bCs w:val="1"/>
                <w:color w:val="auto"/>
                <w:w w:val="92"/>
              </w:rPr>
              <w:t>Number of</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7"/>
              </w:rPr>
              <w:t>Grant Date</w:t>
            </w:r>
          </w:p>
        </w:tc>
      </w:tr>
      <w:tr>
        <w:trPr>
          <w:trHeight w:val="210"/>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Unvested Cash Units</w:t>
            </w:r>
          </w:p>
        </w:tc>
        <w:tc>
          <w:tcPr>
            <w:tcW w:w="1180" w:type="dxa"/>
            <w:vAlign w:val="bottom"/>
          </w:tcPr>
          <w:p>
            <w:pPr>
              <w:jc w:val="center"/>
              <w:ind w:left="319"/>
              <w:spacing w:after="0"/>
              <w:rPr>
                <w:sz w:val="20"/>
                <w:szCs w:val="20"/>
                <w:color w:val="auto"/>
              </w:rPr>
            </w:pPr>
            <w:r>
              <w:rPr>
                <w:rFonts w:ascii="Arial" w:cs="Arial" w:eastAsia="Arial" w:hAnsi="Arial"/>
                <w:sz w:val="16"/>
                <w:szCs w:val="16"/>
                <w:b w:val="1"/>
                <w:bCs w:val="1"/>
                <w:color w:val="auto"/>
                <w:w w:val="93"/>
              </w:rPr>
              <w:t>Awards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center"/>
              <w:ind w:right="53"/>
              <w:spacing w:after="0"/>
              <w:rPr>
                <w:sz w:val="20"/>
                <w:szCs w:val="20"/>
                <w:color w:val="auto"/>
              </w:rPr>
            </w:pPr>
            <w:r>
              <w:rPr>
                <w:rFonts w:ascii="Arial" w:cs="Arial" w:eastAsia="Arial" w:hAnsi="Arial"/>
                <w:sz w:val="16"/>
                <w:szCs w:val="16"/>
                <w:b w:val="1"/>
                <w:bCs w:val="1"/>
                <w:color w:val="auto"/>
                <w:w w:val="94"/>
              </w:rPr>
              <w:t>Fair Value</w:t>
            </w:r>
          </w:p>
        </w:tc>
      </w:tr>
      <w:tr>
        <w:trPr>
          <w:trHeight w:val="33"/>
        </w:trPr>
        <w:tc>
          <w:tcPr>
            <w:tcW w:w="8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2018</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6.14</w:t>
            </w:r>
          </w:p>
        </w:tc>
      </w:tr>
      <w:tr>
        <w:trPr>
          <w:trHeight w:val="243"/>
        </w:trPr>
        <w:tc>
          <w:tcPr>
            <w:tcW w:w="80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236</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0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r>
      <w:tr>
        <w:trPr>
          <w:trHeight w:val="243"/>
        </w:trPr>
        <w:tc>
          <w:tcPr>
            <w:tcW w:w="80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18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6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57"/>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June 30, 2019</w:t>
            </w:r>
          </w:p>
        </w:tc>
        <w:tc>
          <w:tcPr>
            <w:tcW w:w="118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306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7.91</w:t>
            </w:r>
          </w:p>
        </w:tc>
      </w:tr>
      <w:tr>
        <w:trPr>
          <w:trHeight w:val="20"/>
        </w:trPr>
        <w:tc>
          <w:tcPr>
            <w:tcW w:w="80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recognized approximately $3.2 million in related income tax benefit and $0.7 million in related tax provision during the six months ended June 30, 2019 and 2018, respectively. The effective tax rate was approximately 8.2% for the six months ended June 30, 2019, which was lower than the U.S. federal statutory rate primarily due to the valuation allowances recorded in domestic and foreign jurisdictions offset by certain jurisdictions projecting current tax expense. The Company considered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2019.</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Throughout 2017 and in 2018, the Company initiated a work-force reduction as part of a corporate restructuring, with reductions occurring across all levels and departments within the Company, primarily to reduce costs subsequent to an acquisition or divestiture. As part of these efforts, the Company continues to identify workforce optimization opportunities to better align the Company’s resources with its key strategic priorities.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summary of the Company’s restructuring accrual at June 30, 2019 and changes during the six months ended June 30, 2019, are presented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Balance at December 31,</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3"/>
        </w:trPr>
        <w:tc>
          <w:tcPr>
            <w:tcW w:w="3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20" w:type="dxa"/>
            <w:vAlign w:val="bottom"/>
          </w:tcPr>
          <w:p>
            <w:pPr>
              <w:jc w:val="right"/>
              <w:ind w:right="674"/>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Arial" w:cs="Arial" w:eastAsia="Arial" w:hAnsi="Arial"/>
                <w:sz w:val="16"/>
                <w:szCs w:val="16"/>
                <w:b w:val="1"/>
                <w:bCs w:val="1"/>
                <w:color w:val="auto"/>
              </w:rPr>
              <w:t>Charges</w:t>
            </w:r>
          </w:p>
        </w:tc>
        <w:tc>
          <w:tcPr>
            <w:tcW w:w="240" w:type="dxa"/>
            <w:vAlign w:val="bottom"/>
          </w:tcPr>
          <w:p>
            <w:pPr>
              <w:spacing w:after="0"/>
              <w:rPr>
                <w:sz w:val="21"/>
                <w:szCs w:val="21"/>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Other Adjustments</w:t>
            </w:r>
            <w:r>
              <w:rPr>
                <w:rFonts w:ascii="Arial" w:cs="Arial" w:eastAsia="Arial" w:hAnsi="Arial"/>
                <w:sz w:val="21"/>
                <w:szCs w:val="21"/>
                <w:b w:val="1"/>
                <w:bCs w:val="1"/>
                <w:color w:val="auto"/>
                <w:vertAlign w:val="superscript"/>
              </w:rPr>
              <w:t>1</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Balance at June 30, 2019</w:t>
            </w:r>
          </w:p>
        </w:tc>
      </w:tr>
      <w:tr>
        <w:trPr>
          <w:trHeight w:val="237"/>
        </w:trPr>
        <w:tc>
          <w:tcPr>
            <w:tcW w:w="310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Employment termination costs</w:t>
            </w:r>
          </w:p>
        </w:tc>
        <w:tc>
          <w:tcPr>
            <w:tcW w:w="440" w:type="dxa"/>
            <w:vAlign w:val="bottom"/>
            <w:tcBorders>
              <w:top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1,276</w:t>
            </w:r>
          </w:p>
        </w:tc>
        <w:tc>
          <w:tcPr>
            <w:tcW w:w="12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top w:val="single" w:sz="8" w:color="CCEEFF"/>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Borders>
              <w:top w:val="single" w:sz="8" w:color="CCEEFF"/>
            </w:tcBorders>
            <w:shd w:val="clear" w:color="auto" w:fill="CCEEFF"/>
          </w:tcPr>
          <w:p>
            <w:pPr>
              <w:spacing w:after="0"/>
              <w:rPr>
                <w:sz w:val="20"/>
                <w:szCs w:val="20"/>
                <w:color w:val="auto"/>
              </w:rPr>
            </w:pPr>
          </w:p>
        </w:tc>
        <w:tc>
          <w:tcPr>
            <w:tcW w:w="780" w:type="dxa"/>
            <w:vAlign w:val="bottom"/>
            <w:tcBorders>
              <w:top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447</w:t>
            </w:r>
          </w:p>
        </w:tc>
      </w:tr>
      <w:tr>
        <w:trPr>
          <w:trHeight w:val="27"/>
        </w:trPr>
        <w:tc>
          <w:tcPr>
            <w:tcW w:w="3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________________________________</w:t>
      </w:r>
    </w:p>
    <w:p>
      <w:pPr>
        <w:ind w:left="340" w:hanging="332"/>
        <w:spacing w:after="0" w:line="187" w:lineRule="auto"/>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Includes non-cash adjustments and reclassifications.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Common Share (“EPS”)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5"/>
          </w:tcPr>
          <w:p>
            <w:pPr>
              <w:jc w:val="right"/>
              <w:ind w:right="600"/>
              <w:spacing w:after="0"/>
              <w:rPr>
                <w:sz w:val="20"/>
                <w:szCs w:val="20"/>
                <w:color w:val="auto"/>
              </w:rPr>
            </w:pPr>
            <w:r>
              <w:rPr>
                <w:rFonts w:ascii="Arial" w:cs="Arial" w:eastAsia="Arial" w:hAnsi="Arial"/>
                <w:sz w:val="13"/>
                <w:szCs w:val="13"/>
                <w:b w:val="1"/>
                <w:bCs w:val="1"/>
                <w:color w:val="auto"/>
                <w:w w:val="99"/>
              </w:rPr>
              <w:t>Three Months Ended June 30,</w:t>
            </w:r>
          </w:p>
        </w:tc>
        <w:tc>
          <w:tcPr>
            <w:tcW w:w="300" w:type="dxa"/>
            <w:vAlign w:val="bottom"/>
          </w:tcPr>
          <w:p>
            <w:pPr>
              <w:spacing w:after="0"/>
              <w:rPr>
                <w:sz w:val="15"/>
                <w:szCs w:val="15"/>
                <w:color w:val="auto"/>
              </w:rPr>
            </w:pPr>
          </w:p>
        </w:tc>
        <w:tc>
          <w:tcPr>
            <w:tcW w:w="2300" w:type="dxa"/>
            <w:vAlign w:val="bottom"/>
            <w:gridSpan w:val="4"/>
          </w:tcPr>
          <w:p>
            <w:pPr>
              <w:jc w:val="right"/>
              <w:ind w:right="469"/>
              <w:spacing w:after="0"/>
              <w:rPr>
                <w:sz w:val="20"/>
                <w:szCs w:val="20"/>
                <w:color w:val="auto"/>
              </w:rPr>
            </w:pPr>
            <w:r>
              <w:rPr>
                <w:rFonts w:ascii="Arial" w:cs="Arial" w:eastAsia="Arial" w:hAnsi="Arial"/>
                <w:sz w:val="13"/>
                <w:szCs w:val="13"/>
                <w:b w:val="1"/>
                <w:bCs w:val="1"/>
                <w:color w:val="auto"/>
              </w:rPr>
              <w:t>Six Months Ended June 30,</w:t>
            </w:r>
          </w:p>
        </w:tc>
      </w:tr>
      <w:tr>
        <w:trPr>
          <w:trHeight w:val="264"/>
        </w:trPr>
        <w:tc>
          <w:tcPr>
            <w:tcW w:w="60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4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429"/>
              <w:spacing w:after="0"/>
              <w:rPr>
                <w:sz w:val="20"/>
                <w:szCs w:val="20"/>
                <w:color w:val="auto"/>
              </w:rPr>
            </w:pPr>
            <w:r>
              <w:rPr>
                <w:rFonts w:ascii="Arial" w:cs="Arial" w:eastAsia="Arial" w:hAnsi="Arial"/>
                <w:sz w:val="13"/>
                <w:szCs w:val="13"/>
                <w:b w:val="1"/>
                <w:bCs w:val="1"/>
                <w:color w:val="auto"/>
              </w:rPr>
              <w:t>2018</w:t>
            </w: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 - 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Net loss from continuing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(16,578)</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(41,264)</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(36,315)</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(79,241)</w:t>
            </w:r>
          </w:p>
        </w:tc>
      </w:tr>
      <w:tr>
        <w:trPr>
          <w:trHeight w:val="276"/>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redeemable noncontrolling interests</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1,259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2,544</w:t>
            </w:r>
          </w:p>
        </w:tc>
      </w:tr>
      <w:tr>
        <w:trPr>
          <w:trHeight w:val="264"/>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Preferred stock dividend</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(7,859)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(7,260)</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(15,396)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(10,613)</w:t>
            </w:r>
          </w:p>
        </w:tc>
      </w:tr>
      <w:tr>
        <w:trPr>
          <w:trHeight w:val="243"/>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(loss) income attributable to Synchronoss</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(25,030)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(52,617)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(87,310)</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6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70"/>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Numerator - Diluted:</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264"/>
        </w:trPr>
        <w:tc>
          <w:tcPr>
            <w:tcW w:w="6060" w:type="dxa"/>
            <w:vAlign w:val="bottom"/>
          </w:tcPr>
          <w:p>
            <w:pPr>
              <w:ind w:left="180"/>
              <w:spacing w:after="0"/>
              <w:rPr>
                <w:sz w:val="20"/>
                <w:szCs w:val="20"/>
                <w:color w:val="auto"/>
              </w:rPr>
            </w:pPr>
            <w:r>
              <w:rPr>
                <w:rFonts w:ascii="Arial" w:cs="Arial" w:eastAsia="Arial" w:hAnsi="Arial"/>
                <w:sz w:val="14"/>
                <w:szCs w:val="14"/>
                <w:color w:val="auto"/>
              </w:rPr>
              <w:t>Net (loss) income from continuing operations attributable to Synchronoss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(25,030)</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(47,265)</w:t>
            </w:r>
          </w:p>
        </w:tc>
        <w:tc>
          <w:tcPr>
            <w:tcW w:w="10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(52,617)</w:t>
            </w:r>
          </w:p>
        </w:tc>
        <w:tc>
          <w:tcPr>
            <w:tcW w:w="120" w:type="dxa"/>
            <w:vAlign w:val="bottom"/>
          </w:tcPr>
          <w:p>
            <w:pPr>
              <w:spacing w:after="0"/>
              <w:rPr>
                <w:sz w:val="22"/>
                <w:szCs w:val="22"/>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(87,310)</w:t>
            </w:r>
          </w:p>
        </w:tc>
      </w:tr>
      <w:tr>
        <w:trPr>
          <w:trHeight w:val="270"/>
        </w:trPr>
        <w:tc>
          <w:tcPr>
            <w:tcW w:w="60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effect for interest on convertible debt, net of tax</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83"/>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loss attributable to Synchronoss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(25,030)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(47,265)</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(52,617)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(87,310)</w:t>
            </w:r>
          </w:p>
        </w:tc>
      </w:tr>
      <w:tr>
        <w:trPr>
          <w:trHeight w:val="156"/>
        </w:trPr>
        <w:tc>
          <w:tcPr>
            <w:tcW w:w="6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Denominator:</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60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 — basic</w:t>
            </w:r>
          </w:p>
        </w:tc>
        <w:tc>
          <w:tcPr>
            <w:tcW w:w="3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40,810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39,456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40,566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40,812</w:t>
            </w: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Dilutive effect of:</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76"/>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 xml:space="preserve">Shares from assumed conversion of convertible debt </w:t>
            </w:r>
            <w:r>
              <w:rPr>
                <w:rFonts w:ascii="Arial" w:cs="Arial" w:eastAsia="Arial" w:hAnsi="Arial"/>
                <w:sz w:val="8"/>
                <w:szCs w:val="8"/>
                <w:color w:val="auto"/>
              </w:rPr>
              <w:t>1</w:t>
            </w:r>
          </w:p>
        </w:tc>
        <w:tc>
          <w:tcPr>
            <w:tcW w:w="30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64"/>
        </w:trPr>
        <w:tc>
          <w:tcPr>
            <w:tcW w:w="6060" w:type="dxa"/>
            <w:vAlign w:val="bottom"/>
          </w:tcPr>
          <w:p>
            <w:pPr>
              <w:ind w:left="280"/>
              <w:spacing w:after="0"/>
              <w:rPr>
                <w:sz w:val="20"/>
                <w:szCs w:val="20"/>
                <w:color w:val="auto"/>
              </w:rPr>
            </w:pPr>
            <w:r>
              <w:rPr>
                <w:rFonts w:ascii="Arial" w:cs="Arial" w:eastAsia="Arial" w:hAnsi="Arial"/>
                <w:sz w:val="14"/>
                <w:szCs w:val="14"/>
                <w:color w:val="auto"/>
              </w:rPr>
              <w:t xml:space="preserve">Shares from assumed conversion of preferred stock </w:t>
            </w:r>
            <w:r>
              <w:rPr>
                <w:rFonts w:ascii="Arial" w:cs="Arial" w:eastAsia="Arial" w:hAnsi="Arial"/>
                <w:sz w:val="8"/>
                <w:szCs w:val="8"/>
                <w:color w:val="auto"/>
              </w:rPr>
              <w:t>2</w:t>
            </w: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60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Options and unvested restricted shares</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83"/>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Weighted average common shares outstanding — diluted</w:t>
            </w:r>
          </w:p>
        </w:tc>
        <w:tc>
          <w:tcPr>
            <w:tcW w:w="3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40,810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39,456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40,566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40,812</w:t>
            </w:r>
          </w:p>
        </w:tc>
      </w:tr>
      <w:tr>
        <w:trPr>
          <w:trHeight w:val="156"/>
        </w:trPr>
        <w:tc>
          <w:tcPr>
            <w:tcW w:w="6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b w:val="1"/>
                <w:bCs w:val="1"/>
                <w:color w:val="auto"/>
              </w:rPr>
              <w:t>Earnings per share:</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3"/>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Basic</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50"/>
        </w:trPr>
        <w:tc>
          <w:tcPr>
            <w:tcW w:w="60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(0.61)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w:t>
            </w:r>
          </w:p>
        </w:tc>
      </w:tr>
      <w:tr>
        <w:trPr>
          <w:trHeight w:val="156"/>
        </w:trPr>
        <w:tc>
          <w:tcPr>
            <w:tcW w:w="60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264"/>
        </w:trPr>
        <w:tc>
          <w:tcPr>
            <w:tcW w:w="6060" w:type="dxa"/>
            <w:vAlign w:val="bottom"/>
          </w:tcPr>
          <w:p>
            <w:pPr>
              <w:ind w:left="40"/>
              <w:spacing w:after="0"/>
              <w:rPr>
                <w:sz w:val="20"/>
                <w:szCs w:val="20"/>
                <w:color w:val="auto"/>
              </w:rPr>
            </w:pPr>
            <w:r>
              <w:rPr>
                <w:rFonts w:ascii="Arial" w:cs="Arial" w:eastAsia="Arial" w:hAnsi="Arial"/>
                <w:sz w:val="14"/>
                <w:szCs w:val="14"/>
                <w:color w:val="auto"/>
              </w:rPr>
              <w:t>Anti-dilutive stock options excluded</w:t>
            </w:r>
          </w:p>
        </w:tc>
        <w:tc>
          <w:tcPr>
            <w:tcW w:w="30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4,640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940" w:type="dxa"/>
            <w:vAlign w:val="bottom"/>
          </w:tcPr>
          <w:p>
            <w:pPr>
              <w:jc w:val="right"/>
              <w:ind w:right="29"/>
              <w:spacing w:after="0"/>
              <w:rPr>
                <w:sz w:val="20"/>
                <w:szCs w:val="20"/>
                <w:color w:val="auto"/>
              </w:rPr>
            </w:pPr>
            <w:r>
              <w:rPr>
                <w:rFonts w:ascii="Arial" w:cs="Arial" w:eastAsia="Arial" w:hAnsi="Arial"/>
                <w:sz w:val="14"/>
                <w:szCs w:val="14"/>
                <w:color w:val="auto"/>
              </w:rPr>
              <w:t>4,296</w:t>
            </w:r>
          </w:p>
        </w:tc>
      </w:tr>
      <w:tr>
        <w:trPr>
          <w:trHeight w:val="27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Unvested shares of restricted stock awards</w:t>
            </w: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3,691</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2,785</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3,691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spacing w:after="0"/>
              <w:rPr>
                <w:sz w:val="23"/>
                <w:szCs w:val="23"/>
                <w:color w:val="auto"/>
              </w:rPr>
            </w:pPr>
          </w:p>
        </w:tc>
        <w:tc>
          <w:tcPr>
            <w:tcW w:w="9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2,785</w:t>
            </w:r>
          </w:p>
        </w:tc>
      </w:tr>
      <w:tr>
        <w:trPr>
          <w:trHeight w:val="20"/>
        </w:trPr>
        <w:tc>
          <w:tcPr>
            <w:tcW w:w="6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calculation does not include the effect of assumed conversion of convertible debt of 1,451,173 shares for 2019 and 4,325,646, for 2018, which is based on 18.8072 shares per $1,000 principal amount of the 2019 Notes.</w:t>
      </w:r>
    </w:p>
    <w:p>
      <w:pPr>
        <w:spacing w:after="0" w:line="203"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The calculation for 2019 period does not include the effect of assumed conversion of preferred stock of 11,041,017 shares, which is based on 55.5556 shares per $1,000 principal amount of the preferred stock, because the effect would have been anti–dilutive.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tcPr>
          <w:p>
            <w:pPr>
              <w:spacing w:after="0"/>
              <w:rPr>
                <w:sz w:val="20"/>
                <w:szCs w:val="20"/>
                <w:color w:val="auto"/>
              </w:rPr>
            </w:pPr>
            <w:r>
              <w:rPr>
                <w:rFonts w:ascii="Arial" w:cs="Arial" w:eastAsia="Arial" w:hAnsi="Arial"/>
                <w:sz w:val="18"/>
                <w:szCs w:val="18"/>
                <w:b w:val="1"/>
                <w:bCs w:val="1"/>
                <w:color w:val="auto"/>
              </w:rPr>
              <w:t>13. Commitments, Contingencies and Other</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32"/>
        </w:trPr>
        <w:tc>
          <w:tcPr>
            <w:tcW w:w="9940" w:type="dxa"/>
            <w:vAlign w:val="bottom"/>
          </w:tcPr>
          <w:p>
            <w:pPr>
              <w:spacing w:after="0"/>
              <w:rPr>
                <w:sz w:val="20"/>
                <w:szCs w:val="20"/>
                <w:color w:val="auto"/>
              </w:rPr>
            </w:pPr>
            <w:r>
              <w:rPr>
                <w:rFonts w:ascii="Arial" w:cs="Arial" w:eastAsia="Arial" w:hAnsi="Arial"/>
                <w:sz w:val="18"/>
                <w:szCs w:val="18"/>
                <w:b w:val="1"/>
                <w:bCs w:val="1"/>
                <w:i w:val="1"/>
                <w:iCs w:val="1"/>
                <w:color w:val="auto"/>
              </w:rPr>
              <w:t>Purchase Obligations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32"/>
        </w:trPr>
        <w:tc>
          <w:tcPr>
            <w:tcW w:w="9940" w:type="dxa"/>
            <w:vAlign w:val="bottom"/>
          </w:tcPr>
          <w:p>
            <w:pPr>
              <w:ind w:left="340"/>
              <w:spacing w:after="0"/>
              <w:rPr>
                <w:sz w:val="20"/>
                <w:szCs w:val="20"/>
                <w:color w:val="auto"/>
              </w:rPr>
            </w:pPr>
            <w:r>
              <w:rPr>
                <w:rFonts w:ascii="Arial" w:cs="Arial" w:eastAsia="Arial" w:hAnsi="Arial"/>
                <w:sz w:val="18"/>
                <w:szCs w:val="18"/>
                <w:color w:val="auto"/>
              </w:rPr>
              <w:t>Aggregate annual future minimum payments under non-cancelable agreements are as follows: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500"/>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Period ending June 30, 2019</w:t>
            </w:r>
          </w:p>
        </w:tc>
        <w:tc>
          <w:tcPr>
            <w:tcW w:w="220" w:type="dxa"/>
            <w:vAlign w:val="bottom"/>
          </w:tcPr>
          <w:p>
            <w:pPr>
              <w:spacing w:after="0"/>
              <w:rPr>
                <w:sz w:val="24"/>
                <w:szCs w:val="24"/>
                <w:color w:val="auto"/>
              </w:rPr>
            </w:pP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Colocation</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21,097</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 and 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99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33,681</w:t>
            </w:r>
          </w:p>
        </w:tc>
      </w:tr>
      <w:tr>
        <w:trPr>
          <w:trHeight w:val="27"/>
        </w:trPr>
        <w:tc>
          <w:tcPr>
            <w:tcW w:w="9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amended complaint purportedly on behalf of purchasers of our common stock between February 3, 2016 and June 13, 2017. On February 2, 2018, the defendants moved to dismiss the consolidated amended complaint in its entirety, with prejudice. Before that motion was decided, on August 24, 2018, lead plaintiff filed a second consolidated amended complaint purportedly on behalf of purchasers of our common stock between October 28, 2014 and June 13, 2017. The second consolidated amended complaint asserts claims under Sections 10(b) and 20(a) of the Securities Exchange Act of 1934, as amended, and it alleges, among other things, that the defendants made false and misleading statements of material information concerning our financial results, business operations, and prospects. The plaintiff seeks unspecified damages, fees, interest, and costs. On June 28, 2019, the Court granted Defendants’ motion to dismiss the second consolidated amended complaint in its entirety, without prejudice, allowing Plaintiff leave to amend its complaint. Plaintiff’s amended complaint currently is due to be filed by August 14, 2019. The Company believes that the asserted claims lack merit and intends to defend against all of the claims vigorously. Due to the inherent uncertainties of litigation, the Company cannot predict the outcome of the actions at this time and can give no assurance that the asserted claims will not have a material adverse effect on its financial position or results of operations.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September 15, 2017, October 24, 2017, October 27, 2017 and October 30, 2017, the Company’s shareholders filed derivative lawsuits against certain of its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which alleges claims related to breaches of fiduciary duties and unjust enrichment. The Operative Complaint’s allegations relate to substantially the same facts as those underlying the Securities Law Action described above. Plaintiff seeks unspecified damages and for the Company to take steps to improve its corporate governance and internal procedures. Defendants’ motion to dismiss the Operative Complaint is pending before the Court.</w:t>
      </w:r>
    </w:p>
    <w:p>
      <w:pPr>
        <w:spacing w:after="0" w:line="18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pending motion to dismiss in the Derivative Suits. The Company believes that the asserted claims lack merit and intends to defend against all of the claims vigorously. Due to the inherent uncertainties of litigation, the Company cannot predict the outcome of the Derivative Suits at this time and can give no assurance that the asserted claims will not have a material adverse effect on our financial position or results of operations.</w:t>
      </w:r>
    </w:p>
    <w:p>
      <w:pPr>
        <w:spacing w:after="0" w:line="1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11, 2017, Shareholder Representative Services LLC, on behalf of the persons entitled to receive merger consideration (the “Sellers”) in connection with the Company’s acquisition of Razorsight, commenced arbitration against the Company with respect to a dispute over the amount due to the Sellers as additional consideration. Under the Razorsight purchase agreement, the Sellers are entitled to a percentage of any revenue recognized by the Company generated from the sale or licensing of Razorsight products in 2016 after a specific revenue threshold is obtained. The parties disagreed over the determination of the amount of revenue recognized in 2016. The parties entered into an agreement resolving the arbitration in May 2018.</w:t>
      </w:r>
    </w:p>
    <w:p>
      <w:pPr>
        <w:spacing w:after="0" w:line="15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June 13, 2018, The Bank of New York Mellon, in its capacity as trustee (the “Trustee”) under the indenture dated as of August 12, 2014 (the “Indenture”) governing for the 2019 Notes, filed a verified complaint with the Court of Chancery of the State of Delaware, captioned The Bank of New York Mellon, as Indenture Trustee v. Synchronoss Technologies, Inc. (the “BNY Action”). The BNY Action complaint alleged that a “Fundamental Change” has occurred under the Indenture as a result of the Company’s Common Stock ceasing to be listed or quoted on Nasdaq and that an event of default under the Indenture has occurred as a result of the Company’s failure to provide a notice of such Fundamental Change which, if true, following notice from holders of more than 25% of the outstanding principal under the Notes would trigger the acceleration of the principal and interest outstanding under the 2019 Notes, which otherwise mature on August 15, 2019. On November 2, 2018, the parties filed a stipulation of dismissal of the BNY 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SYNCHRONOSS TECHNOLOGIES,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in thousands, except for per share data or unless otherwise noted)</w:t>
      </w:r>
    </w:p>
    <w:p>
      <w:pPr>
        <w:spacing w:after="0" w:line="200" w:lineRule="exact"/>
        <w:rPr>
          <w:sz w:val="20"/>
          <w:szCs w:val="20"/>
          <w:color w:val="auto"/>
        </w:rPr>
      </w:pPr>
    </w:p>
    <w:p>
      <w:pPr>
        <w:spacing w:after="0" w:line="2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all of such counterclaims.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Additional Financial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components of Other (expense) income, net included in the Condensed Consolidated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20" w:type="dxa"/>
            <w:vAlign w:val="bottom"/>
          </w:tcPr>
          <w:p>
            <w:pPr>
              <w:spacing w:after="0"/>
              <w:rPr>
                <w:sz w:val="20"/>
                <w:szCs w:val="20"/>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FX gains (losses) </w:t>
            </w:r>
            <w:r>
              <w:rPr>
                <w:rFonts w:ascii="Arial" w:cs="Arial" w:eastAsia="Arial" w:hAnsi="Arial"/>
                <w:sz w:val="25"/>
                <w:szCs w:val="25"/>
                <w:color w:val="auto"/>
                <w:vertAlign w:val="superscript"/>
              </w:rPr>
              <w:t>(1)</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(462)</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0"/>
        </w:trPr>
        <w:tc>
          <w:tcPr>
            <w:tcW w:w="562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Remeasurement gain (loss) on financial instrument </w:t>
            </w:r>
            <w:r>
              <w:rPr>
                <w:rFonts w:ascii="Arial" w:cs="Arial" w:eastAsia="Arial" w:hAnsi="Arial"/>
                <w:sz w:val="25"/>
                <w:szCs w:val="25"/>
                <w:color w:val="auto"/>
                <w:vertAlign w:val="superscript"/>
              </w:rPr>
              <w:t>(2)</w:t>
            </w:r>
          </w:p>
        </w:tc>
        <w:tc>
          <w:tcPr>
            <w:tcW w:w="80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3"/>
                <w:szCs w:val="23"/>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Others </w:t>
            </w:r>
            <w:r>
              <w:rPr>
                <w:rFonts w:ascii="Arial" w:cs="Arial" w:eastAsia="Arial" w:hAnsi="Arial"/>
                <w:sz w:val="25"/>
                <w:szCs w:val="25"/>
                <w:color w:val="auto"/>
                <w:vertAlign w:val="superscript"/>
              </w:rPr>
              <w:t>(3)</w:t>
            </w:r>
          </w:p>
        </w:tc>
        <w:tc>
          <w:tcPr>
            <w:tcW w:w="800" w:type="dxa"/>
            <w:vAlign w:val="bottom"/>
            <w:tcBorders>
              <w:bottom w:val="single" w:sz="8" w:color="auto"/>
            </w:tcBorders>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2"/>
                <w:szCs w:val="22"/>
                <w:color w:val="auto"/>
              </w:rPr>
            </w:pPr>
          </w:p>
        </w:tc>
        <w:tc>
          <w:tcPr>
            <w:tcW w:w="900" w:type="dxa"/>
            <w:vAlign w:val="bottom"/>
            <w:tcBorders>
              <w:bottom w:val="single" w:sz="8" w:color="auto"/>
            </w:tcBorders>
          </w:tcPr>
          <w:p>
            <w:pPr>
              <w:jc w:val="right"/>
              <w:ind w:right="69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62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2"/>
        </w:numPr>
        <w:rPr>
          <w:rFonts w:ascii="Arial" w:cs="Arial" w:eastAsia="Arial" w:hAnsi="Arial"/>
          <w:sz w:val="25"/>
          <w:szCs w:val="25"/>
          <w:color w:val="auto"/>
          <w:vertAlign w:val="superscript"/>
        </w:rPr>
      </w:pPr>
      <w:r>
        <w:rPr>
          <w:rFonts w:ascii="Arial" w:cs="Arial" w:eastAsia="Arial" w:hAnsi="Arial"/>
          <w:sz w:val="18"/>
          <w:szCs w:val="18"/>
          <w:color w:val="auto"/>
        </w:rPr>
        <w:t>Fair value of foreign exchange gains and losses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Remeasurement of gain/loss on Mandatorily Redeemable Put option for common shares held by Siris.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2"/>
        </w:numPr>
        <w:rPr>
          <w:rFonts w:ascii="Arial" w:cs="Arial" w:eastAsia="Arial" w:hAnsi="Arial"/>
          <w:sz w:val="24"/>
          <w:szCs w:val="24"/>
          <w:color w:val="auto"/>
          <w:vertAlign w:val="superscript"/>
        </w:rPr>
      </w:pPr>
      <w:r>
        <w:rPr>
          <w:rFonts w:ascii="Arial" w:cs="Arial" w:eastAsia="Arial" w:hAnsi="Arial"/>
          <w:sz w:val="17"/>
          <w:szCs w:val="17"/>
          <w:color w:val="auto"/>
        </w:rPr>
        <w:t>Represents an aggregate of individually immaterial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 Review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Repayment of Convertible Note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10, 2019, the Company repurchased approximately $2.8 million of 2019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5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currently operates in and markets its solutions and services directly through its sales organizations in Americas, EMEA, and APAC.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majority of our revenues on a per transaction or subscription basis, which is derived from contracts that extend up to 60 months from execution.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future success of our business depends on the continued growth of Business-to-Business and Business-to-Business-to-Consumer driving customer transactions, and continued expansion of our platforms into the TMT Market globally through Digital Transformation, Messaging, Cloud and Internet of Things (“IoT”) markets. As such, the volume of transactions and our ability to expand our footprint in TMT and globally may result in revenue fluctuations on a quarterly basis.</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top five customers accounted for 67.9% and 69.0% of net revenues for the six months ended June 30, 2019 and June 30, 2018, respectively. Contracts with these customers typically run for three to five years. Of these customers, Verizon accounted for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more than 10% of our revenues in 2019 and 2018. The loss of Verizon as a customer would have a material negative impact on our company. However, we believe that the costs incurred and subscriber disruption by Verizon to replace Synchronoss’ solutions would be substantial.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Trends Affecting Our Results of Operations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 connected home devices. The need for the contents of these devices to be stored in a common cloud are also expected to be drivers of our business in the longer term.</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 TMT Companies the ability to operate new experiences and businesses without heavily investing in development resources.</w:t>
      </w:r>
    </w:p>
    <w:p>
      <w:pPr>
        <w:spacing w:after="0" w:line="17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Synchronoss Advanced Messaging, Cloud and Digital Platforms are poised to bring IoT initiatives to life across MNO and TMT companies creating new use cases that will help stimulate the commercial growth of the robust potential of the IoT market. As new devices and sensors come online in connected cities, Synchronoss, partnering with carriers like AT&amp;T, has technology to unify and harness data from legacy systems; provide analytic insights that fuel automated communications, via our Advanced Messaging Platform between sensors, devices and people; and create a common storage reservoir with our secure Cloud. There is opportunity in many areas of the IoT ecosystem for Synchronoss to support utilizing our Activation, Cloud and Analytics tools.</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support our growth, which will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continue to expand our platforms into the converging TMT, MNO, Digital and IoT spaces to enable connected devices to do more things across multiple networks, brands and communities. Our initiatives with AT&amp;T, Verizon, Sprint, British Telecom, Softbank and other CSPs continue to grow both with regard to our current business as well as our new product offerings. We are also exploring additional opportunities through merger and acquisition activities to support our customer, product and geographic diversification strategies.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2019 compared to the three months ended June 30,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three months ended June 30, 2019 and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8"/>
                <w:szCs w:val="18"/>
                <w:color w:val="auto"/>
              </w:rPr>
            </w:pPr>
          </w:p>
        </w:tc>
        <w:tc>
          <w:tcPr>
            <w:tcW w:w="1080" w:type="dxa"/>
            <w:vAlign w:val="bottom"/>
          </w:tcPr>
          <w:p>
            <w:pPr>
              <w:jc w:val="right"/>
              <w:ind w:right="92"/>
              <w:spacing w:after="0"/>
              <w:rPr>
                <w:sz w:val="20"/>
                <w:szCs w:val="20"/>
                <w:color w:val="auto"/>
              </w:rPr>
            </w:pPr>
            <w:r>
              <w:rPr>
                <w:rFonts w:ascii="Arial" w:cs="Arial" w:eastAsia="Arial" w:hAnsi="Arial"/>
                <w:sz w:val="16"/>
                <w:szCs w:val="16"/>
                <w:b w:val="1"/>
                <w:bCs w:val="1"/>
                <w:color w:val="auto"/>
                <w:w w:val="89"/>
              </w:rPr>
              <w:t>2019 vs 2018</w:t>
            </w:r>
          </w:p>
        </w:tc>
        <w:tc>
          <w:tcPr>
            <w:tcW w:w="0" w:type="dxa"/>
            <w:vAlign w:val="bottom"/>
          </w:tcPr>
          <w:p>
            <w:pPr>
              <w:spacing w:after="0"/>
              <w:rPr>
                <w:sz w:val="1"/>
                <w:szCs w:val="1"/>
                <w:color w:val="auto"/>
              </w:rPr>
            </w:pPr>
          </w:p>
        </w:tc>
      </w:tr>
      <w:tr>
        <w:trPr>
          <w:trHeight w:val="33"/>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77,846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33,403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(6,122)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20,200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23,080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33,938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(10,858)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20,269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(3,132)</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96,134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119,842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(23,708)</w:t>
            </w:r>
          </w:p>
        </w:tc>
        <w:tc>
          <w:tcPr>
            <w:tcW w:w="0" w:type="dxa"/>
            <w:vAlign w:val="bottom"/>
          </w:tcPr>
          <w:p>
            <w:pPr>
              <w:spacing w:after="0"/>
              <w:rPr>
                <w:sz w:val="1"/>
                <w:szCs w:val="1"/>
                <w:color w:val="auto"/>
              </w:rPr>
            </w:pP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(18,288)</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24,812</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increased $1.1 million to $77.8 million for the three months ended June 30, 2019, compared to the same period in 2018. The overall</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is primarily due to an increase in cloud subscriptions compared to the prior year.</w:t>
      </w:r>
    </w:p>
    <w:p>
      <w:pPr>
        <w:spacing w:after="0" w:line="1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$6.1 million to $33.4 million for the three months ended June 30,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cost savings initiatives implemented in 2017 and 2018. These initiatives resulted in a significant decrease in cost of revenues driven mainly by data center consolidation and operating expense savings.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$1.2 million to $19.0 million for the three months ended June 30, 2019,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2018. The decrease in 2019 is primarily due to the realization of our strategic efforts to reduce costs and refocus our resources on key strategic priorities. These efforts resulted in decreased personnel related costs including stock-based compensation expense.</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$10.9 million to $23.1 million for the three months ended June 30,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2019 decrease was primarily due to a net reduction in professional services and outside consulting fees from the prior year period and lower telecommunication and facility costs.</w:t>
      </w:r>
    </w:p>
    <w:p>
      <w:pPr>
        <w:spacing w:after="0" w:line="17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$0.4 million and $2.8 million for the three months ended June 30, 2019 and 2018, respectively, which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costs as a result of the work-force reduction and facility consolidation plans initiated in connection with acquisition and divestiture activities. In the prior year, we commenced separate plans designed to reduce operating costs and align our resources with our key strategic priorities. Material cash outlays for restructuring typically occur in the quarter in which the plan is initiated or in the subsequent quarter.</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$3.1 million to $20.3 million for the three months ended June 30, 2019,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2018. The 2019 decrease was primarily attributable to the expiration of amortizable acquired assets, partially offset by the increased amortization of capitalized software.</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decreased $3.5 million to $0.3 million for the three months ended June 30,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2018 interest earned on a paid-in-kind purchase money note (the “PIK Note”), which the Company began deferring effective July 1, 2018 related to PIK Note.</w:t>
      </w:r>
    </w:p>
    <w:p>
      <w:pPr>
        <w:spacing w:after="0" w:line="176"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$0.9 million to $0.5 million for the three months ended June 30, 2019, compared to the same period in 2018. The 2019</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a decrease in our borrowings outstanding in 2019 after repayments of 2019 Notes and new lease standard (Topic 842) implementation for interest expense presentation which is now reflected in operating expense effective first quarter of 2019.</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Equity method investment loss </w:t>
      </w:r>
      <w:r>
        <w:rPr>
          <w:rFonts w:ascii="Arial" w:cs="Arial" w:eastAsia="Arial" w:hAnsi="Arial"/>
          <w:sz w:val="18"/>
          <w:szCs w:val="18"/>
          <w:color w:val="auto"/>
        </w:rPr>
        <w:t>changed $0.4 million to a loss of $0.4 million for the three months ended June 30, 2019. All equity method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(loss) are the result of our 30% equity interest in STIN and vary based on the financial results of the investment company during the respective reporting period.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$1.8 million benefit and $0.6 million in related income tax provision during the three months</w:t>
      </w:r>
      <w:r>
        <w:rPr>
          <w:rFonts w:ascii="Arial" w:cs="Arial" w:eastAsia="Arial" w:hAnsi="Arial"/>
          <w:sz w:val="17"/>
          <w:szCs w:val="17"/>
          <w:b w:val="1"/>
          <w:bCs w:val="1"/>
          <w:color w:val="auto"/>
        </w:rPr>
        <w:t xml:space="preserve"> </w:t>
      </w:r>
      <w:r>
        <w:rPr>
          <w:rFonts w:ascii="Arial" w:cs="Arial" w:eastAsia="Arial" w:hAnsi="Arial"/>
          <w:sz w:val="17"/>
          <w:szCs w:val="17"/>
          <w:color w:val="auto"/>
        </w:rPr>
        <w:t>ended June 30, 2019 and 2018, respectively. The effective tax rate was approximately 10.0% for the three months ended June 30, 2019, which was lower than the U.S. federal statutory rate primarily due to the valuation allowances recorded in domestic and foreign jurisdictions offset by certain jurisdictions projecting current tax expense. The Company’s effective tax rate was approximately 1.4% for the three months ended June 30, 2018, which was lower than the U.S. federal statutory rate primarily due to the to the valuation allowance recorded in the fourth quarter of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the Condensed Consolidated Statements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2019 compared to the six months ended June 30, 2018</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an overview of our results of operations for the six months ended June 30, 2019 and 2018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4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Six Months Ended June 30,</w:t>
            </w:r>
          </w:p>
        </w:tc>
        <w:tc>
          <w:tcPr>
            <w:tcW w:w="16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6"/>
                <w:szCs w:val="16"/>
                <w:b w:val="1"/>
                <w:bCs w:val="1"/>
                <w:color w:val="auto"/>
                <w:w w:val="89"/>
              </w:rPr>
              <w:t>2019 vs 2018</w:t>
            </w:r>
          </w:p>
        </w:tc>
        <w:tc>
          <w:tcPr>
            <w:tcW w:w="0" w:type="dxa"/>
            <w:vAlign w:val="bottom"/>
          </w:tcPr>
          <w:p>
            <w:pPr>
              <w:spacing w:after="0"/>
              <w:rPr>
                <w:sz w:val="1"/>
                <w:szCs w:val="1"/>
                <w:color w:val="auto"/>
              </w:rPr>
            </w:pPr>
          </w:p>
        </w:tc>
      </w:tr>
      <w:tr>
        <w:trPr>
          <w:trHeight w:val="33"/>
        </w:trPr>
        <w:tc>
          <w:tcPr>
            <w:tcW w:w="6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32"/>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165,951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5,500</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72,356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84,074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(11,718)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(2,398)</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52,326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72,048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(19,722)</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0" w:type="dxa"/>
            <w:vAlign w:val="bottom"/>
          </w:tcPr>
          <w:p>
            <w:pPr>
              <w:spacing w:after="0"/>
              <w:rPr>
                <w:sz w:val="1"/>
                <w:szCs w:val="1"/>
                <w:color w:val="auto"/>
              </w:rPr>
            </w:pP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40,412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204,578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247,785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(43,207)</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(38,627)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(87,334)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48,707</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 of revenues excludes depreciation and amortization which are shown separately.</w:t>
      </w:r>
    </w:p>
    <w:p>
      <w:pPr>
        <w:spacing w:after="0" w:line="2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increased $5.5 million to $166.0 million for the six months ended June 30, 2019, compared to the same period in 2018. The overall change</w:t>
      </w:r>
      <w:r>
        <w:rPr>
          <w:rFonts w:ascii="Arial" w:cs="Arial" w:eastAsia="Arial" w:hAnsi="Arial"/>
          <w:sz w:val="18"/>
          <w:szCs w:val="18"/>
          <w:b w:val="1"/>
          <w:bCs w:val="1"/>
          <w:color w:val="auto"/>
        </w:rPr>
        <w:t xml:space="preserve"> </w:t>
      </w:r>
      <w:r>
        <w:rPr>
          <w:rFonts w:ascii="Arial" w:cs="Arial" w:eastAsia="Arial" w:hAnsi="Arial"/>
          <w:sz w:val="18"/>
          <w:szCs w:val="18"/>
          <w:color w:val="auto"/>
        </w:rPr>
        <w:t>is due to an increase in messaging revenue primarily due to the delivery of an advanced messaging solution to a customer in the Japanese market and an uptick in business volume in the cloud business.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Cost of revenues </w:t>
      </w:r>
      <w:r>
        <w:rPr>
          <w:rFonts w:ascii="Arial" w:cs="Arial" w:eastAsia="Arial" w:hAnsi="Arial"/>
          <w:sz w:val="18"/>
          <w:szCs w:val="18"/>
          <w:color w:val="auto"/>
        </w:rPr>
        <w:t>decreased $11.7 million to $72.4 million for the six months ended June 30, 2019, compared to the same period in 2018. The 2019</w:t>
      </w:r>
      <w:r>
        <w:rPr>
          <w:rFonts w:ascii="Arial" w:cs="Arial" w:eastAsia="Arial" w:hAnsi="Arial"/>
          <w:sz w:val="18"/>
          <w:szCs w:val="18"/>
          <w:b w:val="1"/>
          <w:bCs w:val="1"/>
          <w:color w:val="auto"/>
        </w:rPr>
        <w:t xml:space="preserve"> </w:t>
      </w:r>
      <w:r>
        <w:rPr>
          <w:rFonts w:ascii="Arial" w:cs="Arial" w:eastAsia="Arial" w:hAnsi="Arial"/>
          <w:sz w:val="18"/>
          <w:szCs w:val="18"/>
          <w:color w:val="auto"/>
        </w:rPr>
        <w:t>decrease was primarily due to cost savings initiatives implemented in 2017 and 2018. These initiatives resulted in a significant decrease in cost of revenues driven mainly by data center consolidation and operating expense savings.</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Research and development </w:t>
      </w:r>
      <w:r>
        <w:rPr>
          <w:rFonts w:ascii="Arial" w:cs="Arial" w:eastAsia="Arial" w:hAnsi="Arial"/>
          <w:sz w:val="18"/>
          <w:szCs w:val="18"/>
          <w:color w:val="auto"/>
        </w:rPr>
        <w:t>expense decreased $2.4 million to $38.7 million for the six months ended June 30, 2019, compared to the same period in</w:t>
      </w:r>
      <w:r>
        <w:rPr>
          <w:rFonts w:ascii="Arial" w:cs="Arial" w:eastAsia="Arial" w:hAnsi="Arial"/>
          <w:sz w:val="18"/>
          <w:szCs w:val="18"/>
          <w:b w:val="1"/>
          <w:bCs w:val="1"/>
          <w:color w:val="auto"/>
        </w:rPr>
        <w:t xml:space="preserve"> </w:t>
      </w:r>
      <w:r>
        <w:rPr>
          <w:rFonts w:ascii="Arial" w:cs="Arial" w:eastAsia="Arial" w:hAnsi="Arial"/>
          <w:sz w:val="18"/>
          <w:szCs w:val="18"/>
          <w:color w:val="auto"/>
        </w:rPr>
        <w:t>2018. The decrease in 2019 is primarily due to the realization of our strategic efforts to reduce costs and refocus our resources on key strategic priorities. These efforts resulted in decreased personnel related costs including stock-based compensation expense.</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Selling, general and administrative </w:t>
      </w:r>
      <w:r>
        <w:rPr>
          <w:rFonts w:ascii="Arial" w:cs="Arial" w:eastAsia="Arial" w:hAnsi="Arial"/>
          <w:sz w:val="18"/>
          <w:szCs w:val="18"/>
          <w:color w:val="auto"/>
        </w:rPr>
        <w:t>expense decreased $19.7 million to $52.3 million for the six months ended June 30, 2019, compared to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in 2018. The 2019 decrease was primarily due to $16.6 million net reduction in professional services and outside consulting fees in prior year period and lower telecommunication and facility costs.</w:t>
      </w:r>
    </w:p>
    <w:p>
      <w:pPr>
        <w:spacing w:after="0" w:line="176"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$0.8 million and $3.9 million for the six months ended June 30, 2019 and 2018, respectively, which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costs as a result of the work-force reduction and facility consolidation plans initiated in connection with acquisition and divestiture activities. In the prior year, we commenced separate plans designed to reduce operating costs and align our resources with our key strategic priorities. Material cash outlays for restructuring typically occur in the quarter in which the plan is initiated or in the subsequent quarter.</w:t>
      </w:r>
    </w:p>
    <w:p>
      <w:pPr>
        <w:spacing w:after="0" w:line="16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Depreciation and amortization </w:t>
      </w:r>
      <w:r>
        <w:rPr>
          <w:rFonts w:ascii="Arial" w:cs="Arial" w:eastAsia="Arial" w:hAnsi="Arial"/>
          <w:sz w:val="18"/>
          <w:szCs w:val="18"/>
          <w:color w:val="auto"/>
        </w:rPr>
        <w:t>expense decreased $6.3 million to $40.4 million for the six months ended June 30, 2019, compared to the same period</w:t>
      </w:r>
      <w:r>
        <w:rPr>
          <w:rFonts w:ascii="Arial" w:cs="Arial" w:eastAsia="Arial" w:hAnsi="Arial"/>
          <w:sz w:val="18"/>
          <w:szCs w:val="18"/>
          <w:b w:val="1"/>
          <w:bCs w:val="1"/>
          <w:color w:val="auto"/>
        </w:rPr>
        <w:t xml:space="preserve"> </w:t>
      </w:r>
      <w:r>
        <w:rPr>
          <w:rFonts w:ascii="Arial" w:cs="Arial" w:eastAsia="Arial" w:hAnsi="Arial"/>
          <w:sz w:val="18"/>
          <w:szCs w:val="18"/>
          <w:color w:val="auto"/>
        </w:rPr>
        <w:t>in 2018. The 2019 decrease was primarily attributable to the expiration of amortizable acquired assets, partially offset by the increased amortization of capitalized software.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18"/>
          <w:szCs w:val="18"/>
          <w:color w:val="auto"/>
        </w:rPr>
        <w:t>decreased $6.8 million to $0.5 million for the six months ended June 30, 2019, compared to the same period in 2018. The 2019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2018 interest earned on a paid-in-kind purchase money note (the “PIK Note”), which the Company began deferring effective July 1, 2018 related to PIK Note.</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Interest expense </w:t>
      </w:r>
      <w:r>
        <w:rPr>
          <w:rFonts w:ascii="Arial" w:cs="Arial" w:eastAsia="Arial" w:hAnsi="Arial"/>
          <w:sz w:val="17"/>
          <w:szCs w:val="17"/>
          <w:color w:val="auto"/>
        </w:rPr>
        <w:t>decreased $1.5 million to $1.0 million for the six months ended June 30, 2019, compared to the same period in 2018. The 2019</w:t>
      </w:r>
      <w:r>
        <w:rPr>
          <w:rFonts w:ascii="Arial" w:cs="Arial" w:eastAsia="Arial" w:hAnsi="Arial"/>
          <w:sz w:val="17"/>
          <w:szCs w:val="17"/>
          <w:b w:val="1"/>
          <w:bCs w:val="1"/>
          <w:color w:val="auto"/>
        </w:rPr>
        <w:t xml:space="preserve"> </w:t>
      </w:r>
      <w:r>
        <w:rPr>
          <w:rFonts w:ascii="Arial" w:cs="Arial" w:eastAsia="Arial" w:hAnsi="Arial"/>
          <w:sz w:val="17"/>
          <w:szCs w:val="17"/>
          <w:color w:val="auto"/>
        </w:rPr>
        <w:t>decrease was primarily due to a decrease in our borrowings outstanding in 2019 after repayments of 2019 Notes and new lease standard (Topic 842) implementation for interest expense presentation which is now reflected in operating expense effective first quarter of 2019.</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Other expense </w:t>
      </w:r>
      <w:r>
        <w:rPr>
          <w:rFonts w:ascii="Arial" w:cs="Arial" w:eastAsia="Arial" w:hAnsi="Arial"/>
          <w:sz w:val="18"/>
          <w:szCs w:val="18"/>
          <w:color w:val="auto"/>
        </w:rPr>
        <w:t>increased $3.8 million to $0.4 million for the six months ended June 30, 2019, compared to the same period in 2018. The change from</w:t>
      </w:r>
      <w:r>
        <w:rPr>
          <w:rFonts w:ascii="Arial" w:cs="Arial" w:eastAsia="Arial" w:hAnsi="Arial"/>
          <w:sz w:val="18"/>
          <w:szCs w:val="18"/>
          <w:b w:val="1"/>
          <w:bCs w:val="1"/>
          <w:color w:val="auto"/>
        </w:rPr>
        <w:t xml:space="preserve"> </w:t>
      </w:r>
      <w:r>
        <w:rPr>
          <w:rFonts w:ascii="Arial" w:cs="Arial" w:eastAsia="Arial" w:hAnsi="Arial"/>
          <w:sz w:val="18"/>
          <w:szCs w:val="18"/>
          <w:color w:val="auto"/>
        </w:rPr>
        <w:t>prior year was primarily due to a $3.8 million remeasurement gain on our mandatorily redeemable put option in 2018, which expired prior to the first quarter of 2019.</w:t>
      </w:r>
    </w:p>
    <w:p>
      <w:pPr>
        <w:spacing w:after="0" w:line="176"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Equity method investment loss </w:t>
      </w:r>
      <w:r>
        <w:rPr>
          <w:rFonts w:ascii="Arial" w:cs="Arial" w:eastAsia="Arial" w:hAnsi="Arial"/>
          <w:sz w:val="18"/>
          <w:szCs w:val="18"/>
          <w:color w:val="auto"/>
        </w:rPr>
        <w:t>changed $1.4 million to a loss of $1.6 million for the six months ended June 30, 2019, compared to a loss of $0.2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the same period in 2018. All equity method investment income (loss) are the result of our 30% equity interest in STIN and vary based on the financial results of the investment company during the respective reporting period.</w:t>
      </w:r>
    </w:p>
    <w:p>
      <w:pPr>
        <w:spacing w:after="0" w:line="1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 xml:space="preserve">Income tax. </w:t>
      </w:r>
      <w:r>
        <w:rPr>
          <w:rFonts w:ascii="Arial" w:cs="Arial" w:eastAsia="Arial" w:hAnsi="Arial"/>
          <w:sz w:val="17"/>
          <w:szCs w:val="17"/>
          <w:color w:val="auto"/>
        </w:rPr>
        <w:t>The Company recognized approximately $3.2 million in related income tax benefit and $0.7 million in related income tax provision during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six ended June 30, 2019 and 2018, respectively. The effective tax rate was approximately 8.2% for the six months ended June 30, 2019, which was lower than the U.S. federal statutory rate primarily due to the valuation allowances recorded in domestic and foreign jurisdictions offset by certain jurisdictions projecting current tax expense. The Company’s effective tax rate was approximately 0.9% for the six months ended June 30, 2018, which was lower than the U.S. federal statutory rate primarily due to the valuation allowance recorded in the fourth quarter of 2017.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June 30, 2019, our principal sources of liquidity have been cash provided by operations and proceeds from divestitures. Our cash, cash equivalents, marketable securities and restricted cash balance was $78.9 million at June 30, 2019. We anticipate that our principal uses of cash, cash equivalents, and marketable securities will be to fund the expansion of our business through both organic growth and acquisition activities and the expansion of our customer base as well as the repayment of our Convertible Senior Notes due in August 2019. Uses of cash will also include facility and technology expansion, significant integration and restructuring activities, capital expenditures, and working capital.</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June 30, 2019, our non-U.S. subsidiaries held approximately $15.2 million of cash and cash equivalents that are available for use by all of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existing cash, cash equivalents, marketable securities, and expected positive cash flows generated from operations will be sufficient to fund our operations for the next twelve months from the date of filing based on our current business plans. Our liquidity plans are subject to a number of risks and uncertainties, including those described in the "Forward-Looking Statements" section of this MD&amp;A and Part I, Item 1A. “Risk Factors”, some of which are outside of our control.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12, 2014, we issued the 2019 Notes. The 2019 Notes mature on August 15, 2019, and bear interest at a rate of 0.75% per annum payable semi-annually in arrears on February 15 and August 15 of each year. We accounted for the $230.0 million face value of the debt as a liability and capitalized approximately $7.1 million of financing fees, related to the issuance.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At June 30, 2019, the carrying amount of the liability was $47.1 million and the outstanding principal of the 2019 Notes was $47.1 million, with an effective interest rate of approximately 1.37%. For further details, see </w:t>
      </w:r>
      <w:r>
        <w:rPr>
          <w:rFonts w:ascii="Arial" w:cs="Arial" w:eastAsia="Arial" w:hAnsi="Arial"/>
          <w:sz w:val="18"/>
          <w:szCs w:val="18"/>
          <w:i w:val="1"/>
          <w:iCs w:val="1"/>
          <w:color w:val="auto"/>
        </w:rPr>
        <w:t>Note 7. Debt</w:t>
      </w:r>
      <w:r>
        <w:rPr>
          <w:rFonts w:ascii="Arial" w:cs="Arial" w:eastAsia="Arial" w:hAnsi="Arial"/>
          <w:sz w:val="18"/>
          <w:szCs w:val="18"/>
          <w:color w:val="auto"/>
        </w:rPr>
        <w:t xml:space="preserve"> of the Notes to Condensed Consolidated Financial Statements in Item 1 of this Form 10-Q.</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repurchases in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of Preferred Stock</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accordance with the terms of the Share Purchase Agreement dated as of October 17, 2017 (the “PIPE Purchase Agreement”), with Silver Private Holdings I, LLC, an affiliate of Siris (“Silver”), on February 15, 2018, we issued to Silver 185,000 shares of our newly issued Series A Preferred Stock, par value $0.0001 per share, with an initial liquidation preference of $1,000 per share, in exchange for $97.7 million in cash and the transfer from Silver to us of the 5,994,667 shares of our common stock held by Silver (the “Preferred Transaction”). In connection with the issuance of the Series A Preferred Stock, we</w:t>
      </w:r>
    </w:p>
    <w:p>
      <w:pPr>
        <w:spacing w:after="0" w:line="2" w:lineRule="exact"/>
        <w:rPr>
          <w:sz w:val="20"/>
          <w:szCs w:val="20"/>
          <w:color w:val="auto"/>
        </w:rPr>
      </w:pPr>
    </w:p>
    <w:p>
      <w:pPr>
        <w:jc w:val="both"/>
        <w:ind w:firstLine="8"/>
        <w:spacing w:after="0" w:line="255" w:lineRule="auto"/>
        <w:tabs>
          <w:tab w:leader="none" w:pos="225"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the Series A Certificate and (ii) entered into an Investor Rights Agreement with Silver setting forth certain registration, governance and preemptive rights of Silver with respect to us (the “Investor Rights Agreement”). Pursuant to the PIPE Purchase Agreement, at the closing, we paid to Siris $5.0 million as a reimbursement of Silver’s reasonable costs and expenses incurred in connection with the Preferred Transaction.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Certificate of Designation of the Series A Preferred Stock</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rights, preferences, privileges, qualifications, restrictions and limitations of the shares of Series A Preferred Stock are set forth in the Series A Certificate. Under the Series A Certificate, the holders of the Series A Preferred Stock are entitled to receive Preferred Dividends. The Preferred Dividends are due on each Series A Dividend Payment Date. We may choose to pay the Preferred Dividends in cash or in additional shares of Series A Preferred Stock. In the event we do not declare and pay a dividend in-kind or in cash on any Series A Dividend Payment Date, the unpaid amount of the Preferred Dividend will be added to the Liquidation Preference. In addition, the Series A Preferred Stock participates in dividends declared and paid on shares of our common stock.</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Each share of Series A Preferred Stock is convertible, at the option of the holder, into the number of shares of common stock equal to the “Conversion Price” (as that term is defined in the Series A Certificate) multiplied by the then applicable “Conversion Rate” (as that term is defined in the Series A Certificate). Each share of Series A Preferred Stock is initially convertible into 55.5556 shares of common stock, representing an initial “conversion price” of approximately $18.00 per share of common stock. The Conversion Rate is subject to equitable proportionate adjustment in the event of stock splits, recapitalizations and other events set forth in the Series A Certificate.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after the fifth anniversary of February 15, 2018, holders of shares of Series A Preferred Stock have the right to cause the Company to redeem each share of Series A Preferred Stock for cash in an amount equal to the sum of the current liquidation preference and any accrued dividends. Each share of Series A Preferred Stock is also redeemable at the option of the holder upon the occurrence of a “Fundamental Change” (as that term is defined in the Series A Certificate) at a specified premium (“Liquidation Value”). In addition, the Company is also permitted to redeem all outstanding shares of the Series A Preferred Stock at any time (i) within the first 30 months of the date of issuance for the sum of the then-applicable Liquidation Preference, accrued but unpaid dividends and a make whole amount (known as “Redemption Value”) and (ii) following the 30-month anniversary of the date of issuance for the sum of the then-applicable Liquidation Preference and the accrued but unpaid dividends. As of June 30, 2019, the Liquidation Value and Redemption Value of the Preferred Shares was $243.1 million.</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holders of a majority of the Series A Preferred Stock, voting separately as a class, are entitled at each of our annual meetings of stockholders or at any special meeting called for the purpose of electing directors (or by written consent signed by the holders of a majority of the then-outstanding shares of Series A Preferred Stock in lieu of such a meeting): (i) to nominate and elect two members of our Board of Directors for so long as the Preferred Percentage (as defined in the Series A Certificate) is equal to or greater than 10%; and (ii) to nominate and elect one member of our Board of Directors for so long as the Preferred Percentage is equal to or greater than 5% but less than 10%.</w:t>
      </w:r>
    </w:p>
    <w:p>
      <w:pPr>
        <w:spacing w:after="0" w:line="18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so long as the holders of shares of Series A Preferred Stock have the right to nominate at least one director, we are required to obtain the prior approval of Silver prior to taking certain actions, including: (i) certain dividends, repayments and redemptions; (ii) any amendment to our certificate of incorporation that adversely effects the rights, preferences, privileges or voting powers of the Series A Preferred Stock; (iii) issuances of stock ranking senior or equivalent to shares of Series A Preferred Stock (including additional shares of Series A Preferred Stock) in the priority of payment of dividends or in the distribution of assets upon any liquidation, dissolution or winding up of us; (iv) changes in the size of our Board of Directors; (v) any amendment, alteration, modification or repeal of the charter of our Nominating and Corporate Governance Committee of the Board of Directors and related documents; and (vi) any change in our principal business or the entry into any line of business outside of our existing lines of businesses. In addition, in the event that we are in EBITDA Non-Compliance (as defined in the Series A Certificate) or the undertaking of certain actions would result in us exceeding a specified pro forma leverage ratio, then the prior approval of Silver would be required to incur indebtedness (or alter any debt document) in excess of $10.0 million, enter or consummate any transaction where the fair market value exceeds $5.0 million individually or $10.0 million in the aggregate in a fiscal year or authorize or commit to capital expenditures in excess of $25.0 million in a fiscal year.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Each holder of Series A Preferred Stock has one vote per share on any matter on which holders of Series A Preferred Stock are entitled to vote separately as a class, whether at a meeting or by written consent. The holders of Series A Preferred Stock are permitted to take any action or consent to any action with respect to such rights without a meeting by delivering a consent in writing or electronic transmission of the holders of the Series A Preferred Stock entitled to cast not less than the minimum number of votes that would be necessary to authorize, take or consent to such action at a meeting of stockholders. In addition to any vote (or action taken by written consent) of the holders of the shares of Series A Preferred Stock as a separate class provided for in the Series A Certificate or by the General Corporation Law of the State of Delaware, the holders of shares of the Series A Preferred Stock are entitled to vote with the holders of shares of common stock (and any other class or series that may similarly be entitled to vote on an as-converted basis with the holders of common stock) on all matters submitted to a vote or to the consent of the stockholders of the Company (including the election of directors) as one class.</w:t>
      </w:r>
    </w:p>
    <w:p>
      <w:pPr>
        <w:spacing w:after="0" w:line="16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Under the Series A Certificate, if Silver and certain of its affiliates have elected to effect a conversion of some or all of their shares of Series A Preferred Stock and if the sum, without duplication, of (i) the aggregate number of shares of our common stock issued to such holders upon such conversion and any shares of our common stock previously issued to such holders upon conversion of Series A Preferred Stock and then held by such holders, plus (ii) the number of shares of our common stock underlying shares of Series A Preferred Stock that would be held at such time by such holders (after giving effect to such conversion), would exceed the 19.9% of the issued and outstanding shares of our voting stock on an as converted basis (the “Conversion Cap”), then such holders would only be entitled to convert such number of shares as would result in the sum of clauses (i) and (ii) (after giving effect to such conversion) being equal to the Conversion Cap (after giving effect to any such limitation on conversion). Any shares of Series A Preferred Stock which a holder has elected to convert but which, by reason of the previous sentence, are not so converted, will be treated as if the holder had not made such election to convert and such shares of Series A Preferred Stock will remain outstanding. Also, under the Series A Certificate, if the sum, without duplication, of (i) the aggregate voting power of the shares previously issued to Silver and certain of its affiliates held by such holders at the record date, plus (ii) the aggregate voting power of the shares of Series A Preferred Stock held by such holders as of such record date, would exceed 19.99% of the total voting power of our outstanding voting stock at such record date, then, with respect to such shares, Silver and certain of its affiliates are only entitled to cast a number of votes equal to 19.99% of such total voting power. The limitation on conversion and voting ceases to apply upon receipt of the requisite approval of holders of our common stock under the applicable listing standards.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 Rights Agreement</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Concurrently with the closing of the Preferred Transaction, Synchronoss and Silver entered into an Investor Rights Agreement. Under the terms of the Investor Rights Agreement, Silver and Synchronoss have agreed that, effective as of the closing of the Preferred Transaction, the Board of Directors of Synchronoss will consist of ten members. From and after the closing of the Preferred Transaction, so long as the holders of Series A Preferred Stock have the right to nominate a member to the Board of Directors pursuant to the Series A Certificate, the Board of Directors of Synchronoss will consist of (i) two directors nominated and elected by the holders of shares of Series A Preferred Stock; (ii) four directors who meet the independence criteria set forth in the applicable listing standards (each of whom will be initially agreed upon by Synchronoss and Silver); and (iii) four other directors, two of whom shall satisfy the independence criteria of the applicable listing standards and, as of the closing of the Preferred Transaction, one of whom shall be the individual then serving as chief executive officer of Synchronoss and one of whom shall be the current chairman of the Board of Directors of Synchronoss as of the date of execution of the Investors Rights Agreement. Following the closing of the Preferred Transaction, so long as the holders of Series A Preferred Stock have the right to nominate at least one director to the Board of Directors of Synchronoss pursuant to the Series A Certificate, Silver will have the right to designate two members of the Nominating and Corporate Governance Committee of the Board of Directors.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terms of the Investor Rights Agreement, neither Silver nor its affiliates may transfer any shares of Series A Preferred Stock subject to certain exceptions (including transfers to affiliates that agree to be bound by the terms of the Investor Rights Agreement).</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For so long as Silver has the right to appoint a director to the Board of Directors of Synchronoss, without the prior approval by a majority of directors voting who are not appointed by the holders of shares of Series A Preferred Stock, neither Silver nor its affiliates will directly or indirectly purchase or acquire any debt or equity securities of Synchronoss (including equity-linked derivative securities) if such purchase or acquisition would result in Silver’s Standstill Percentage (as defined in the Investor Rights Agreement) being in excess of 30%. However, the foregoing standstill restrictions would not prohibit the purchase of shares pursuant to the PIPE Purchase Agreement or the receipt of shares of Series A Preferred Stock issued as Preferred Dividends pursuant to the Series A Certificate, shares of Common Stock received upon conversion of shares of Series A Preferred Stock or receipt of any shares of Series A Preferred Stock, Common Stock or other securities of the Company otherwise paid as dividends or as an increase of the Liquidation Preference (as defined in the Series A Certificate) or distributions thereon. Silver will also have preemptive rights with respect to issuances of securities of Synchronoss in order to maintain its ownership percentage.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Under the terms of the Investor Rights Agreement, Silver will be entitled to (i) three demand registrations, with no more than two demand registrations in any single calendar year and provided that each demand registration must include at least 10% of the shares of Common Stock held by Silver, including shares of Common Stock issuable upon conversion of shares of Series A Preferred Stock and (ii) unlimited piggyback registration rights with respect to primary issuances and all other issuances.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jc w:val="center"/>
              <w:ind w:right="4710"/>
              <w:spacing w:after="0"/>
              <w:rPr>
                <w:sz w:val="20"/>
                <w:szCs w:val="20"/>
                <w:color w:val="auto"/>
              </w:rPr>
            </w:pPr>
            <w:r>
              <w:rPr>
                <w:rFonts w:ascii="Arial" w:cs="Arial" w:eastAsia="Arial" w:hAnsi="Arial"/>
                <w:sz w:val="18"/>
                <w:szCs w:val="18"/>
                <w:b w:val="1"/>
                <w:bCs w:val="1"/>
                <w:color w:val="auto"/>
                <w:w w:val="86"/>
              </w:rPr>
              <w:t>Discussion of Cash Flows</w:t>
            </w: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340"/>
              <w:spacing w:after="0"/>
              <w:rPr>
                <w:sz w:val="20"/>
                <w:szCs w:val="20"/>
                <w:color w:val="auto"/>
              </w:rPr>
            </w:pPr>
            <w:r>
              <w:rPr>
                <w:rFonts w:ascii="Arial" w:cs="Arial" w:eastAsia="Arial" w:hAnsi="Arial"/>
                <w:sz w:val="18"/>
                <w:szCs w:val="18"/>
                <w:color w:val="auto"/>
              </w:rPr>
              <w:t>A summary of net cash flows follows (in thousands):</w:t>
            </w: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8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c>
          <w:tcPr>
            <w:tcW w:w="200" w:type="dxa"/>
            <w:vAlign w:val="bottom"/>
          </w:tcPr>
          <w:p>
            <w:pPr>
              <w:spacing w:after="0"/>
              <w:rPr>
                <w:sz w:val="24"/>
                <w:szCs w:val="24"/>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0"/>
              </w:rPr>
              <w:t>2019 vs 2018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cash provided by (used in):</w:t>
            </w: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jc w:val="center"/>
              <w:ind w:right="4670"/>
              <w:spacing w:after="0"/>
              <w:rPr>
                <w:sz w:val="20"/>
                <w:szCs w:val="20"/>
                <w:color w:val="auto"/>
              </w:rPr>
            </w:pPr>
            <w:r>
              <w:rPr>
                <w:rFonts w:ascii="Arial" w:cs="Arial" w:eastAsia="Arial" w:hAnsi="Arial"/>
                <w:sz w:val="18"/>
                <w:szCs w:val="18"/>
                <w:color w:val="auto"/>
                <w:w w:val="92"/>
              </w:rPr>
              <w:t>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(71,381)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89,945</w:t>
            </w:r>
          </w:p>
        </w:tc>
        <w:tc>
          <w:tcPr>
            <w:tcW w:w="0" w:type="dxa"/>
            <w:vAlign w:val="bottom"/>
          </w:tcPr>
          <w:p>
            <w:pPr>
              <w:spacing w:after="0"/>
              <w:rPr>
                <w:sz w:val="1"/>
                <w:szCs w:val="1"/>
                <w:color w:val="auto"/>
              </w:rPr>
            </w:pPr>
          </w:p>
        </w:tc>
      </w:tr>
      <w:tr>
        <w:trPr>
          <w:trHeight w:val="243"/>
        </w:trPr>
        <w:tc>
          <w:tcPr>
            <w:tcW w:w="6740" w:type="dxa"/>
            <w:vAlign w:val="bottom"/>
          </w:tcPr>
          <w:p>
            <w:pPr>
              <w:jc w:val="center"/>
              <w:ind w:right="4730"/>
              <w:spacing w:after="0"/>
              <w:rPr>
                <w:sz w:val="20"/>
                <w:szCs w:val="20"/>
                <w:color w:val="auto"/>
              </w:rPr>
            </w:pPr>
            <w:r>
              <w:rPr>
                <w:rFonts w:ascii="Arial" w:cs="Arial" w:eastAsia="Arial" w:hAnsi="Arial"/>
                <w:sz w:val="18"/>
                <w:szCs w:val="18"/>
                <w:color w:val="auto"/>
                <w:w w:val="93"/>
              </w:rPr>
              <w:t>Investing activities</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(20,250)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12,982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40" w:type="dxa"/>
            <w:vAlign w:val="bottom"/>
            <w:shd w:val="clear" w:color="auto" w:fill="CCEEFF"/>
          </w:tcPr>
          <w:p>
            <w:pPr>
              <w:jc w:val="center"/>
              <w:ind w:right="4670"/>
              <w:spacing w:after="0"/>
              <w:rPr>
                <w:sz w:val="20"/>
                <w:szCs w:val="20"/>
                <w:color w:val="auto"/>
              </w:rPr>
            </w:pPr>
            <w:r>
              <w:rPr>
                <w:rFonts w:ascii="Arial" w:cs="Arial" w:eastAsia="Arial" w:hAnsi="Arial"/>
                <w:sz w:val="18"/>
                <w:szCs w:val="18"/>
                <w:color w:val="auto"/>
                <w:w w:val="93"/>
              </w:rPr>
              <w:t>Financing activities</w:t>
            </w:r>
          </w:p>
        </w:tc>
        <w:tc>
          <w:tcPr>
            <w:tcW w:w="3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(73,574)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(159,076)</w:t>
            </w:r>
          </w:p>
        </w:tc>
        <w:tc>
          <w:tcPr>
            <w:tcW w:w="0" w:type="dxa"/>
            <w:vAlign w:val="bottom"/>
          </w:tcPr>
          <w:p>
            <w:pPr>
              <w:spacing w:after="0"/>
              <w:rPr>
                <w:sz w:val="1"/>
                <w:szCs w:val="1"/>
                <w:color w:val="auto"/>
              </w:rPr>
            </w:pPr>
          </w:p>
        </w:tc>
      </w:tr>
      <w:tr>
        <w:trPr>
          <w:trHeight w:val="27"/>
        </w:trPr>
        <w:tc>
          <w:tcPr>
            <w:tcW w:w="67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17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six months ended June 30, 2019 was a $18.6 million of cash provided by operating activities, as compared</w:t>
      </w:r>
      <w:r>
        <w:rPr>
          <w:rFonts w:ascii="Arial" w:cs="Arial" w:eastAsia="Arial" w:hAnsi="Arial"/>
          <w:sz w:val="17"/>
          <w:szCs w:val="17"/>
          <w:b w:val="1"/>
          <w:bCs w:val="1"/>
          <w:color w:val="auto"/>
        </w:rPr>
        <w:t xml:space="preserve"> </w:t>
      </w:r>
      <w:r>
        <w:rPr>
          <w:rFonts w:ascii="Arial" w:cs="Arial" w:eastAsia="Arial" w:hAnsi="Arial"/>
          <w:sz w:val="17"/>
          <w:szCs w:val="17"/>
          <w:color w:val="auto"/>
        </w:rPr>
        <w:t>to $71.4 million of cash used for operating activities for the same period in 2018. The increase of cash provided by operating activities of $89.9 million was primarily due to favorable changes in cash earnings of $43.8 million and a favorable change in working capital of $46.2 million.</w:t>
      </w:r>
    </w:p>
    <w:p>
      <w:pPr>
        <w:spacing w:after="0" w:line="15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Cash flows from investing </w:t>
      </w:r>
      <w:r>
        <w:rPr>
          <w:rFonts w:ascii="Arial" w:cs="Arial" w:eastAsia="Arial" w:hAnsi="Arial"/>
          <w:sz w:val="18"/>
          <w:szCs w:val="18"/>
          <w:color w:val="auto"/>
        </w:rPr>
        <w:t>for the six months ended June 30, 2019 was $20.3 million, as compared to $33.2 million in cash used for investing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same period in 2018. The increase of $13.0 million in cash in investing activities was due primarily to incremental spend in 2018 to fund the honeybee acquisition.</w:t>
      </w:r>
    </w:p>
    <w:p>
      <w:pPr>
        <w:spacing w:after="0" w:line="17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 xml:space="preserve">Cash flows from financing </w:t>
      </w:r>
      <w:r>
        <w:rPr>
          <w:rFonts w:ascii="Arial" w:cs="Arial" w:eastAsia="Arial" w:hAnsi="Arial"/>
          <w:sz w:val="17"/>
          <w:szCs w:val="17"/>
          <w:color w:val="auto"/>
        </w:rPr>
        <w:t>for six months ended June 30, 2019 was $73.6 million use of cash, as compared to $85.5 million of cash provided by</w:t>
      </w:r>
      <w:r>
        <w:rPr>
          <w:rFonts w:ascii="Arial" w:cs="Arial" w:eastAsia="Arial" w:hAnsi="Arial"/>
          <w:sz w:val="17"/>
          <w:szCs w:val="17"/>
          <w:b w:val="1"/>
          <w:bCs w:val="1"/>
          <w:color w:val="auto"/>
        </w:rPr>
        <w:t xml:space="preserve"> </w:t>
      </w:r>
      <w:r>
        <w:rPr>
          <w:rFonts w:ascii="Arial" w:cs="Arial" w:eastAsia="Arial" w:hAnsi="Arial"/>
          <w:sz w:val="17"/>
          <w:szCs w:val="17"/>
          <w:color w:val="auto"/>
        </w:rPr>
        <w:t>financing activities for the same period in 2018. The cash used for financing for 2019 was primarily driven by the $65.9 million partial repayment of the convertible debt and preferred dividend payment of $7.1 million compared to proceeds for the issuance of preferred stock for the same period in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229"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2019 and 2018. We do not expect the current rate of inflation to have a material impact on our business.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75"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Our contractual obligations consist of principal and interest related to our Convertible Senior Notes, contingent consideration, non-cancelable capital leases, operating leases or long-term agreements for office space, automobiles, office equipment and colocation services and contractual commitments under third-party hosting, software licenses and maintenance agreements. The following table summarizes our long</w:t>
      </w:r>
      <w:r>
        <w:rPr>
          <w:rFonts w:ascii="MS PGothic" w:cs="MS PGothic" w:eastAsia="MS PGothic" w:hAnsi="MS PGothic"/>
          <w:sz w:val="18"/>
          <w:szCs w:val="18"/>
          <w:color w:val="auto"/>
        </w:rPr>
        <w:t>‑</w:t>
      </w:r>
      <w:r>
        <w:rPr>
          <w:rFonts w:ascii="Arial" w:cs="Arial" w:eastAsia="Arial" w:hAnsi="Arial"/>
          <w:sz w:val="18"/>
          <w:szCs w:val="18"/>
          <w:color w:val="auto"/>
        </w:rPr>
        <w:t>term contractual obligations as of June 30, 2019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60" w:type="dxa"/>
            <w:vAlign w:val="bottom"/>
            <w:gridSpan w:val="6"/>
          </w:tcPr>
          <w:p>
            <w:pPr>
              <w:jc w:val="right"/>
              <w:ind w:right="50"/>
              <w:spacing w:after="0"/>
              <w:rPr>
                <w:sz w:val="20"/>
                <w:szCs w:val="20"/>
                <w:color w:val="auto"/>
              </w:rPr>
            </w:pPr>
            <w:r>
              <w:rPr>
                <w:rFonts w:ascii="Arial" w:cs="Arial" w:eastAsia="Arial" w:hAnsi="Arial"/>
                <w:sz w:val="16"/>
                <w:szCs w:val="16"/>
                <w:b w:val="1"/>
                <w:bCs w:val="1"/>
                <w:color w:val="auto"/>
                <w:w w:val="90"/>
              </w:rPr>
              <w:t>Payments Due by Period</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33"/>
              <w:spacing w:after="0"/>
              <w:rPr>
                <w:sz w:val="20"/>
                <w:szCs w:val="20"/>
                <w:color w:val="auto"/>
              </w:rPr>
            </w:pPr>
            <w:r>
              <w:rPr>
                <w:rFonts w:ascii="Arial" w:cs="Arial" w:eastAsia="Arial" w:hAnsi="Arial"/>
                <w:sz w:val="16"/>
                <w:szCs w:val="16"/>
                <w:b w:val="1"/>
                <w:bCs w:val="1"/>
                <w:color w:val="auto"/>
                <w:w w:val="95"/>
              </w:rPr>
              <w:t>Remainder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ind w:left="220"/>
              <w:spacing w:after="0"/>
              <w:rPr>
                <w:sz w:val="20"/>
                <w:szCs w:val="20"/>
                <w:color w:val="auto"/>
              </w:rPr>
            </w:pPr>
            <w:r>
              <w:rPr>
                <w:rFonts w:ascii="Arial" w:cs="Arial" w:eastAsia="Arial" w:hAnsi="Arial"/>
                <w:sz w:val="16"/>
                <w:szCs w:val="16"/>
                <w:b w:val="1"/>
                <w:bCs w:val="1"/>
                <w:color w:val="auto"/>
              </w:rPr>
              <w:t>Total</w:t>
            </w:r>
          </w:p>
        </w:tc>
        <w:tc>
          <w:tcPr>
            <w:tcW w:w="160" w:type="dxa"/>
            <w:vAlign w:val="bottom"/>
          </w:tcPr>
          <w:p>
            <w:pPr>
              <w:spacing w:after="0"/>
              <w:rPr>
                <w:sz w:val="18"/>
                <w:szCs w:val="18"/>
                <w:color w:val="auto"/>
              </w:rPr>
            </w:pPr>
          </w:p>
        </w:tc>
        <w:tc>
          <w:tcPr>
            <w:tcW w:w="1120" w:type="dxa"/>
            <w:vAlign w:val="bottom"/>
          </w:tcPr>
          <w:p>
            <w:pPr>
              <w:jc w:val="right"/>
              <w:ind w:right="353"/>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w w:val="98"/>
              </w:rPr>
              <w:t>2020 - 2022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191"/>
              <w:spacing w:after="0"/>
              <w:rPr>
                <w:sz w:val="20"/>
                <w:szCs w:val="20"/>
                <w:color w:val="auto"/>
              </w:rPr>
            </w:pPr>
            <w:r>
              <w:rPr>
                <w:rFonts w:ascii="Arial" w:cs="Arial" w:eastAsia="Arial" w:hAnsi="Arial"/>
                <w:sz w:val="16"/>
                <w:szCs w:val="16"/>
                <w:b w:val="1"/>
                <w:bCs w:val="1"/>
                <w:color w:val="auto"/>
              </w:rPr>
              <w:t>2023 - 2024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6"/>
                <w:szCs w:val="16"/>
                <w:b w:val="1"/>
                <w:bCs w:val="1"/>
                <w:color w:val="auto"/>
              </w:rPr>
              <w:t>Thereafter</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Convertible Senior Notes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47,112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47,112</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1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99,036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33,882</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33,681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12,541</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21,140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179,873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66,036</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59,592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20,363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33,882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1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0" w:hanging="172"/>
        <w:spacing w:after="0" w:line="218" w:lineRule="auto"/>
        <w:tabs>
          <w:tab w:leader="none" w:pos="18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Amount represents obligation and interest associated with 2019 Notes.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5"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Amount represents obligations associated with colocation agreements and other customer delivery related purchase obligations.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Unrecognized tax positions of $4.0 million at June 30, 2019 are excluded from the table above as we are not able to reasonably estimate when we would make any cash payments required to settle these liabilities, but we do not believe that the ultimate settlement of our obligations will materially affect our liquidity. We do not expect that the balance of unrecognized tax benefits will significantly increase or decrease over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 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 We have discussed the selection and development of the critical accounting policies with the Audit Committee, and the Audit Committee has reviewed our related disclosures in this Form 10-Q. Although we believe that our judgments and estimates are appropriate, correct and reasonable under the circumstances, actual results may differ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17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During the six months ended June 30, 2019, the Company made significant changes in its accounting policies over leases, to align with the adoption of Topic 842. These updates are described in detail in </w:t>
      </w:r>
      <w:r>
        <w:rPr>
          <w:rFonts w:ascii="Arial" w:cs="Arial" w:eastAsia="Arial" w:hAnsi="Arial"/>
          <w:sz w:val="16"/>
          <w:szCs w:val="16"/>
          <w:i w:val="1"/>
          <w:iCs w:val="1"/>
          <w:color w:val="auto"/>
        </w:rPr>
        <w:t>Note 2. Basis of Presentation and Consolidation.</w:t>
      </w:r>
      <w:r>
        <w:rPr>
          <w:rFonts w:ascii="Arial" w:cs="Arial" w:eastAsia="Arial" w:hAnsi="Arial"/>
          <w:sz w:val="16"/>
          <w:szCs w:val="16"/>
          <w:color w:val="auto"/>
        </w:rPr>
        <w:t xml:space="preserve"> Aside from the adoption of Topic 842, there were no significant changes in our critical accounting policies and estimates discussed in our Form 10-K for the year ended December 31, 2018 during the six months ended June 30, 2019. Please refer to Management’s Discussion and Analysis of Financial Condition and Results of Operations contained in Part II, Item 7 of our Annual Report on Form 10-K for the year ended December 31, 2018 for a more complete discussion of our critical accounting policies and estimates.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 xml:space="preserve">For a discussion of recently issued accounting standards see </w:t>
      </w:r>
      <w:r>
        <w:rPr>
          <w:rFonts w:ascii="Arial" w:cs="Arial" w:eastAsia="Arial" w:hAnsi="Arial"/>
          <w:sz w:val="18"/>
          <w:szCs w:val="18"/>
          <w:i w:val="1"/>
          <w:iCs w:val="1"/>
          <w:color w:val="auto"/>
        </w:rPr>
        <w:t>Note 2. Basis of Presentation and Consolidation</w:t>
      </w:r>
      <w:r>
        <w:rPr>
          <w:rFonts w:ascii="Arial" w:cs="Arial" w:eastAsia="Arial" w:hAnsi="Arial"/>
          <w:sz w:val="18"/>
          <w:szCs w:val="18"/>
          <w:color w:val="auto"/>
        </w:rPr>
        <w:t xml:space="preserve"> included in Part I, Item 1. “Notes to Condensed Consolidated Financial Statements (unaudited)” of this Quarterly Report on Form 10-Q.</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off-balance sheet arrangements as of June 30, 2019 and December 31, 2018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June 30, 2019 and December 31, 2018 were invested in liquid money market accounts, certificates of deposit and government securities. All market-risk sensitive instruments were entered into for non-trading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risk of interest rate fluctuations on the interest income earned on our cash and cash equivalents. A hypothetical 100 basis point movement in interest rates applicable to our cash and cash equivalents outstanding at June 30, 2019 would increase interest income by approximately $0.3 million on an annual basis.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the preparation of the Company’s Form 10-Q for the first quarter of 2017 and a related internal investigation commenced by the Audit Committee, certain adjustments related to the Company’s accounting treatment for software license revenue were identified. The Company subsequently completed additional accounting review procedures and identified other adjustments.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accounting adjustments referenced above resulted from certain material weaknesses in our internal control over financial reporting. Management determined these material weaknesses and other control deficiencies were primarily the result of an ineffective control environment. As a result, the Company lacked effective control activities necessary to prepare accurate financial statements and ensure compliance with regulatory filing requirements applicable to public companies. These material weaknesses are further described in subsection “Evaluation of Disclosure Controls and Procedures” in Part II, Item 9A of our Annual Report on Form 10-K for the year ended December 31,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described in additional detail in the 2018 Form 10-K, the Company did not maintain effective controls within its financial close process. Until these material weaknesses are remediated, they could result in material misstatements of the Company’s financial statements that would not be prevented or detected. As of June 30, 2019, the remedial measures identified below are in place and being tested by management for operational effectiveness throughout fiscal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Rules 13a-15(e) or 15d-15(e) under the Securities Exchange Act of 1934, as amended (the “Exchange Act”)), that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Company’s Principal Executive Officer and Principal Financial Officer have evaluated the design and effectiveness of the Company’s disclosure controls and procedures as of June 30, 2019 and, due to the existence of the material weaknesses in internal control over financial reporting described above, the Company’s Principal Executive and Principal Financial Officers have determined that such disclosure controls and procedures were not effective as of such date. In light of the material weakness, the Company performed additional analysis and other post-closing procedures to ensure the Company’s condensed consolidated financial statements are prepared in accordance with U.S. GAAP. Accordingly, the Company’s management, including its Principal Executive and Principal Financial Officers, has concluded that the condensed consolidated financial statements included in this Form 10-Q present fairly, in all material respects, the Company’s financial position, results of operations and cash flows for the periods presented in conformity with accounting principles generally accepted in the United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of Material Weaknesses in Internal Control Over Financial Reporting</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Following the identification of the material weaknesses described above and further described in subsection “Evaluation of Disclosure Controls and Procedures” in Part II, Item 9A of our Annual Report on Form 10-K for the year ended December 31, 2018, and with the oversight of the Audit Committee, management is committed to our remediation efforts to address these material weaknesses. The remediation efforts, summarized below, are intended to both address the identified material weaknesses and strengthen our overall financial control environment. In this regard, the following represents the enhancements the Company has designed and is in the process of testing as of June 30, 2019 to remediate the material weaknesses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Environment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980" w:hanging="324"/>
        <w:spacing w:after="0" w:line="256"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increased standardization of contract documentation and revenue analysis for individual transactions, including increased oversight of revenue opportunities and contract review by personnel with the requisite accounting knowledge to identify revenue-impacting terms and consider potential downstream effects.</w:t>
      </w:r>
    </w:p>
    <w:p>
      <w:pPr>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developed a more comprehensive review process and monitoring controls over contracts with customers to ensure accurate accounting for multiple-element arrangements.</w:t>
      </w:r>
    </w:p>
    <w:p>
      <w:pPr>
        <w:jc w:val="both"/>
        <w:ind w:left="980" w:hanging="324"/>
        <w:spacing w:after="0" w:line="250"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developed a recurring non-recurring transaction review meeting cadence with key stakeholders within the Company to identify and discuss potentially significant transactions. Meetings are attended by process owners across various functions or departments, both domestic and international, to promote regular and effective communication between finance and non-finance personnel, and to ensure that information related to significant transactions is communicated timely.</w:t>
      </w:r>
    </w:p>
    <w:p>
      <w:pPr>
        <w:spacing w:after="0" w:line="1" w:lineRule="exact"/>
        <w:rPr>
          <w:rFonts w:ascii="Arial" w:cs="Arial" w:eastAsia="Arial" w:hAnsi="Arial"/>
          <w:sz w:val="18"/>
          <w:szCs w:val="18"/>
          <w:color w:val="auto"/>
        </w:rPr>
      </w:pPr>
    </w:p>
    <w:p>
      <w:pPr>
        <w:jc w:val="both"/>
        <w:ind w:left="980" w:hanging="324"/>
        <w:spacing w:after="0" w:line="28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Company performed a review of key business process controls related to high-risk financial statement accounts, such as revenue, significant transactions, capitalized software, accounts receivable, treasury and financial close, which resulted in the redesign of existing controls and the addition of newly developed / documented control activities, in order to mitigate known risks and strengthen the overall control environment.</w:t>
      </w:r>
    </w:p>
    <w:p>
      <w:pPr>
        <w:spacing w:after="0" w:line="2" w:lineRule="exact"/>
        <w:rPr>
          <w:rFonts w:ascii="Arial" w:cs="Arial" w:eastAsia="Arial" w:hAnsi="Arial"/>
          <w:sz w:val="16"/>
          <w:szCs w:val="16"/>
          <w:color w:val="auto"/>
        </w:rPr>
      </w:pPr>
    </w:p>
    <w:p>
      <w:pPr>
        <w:ind w:left="980" w:hanging="324"/>
        <w:spacing w:after="0" w:line="261"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Company has hired a Director of Revenue Recognition, a Director of Technical Accounting, and other resources to augment our staff to support further enhancement on the controls and procedures surrounding revenue recognition and technical matters.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Control Activities</w:t>
      </w:r>
    </w:p>
    <w:p>
      <w:pPr>
        <w:spacing w:after="0" w:line="225" w:lineRule="exact"/>
        <w:rPr>
          <w:sz w:val="20"/>
          <w:szCs w:val="20"/>
          <w:color w:val="auto"/>
        </w:rPr>
      </w:pPr>
    </w:p>
    <w:p>
      <w:pPr>
        <w:ind w:left="980" w:hanging="324"/>
        <w:spacing w:after="0" w:line="25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performed a review of key IT process controls, enhanced the control design and is in the process of executing full testing on the IT environment.</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has engaged external resources to assist management in our control design assessment and execution. As of June 30, 2019, we have completed our risk assessment and control design for the Company and are in the process of executing full testing of the control environment.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and Communication</w:t>
      </w:r>
    </w:p>
    <w:p>
      <w:pPr>
        <w:spacing w:after="0" w:line="225" w:lineRule="exact"/>
        <w:rPr>
          <w:sz w:val="20"/>
          <w:szCs w:val="20"/>
          <w:color w:val="auto"/>
        </w:rPr>
      </w:pPr>
    </w:p>
    <w:p>
      <w:pPr>
        <w:jc w:val="both"/>
        <w:ind w:left="980" w:hanging="324"/>
        <w:spacing w:after="0" w:line="271"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has established a Disclosure Committee that includes key members of management that include key members of management that have responsibility for disclosure information necessary for periodic filings with the SEC. The committee met formally for purposes of the Fiscal 2019 Form 10-Q filing to discuss all significant events and relevant disclosure matters for the filing.</w:t>
      </w:r>
    </w:p>
    <w:p>
      <w:pPr>
        <w:jc w:val="both"/>
        <w:ind w:left="980" w:hanging="324"/>
        <w:spacing w:after="0" w:line="273"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Company has established a quarterly significant non-recurring transactions meeting that includes key members of management from each functional business area including sales, marketing, finance, operations, information technology, and legal. The meeting includes a standardized agenda that discusses relevant business matters and updates that may have an accounting implication for the quarter. Each matter is documented, the accounting implications are assessed, and the appropriate actions are taken.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Monitoring Activities and Risk Assessment</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formally established an Internal Audit function and our Audit Committee approved their charter in January 2019.</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enhanced and completed our risk assessment processes to identify relevant accounts and assertions and design control procedures that relate to relevant risks.</w:t>
      </w:r>
    </w:p>
    <w:p>
      <w:pPr>
        <w:ind w:left="980" w:hanging="324"/>
        <w:spacing w:after="0" w:line="250"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has reevaluated and completed our control design of our entity level controls. The Company is in the process of executing full control testing for entity level controls as of June 30, 2019.</w:t>
      </w: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hired external resources to support and improve our Internal Audit function.</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control measures described above have been implemented and will remediate the material weaknesses we have identified in our internal control over financial reporting, as well as our disclosure controls and procedures once the controls have been operating effectively for a sufficient period of time. We are committed to continuing to improve our internal control processes and will continue to diligently and vigorously review our financial reporting controls and procedures. As we continue to evaluate and work to improve our internal control over financial reporting, our management may determine to take additional measures.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Excluding the changes described above under “Remediation of Material Weaknesses in Internal Control Over Financial Reporting” including the on-going remediation efforts described above, there were no changes in our internal control over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financial reporting during the period ended June 30, 2019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 xml:space="preserve">For a discussion of our material pending legal proceedings that could impact our results of operations, financial condition or cash flows see </w:t>
      </w:r>
      <w:r>
        <w:rPr>
          <w:rFonts w:ascii="Arial" w:cs="Arial" w:eastAsia="Arial" w:hAnsi="Arial"/>
          <w:sz w:val="18"/>
          <w:szCs w:val="18"/>
          <w:i w:val="1"/>
          <w:iCs w:val="1"/>
          <w:color w:val="auto"/>
        </w:rPr>
        <w:t>Note 13.</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Commitments, Contingencies and Other </w:t>
      </w:r>
      <w:r>
        <w:rPr>
          <w:rFonts w:ascii="Arial" w:cs="Arial" w:eastAsia="Arial" w:hAnsi="Arial"/>
          <w:sz w:val="18"/>
          <w:szCs w:val="18"/>
          <w:color w:val="auto"/>
        </w:rPr>
        <w:t>included in Part I, Item 1. “Notes to Condensed Consolidated Financial Statements (unaudited)”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2018, which could materially affect our business, financial condition or future results. The risks described in our Form 10-K and other reports we file are not the only risks we face. Additional risks and uncertainties not currently known to us or that we currently deem to be immaterial also may materially adversely affect our business, financial condition and/or operating results. If any of the risks actually occur, our business, financial condition or results of operations could be adversely affected. In that case, the trading price of our stock could decline, and our stockholders may lose part or all of their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2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ind w:left="24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01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16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780" w:type="dxa"/>
            <w:vAlign w:val="bottom"/>
            <w:tcBorders>
              <w:top w:val="single" w:sz="8" w:color="auto"/>
            </w:tcBorders>
            <w:gridSpan w:val="5"/>
            <w:vMerge w:val="restart"/>
          </w:tcPr>
          <w:p>
            <w:pPr>
              <w:spacing w:after="0" w:line="161" w:lineRule="exact"/>
              <w:rPr>
                <w:rFonts w:ascii="Arial" w:cs="Arial" w:eastAsia="Arial" w:hAnsi="Arial"/>
                <w:sz w:val="14"/>
                <w:szCs w:val="14"/>
                <w:color w:val="0000FF"/>
                <w:w w:val="93"/>
              </w:rPr>
            </w:pPr>
            <w:hyperlink r:id="rId34">
              <w:r>
                <w:rPr>
                  <w:rFonts w:ascii="Arial" w:cs="Arial" w:eastAsia="Arial" w:hAnsi="Arial"/>
                  <w:sz w:val="14"/>
                  <w:szCs w:val="14"/>
                  <w:color w:val="0000FF"/>
                  <w:w w:val="93"/>
                </w:rPr>
                <w:t>Restated Certificate of Incorporation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400" w:type="dxa"/>
            <w:vAlign w:val="bottom"/>
            <w:tcBorders>
              <w:top w:val="single" w:sz="8" w:color="auto"/>
            </w:tcBorders>
            <w:gridSpan w:val="6"/>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780" w:type="dxa"/>
            <w:vAlign w:val="bottom"/>
            <w:tcBorders>
              <w:bottom w:val="single" w:sz="8" w:color="0000FF"/>
            </w:tcBorders>
            <w:gridSpan w:val="5"/>
            <w:vMerge w:val="continue"/>
          </w:tcPr>
          <w:p>
            <w:pPr>
              <w:spacing w:after="0"/>
              <w:rPr>
                <w:sz w:val="2"/>
                <w:szCs w:val="2"/>
                <w:color w:val="auto"/>
              </w:rPr>
            </w:pPr>
          </w:p>
        </w:tc>
        <w:tc>
          <w:tcPr>
            <w:tcW w:w="40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60" w:type="dxa"/>
            <w:vAlign w:val="bottom"/>
            <w:gridSpan w:val="4"/>
            <w:vMerge w:val="restart"/>
          </w:tcPr>
          <w:p>
            <w:pPr>
              <w:spacing w:after="0" w:line="161" w:lineRule="exact"/>
              <w:rPr>
                <w:rFonts w:ascii="Arial" w:cs="Arial" w:eastAsia="Arial" w:hAnsi="Arial"/>
                <w:sz w:val="14"/>
                <w:szCs w:val="14"/>
                <w:color w:val="0000FF"/>
                <w:w w:val="93"/>
              </w:rPr>
            </w:pPr>
            <w:hyperlink r:id="rId35">
              <w:r>
                <w:rPr>
                  <w:rFonts w:ascii="Arial" w:cs="Arial" w:eastAsia="Arial" w:hAnsi="Arial"/>
                  <w:sz w:val="14"/>
                  <w:szCs w:val="14"/>
                  <w:color w:val="0000FF"/>
                  <w:w w:val="93"/>
                </w:rPr>
                <w:t>Amended and Restated Bylaws of the Registrant, incorporated by reference to Registrant’s Registration Statement on Form S</w:t>
              </w:r>
              <w:r>
                <w:rPr>
                  <w:rFonts w:ascii="MS PGothic" w:cs="MS PGothic" w:eastAsia="MS PGothic" w:hAnsi="MS PGothic"/>
                  <w:sz w:val="14"/>
                  <w:szCs w:val="14"/>
                  <w:color w:val="0000FF"/>
                  <w:w w:val="93"/>
                </w:rPr>
                <w:t>‑</w:t>
              </w:r>
              <w:r>
                <w:rPr>
                  <w:rFonts w:ascii="Arial" w:cs="Arial" w:eastAsia="Arial" w:hAnsi="Arial"/>
                  <w:sz w:val="14"/>
                  <w:szCs w:val="14"/>
                  <w:color w:val="0000FF"/>
                  <w:w w:val="93"/>
                </w:rPr>
                <w:t>1 (Commission File No. 333</w:t>
              </w:r>
              <w:r>
                <w:rPr>
                  <w:rFonts w:ascii="MS PGothic" w:cs="MS PGothic" w:eastAsia="MS PGothic" w:hAnsi="MS PGothic"/>
                  <w:sz w:val="14"/>
                  <w:szCs w:val="14"/>
                  <w:color w:val="0000FF"/>
                  <w:w w:val="93"/>
                </w:rPr>
                <w:t>‑</w:t>
              </w:r>
              <w:r>
                <w:rPr>
                  <w:rFonts w:ascii="Arial" w:cs="Arial" w:eastAsia="Arial" w:hAnsi="Arial"/>
                  <w:sz w:val="14"/>
                  <w:szCs w:val="14"/>
                  <w:color w:val="0000FF"/>
                  <w:w w:val="93"/>
                </w:rPr>
                <w:t>132080).</w:t>
              </w:r>
            </w:hyperlink>
          </w:p>
        </w:tc>
        <w:tc>
          <w:tcPr>
            <w:tcW w:w="720" w:type="dxa"/>
            <w:vAlign w:val="bottom"/>
            <w:gridSpan w:val="7"/>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9460" w:type="dxa"/>
            <w:vAlign w:val="bottom"/>
            <w:tcBorders>
              <w:bottom w:val="single" w:sz="8" w:color="0000FF"/>
            </w:tcBorders>
            <w:gridSpan w:val="4"/>
            <w:vMerge w:val="continue"/>
          </w:tcPr>
          <w:p>
            <w:pPr>
              <w:spacing w:after="0"/>
              <w:rPr>
                <w:sz w:val="3"/>
                <w:szCs w:val="3"/>
                <w:color w:val="auto"/>
              </w:rPr>
            </w:pPr>
          </w:p>
        </w:tc>
        <w:tc>
          <w:tcPr>
            <w:tcW w:w="7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rPr>
                <w:rFonts w:ascii="Arial" w:cs="Arial" w:eastAsia="Arial" w:hAnsi="Arial"/>
                <w:sz w:val="14"/>
                <w:szCs w:val="14"/>
                <w:color w:val="0000FF"/>
                <w:w w:val="99"/>
              </w:rPr>
            </w:pPr>
            <w:hyperlink r:id="rId36">
              <w:r>
                <w:rPr>
                  <w:rFonts w:ascii="Arial" w:cs="Arial" w:eastAsia="Arial" w:hAnsi="Arial"/>
                  <w:sz w:val="14"/>
                  <w:szCs w:val="14"/>
                  <w:color w:val="0000FF"/>
                  <w:w w:val="99"/>
                </w:rPr>
                <w:t>Amendment No. 1 to Amended and Restated Bylaws of Registration, incorporated by reference to Exhibit 3.2 to the Registrant’s Current Report on Form 8-K filed on</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80" w:type="dxa"/>
            <w:vAlign w:val="bottom"/>
            <w:tcBorders>
              <w:top w:val="single" w:sz="8" w:color="0000FF"/>
            </w:tcBorders>
            <w:gridSpan w:val="6"/>
          </w:tcPr>
          <w:p>
            <w:pPr>
              <w:spacing w:after="0" w:line="129" w:lineRule="exact"/>
              <w:rPr>
                <w:rFonts w:ascii="Arial" w:cs="Arial" w:eastAsia="Arial" w:hAnsi="Arial"/>
                <w:sz w:val="14"/>
                <w:szCs w:val="14"/>
                <w:color w:val="0000FF"/>
              </w:rPr>
            </w:pPr>
            <w:hyperlink r:id="rId36">
              <w:r>
                <w:rPr>
                  <w:rFonts w:ascii="Arial" w:cs="Arial" w:eastAsia="Arial" w:hAnsi="Arial"/>
                  <w:sz w:val="14"/>
                  <w:szCs w:val="14"/>
                  <w:color w:val="0000FF"/>
                </w:rPr>
                <w:t>February 20, 2018.</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8"/>
              </w:rPr>
            </w:pPr>
            <w:hyperlink w:anchor="page48">
              <w:r>
                <w:rPr>
                  <w:rFonts w:ascii="Arial" w:cs="Arial" w:eastAsia="Arial" w:hAnsi="Arial"/>
                  <w:sz w:val="14"/>
                  <w:szCs w:val="14"/>
                  <w:color w:val="0000FF"/>
                  <w:w w:val="98"/>
                </w:rPr>
                <w:t>Certification of Principal Executive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 Exchange Act, as adopted pursuant to section 302 of the Sarbanes</w:t>
              </w:r>
              <w:r>
                <w:rPr>
                  <w:rFonts w:ascii="MS PGothic" w:cs="MS PGothic" w:eastAsia="MS PGothic" w:hAnsi="MS PGothic"/>
                  <w:sz w:val="14"/>
                  <w:szCs w:val="14"/>
                  <w:color w:val="0000FF"/>
                  <w:w w:val="98"/>
                </w:rPr>
                <w:t>‑</w:t>
              </w:r>
              <w:r>
                <w:rPr>
                  <w:rFonts w:ascii="Arial" w:cs="Arial" w:eastAsia="Arial" w:hAnsi="Arial"/>
                  <w:sz w:val="14"/>
                  <w:szCs w:val="14"/>
                  <w:color w:val="0000FF"/>
                  <w:w w:val="98"/>
                </w:rPr>
                <w:t>Oxley Act of 2002 (filed</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40" w:type="dxa"/>
            <w:vAlign w:val="bottom"/>
            <w:tcBorders>
              <w:top w:val="single" w:sz="8" w:color="0000FF"/>
            </w:tcBorders>
            <w:gridSpan w:val="9"/>
          </w:tcPr>
          <w:p>
            <w:pPr>
              <w:spacing w:after="0" w:line="129" w:lineRule="exact"/>
              <w:rPr>
                <w:rFonts w:ascii="Arial" w:cs="Arial" w:eastAsia="Arial" w:hAnsi="Arial"/>
                <w:sz w:val="14"/>
                <w:szCs w:val="14"/>
                <w:color w:val="0000FF"/>
              </w:rPr>
            </w:pPr>
            <w:hyperlink w:anchor="page48">
              <w:r>
                <w:rPr>
                  <w:rFonts w:ascii="Arial" w:cs="Arial" w:eastAsia="Arial" w:hAnsi="Arial"/>
                  <w:sz w:val="14"/>
                  <w:szCs w:val="14"/>
                  <w:color w:val="0000FF"/>
                </w:rPr>
                <w:t>herewith)</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8"/>
              </w:rPr>
            </w:pPr>
            <w:hyperlink w:anchor="page49">
              <w:r>
                <w:rPr>
                  <w:rFonts w:ascii="Arial" w:cs="Arial" w:eastAsia="Arial" w:hAnsi="Arial"/>
                  <w:sz w:val="14"/>
                  <w:szCs w:val="14"/>
                  <w:color w:val="0000FF"/>
                  <w:w w:val="98"/>
                </w:rPr>
                <w:t>Certification of Principal Financial Officer pursuant to Rule 13a</w:t>
              </w:r>
              <w:r>
                <w:rPr>
                  <w:rFonts w:ascii="MS PGothic" w:cs="MS PGothic" w:eastAsia="MS PGothic" w:hAnsi="MS PGothic"/>
                  <w:sz w:val="14"/>
                  <w:szCs w:val="14"/>
                  <w:color w:val="0000FF"/>
                  <w:w w:val="98"/>
                </w:rPr>
                <w:t>‑</w:t>
              </w:r>
              <w:r>
                <w:rPr>
                  <w:rFonts w:ascii="Arial" w:cs="Arial" w:eastAsia="Arial" w:hAnsi="Arial"/>
                  <w:sz w:val="14"/>
                  <w:szCs w:val="14"/>
                  <w:color w:val="0000FF"/>
                  <w:w w:val="98"/>
                </w:rPr>
                <w:t>14(a) of the Exchange Act, as adopted pursuant to section 302 of the Sarbanes</w:t>
              </w:r>
              <w:r>
                <w:rPr>
                  <w:rFonts w:ascii="MS PGothic" w:cs="MS PGothic" w:eastAsia="MS PGothic" w:hAnsi="MS PGothic"/>
                  <w:sz w:val="14"/>
                  <w:szCs w:val="14"/>
                  <w:color w:val="0000FF"/>
                  <w:w w:val="98"/>
                </w:rPr>
                <w:t>‑</w:t>
              </w:r>
              <w:r>
                <w:rPr>
                  <w:rFonts w:ascii="Arial" w:cs="Arial" w:eastAsia="Arial" w:hAnsi="Arial"/>
                  <w:sz w:val="14"/>
                  <w:szCs w:val="14"/>
                  <w:color w:val="0000FF"/>
                  <w:w w:val="98"/>
                </w:rPr>
                <w:t>Oxley Act of 2002 (filed</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60" w:type="dxa"/>
            <w:vAlign w:val="bottom"/>
            <w:tcBorders>
              <w:top w:val="single" w:sz="8" w:color="0000FF"/>
            </w:tcBorders>
            <w:gridSpan w:val="10"/>
          </w:tcPr>
          <w:p>
            <w:pPr>
              <w:spacing w:after="0" w:line="129" w:lineRule="exact"/>
              <w:rPr>
                <w:rFonts w:ascii="Arial" w:cs="Arial" w:eastAsia="Arial" w:hAnsi="Arial"/>
                <w:sz w:val="14"/>
                <w:szCs w:val="14"/>
                <w:color w:val="0000FF"/>
              </w:rPr>
            </w:pPr>
            <w:hyperlink w:anchor="page49">
              <w:r>
                <w:rPr>
                  <w:rFonts w:ascii="Arial" w:cs="Arial" w:eastAsia="Arial" w:hAnsi="Arial"/>
                  <w:sz w:val="14"/>
                  <w:szCs w:val="14"/>
                  <w:color w:val="0000FF"/>
                </w:rPr>
                <w:t>herewith)</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75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6"/>
              </w:rPr>
            </w:pPr>
            <w:hyperlink w:anchor="page50">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00" w:type="dxa"/>
            <w:vAlign w:val="bottom"/>
            <w:tcBorders>
              <w:top w:val="single" w:sz="8" w:color="0000FF"/>
            </w:tcBorders>
            <w:gridSpan w:val="7"/>
          </w:tcPr>
          <w:p>
            <w:pPr>
              <w:spacing w:after="0" w:line="129" w:lineRule="exact"/>
              <w:rPr>
                <w:rFonts w:ascii="Arial" w:cs="Arial" w:eastAsia="Arial" w:hAnsi="Arial"/>
                <w:sz w:val="14"/>
                <w:szCs w:val="14"/>
                <w:color w:val="0000FF"/>
              </w:rPr>
            </w:pPr>
            <w:hyperlink w:anchor="page50">
              <w:r>
                <w:rPr>
                  <w:rFonts w:ascii="Arial" w:cs="Arial" w:eastAsia="Arial" w:hAnsi="Arial"/>
                  <w:sz w:val="14"/>
                  <w:szCs w:val="14"/>
                  <w:color w:val="0000FF"/>
                </w:rPr>
                <w:t>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 (filed herewith)</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756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Pr>
          <w:p>
            <w:pPr>
              <w:jc w:val="right"/>
              <w:ind w:right="4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180" w:type="dxa"/>
            <w:vAlign w:val="bottom"/>
            <w:gridSpan w:val="11"/>
          </w:tcPr>
          <w:p>
            <w:pPr>
              <w:spacing w:after="0" w:line="161" w:lineRule="exact"/>
              <w:rPr>
                <w:rFonts w:ascii="Arial" w:cs="Arial" w:eastAsia="Arial" w:hAnsi="Arial"/>
                <w:sz w:val="14"/>
                <w:szCs w:val="14"/>
                <w:color w:val="0000FF"/>
                <w:w w:val="97"/>
              </w:rPr>
            </w:pPr>
            <w:hyperlink w:anchor="page51">
              <w:r>
                <w:rPr>
                  <w:rFonts w:ascii="Arial" w:cs="Arial" w:eastAsia="Arial" w:hAnsi="Arial"/>
                  <w:sz w:val="14"/>
                  <w:szCs w:val="14"/>
                  <w:color w:val="0000FF"/>
                  <w:w w:val="97"/>
                </w:rPr>
                <w:t>Certification of Principal Financial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14(b) of the Exchange Act and section 18 U.S.C. Section 1350, as adopted pursuant to section 906 of the</w:t>
              </w:r>
            </w:hyperlink>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120" w:type="dxa"/>
            <w:vAlign w:val="bottom"/>
            <w:tcBorders>
              <w:top w:val="single" w:sz="8" w:color="0000FF"/>
            </w:tcBorders>
            <w:gridSpan w:val="8"/>
          </w:tcPr>
          <w:p>
            <w:pPr>
              <w:spacing w:after="0" w:line="129" w:lineRule="exact"/>
              <w:rPr>
                <w:rFonts w:ascii="Arial" w:cs="Arial" w:eastAsia="Arial" w:hAnsi="Arial"/>
                <w:sz w:val="14"/>
                <w:szCs w:val="14"/>
                <w:color w:val="0000FF"/>
              </w:rPr>
            </w:pPr>
            <w:hyperlink w:anchor="page51">
              <w:r>
                <w:rPr>
                  <w:rFonts w:ascii="Arial" w:cs="Arial" w:eastAsia="Arial" w:hAnsi="Arial"/>
                  <w:sz w:val="14"/>
                  <w:szCs w:val="14"/>
                  <w:color w:val="0000FF"/>
                </w:rPr>
                <w:t>Sarbanes</w:t>
              </w:r>
              <w:r>
                <w:rPr>
                  <w:rFonts w:ascii="MS PGothic" w:cs="MS PGothic" w:eastAsia="MS PGothic" w:hAnsi="MS PGothic"/>
                  <w:sz w:val="14"/>
                  <w:szCs w:val="14"/>
                  <w:color w:val="0000FF"/>
                </w:rPr>
                <w:t>‑</w:t>
              </w:r>
              <w:r>
                <w:rPr>
                  <w:rFonts w:ascii="Arial" w:cs="Arial" w:eastAsia="Arial" w:hAnsi="Arial"/>
                  <w:sz w:val="14"/>
                  <w:szCs w:val="14"/>
                  <w:color w:val="0000FF"/>
                </w:rPr>
                <w:t>Oxley Act of 2002 (filed herewith)</w:t>
              </w:r>
            </w:hyperlink>
          </w:p>
        </w:tc>
        <w:tc>
          <w:tcPr>
            <w:tcW w:w="6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101.INS</w:t>
            </w:r>
          </w:p>
        </w:tc>
        <w:tc>
          <w:tcPr>
            <w:tcW w:w="40" w:type="dxa"/>
            <w:vAlign w:val="bottom"/>
          </w:tcPr>
          <w:p>
            <w:pPr>
              <w:spacing w:after="0"/>
              <w:rPr>
                <w:sz w:val="18"/>
                <w:szCs w:val="18"/>
                <w:color w:val="auto"/>
              </w:rPr>
            </w:pPr>
          </w:p>
        </w:tc>
        <w:tc>
          <w:tcPr>
            <w:tcW w:w="256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auto"/>
              </w:rPr>
              <w:t>XBRL Instance Document</w:t>
            </w:r>
          </w:p>
        </w:tc>
        <w:tc>
          <w:tcPr>
            <w:tcW w:w="76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101.SCH</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Schema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101.CAL</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Calculation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101.DEF</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Taxonomy Extension Definition Linkbase</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101.LAB</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Labels Linkbase Document</w:t>
            </w:r>
          </w:p>
        </w:tc>
        <w:tc>
          <w:tcPr>
            <w:tcW w:w="0" w:type="dxa"/>
            <w:vAlign w:val="bottom"/>
          </w:tcPr>
          <w:p>
            <w:pPr>
              <w:spacing w:after="0"/>
              <w:rPr>
                <w:sz w:val="1"/>
                <w:szCs w:val="1"/>
                <w:color w:val="auto"/>
              </w:rPr>
            </w:pPr>
          </w:p>
        </w:tc>
      </w:tr>
      <w:tr>
        <w:trPr>
          <w:trHeight w:val="270"/>
        </w:trPr>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101.PRE</w:t>
            </w:r>
          </w:p>
        </w:tc>
        <w:tc>
          <w:tcPr>
            <w:tcW w:w="40" w:type="dxa"/>
            <w:vAlign w:val="bottom"/>
          </w:tcPr>
          <w:p>
            <w:pPr>
              <w:spacing w:after="0"/>
              <w:rPr>
                <w:sz w:val="23"/>
                <w:szCs w:val="23"/>
                <w:color w:val="auto"/>
              </w:rPr>
            </w:pPr>
          </w:p>
        </w:tc>
        <w:tc>
          <w:tcPr>
            <w:tcW w:w="10180" w:type="dxa"/>
            <w:vAlign w:val="bottom"/>
            <w:gridSpan w:val="11"/>
          </w:tcPr>
          <w:p>
            <w:pPr>
              <w:spacing w:after="0"/>
              <w:rPr>
                <w:sz w:val="20"/>
                <w:szCs w:val="20"/>
                <w:color w:val="auto"/>
              </w:rPr>
            </w:pPr>
            <w:r>
              <w:rPr>
                <w:rFonts w:ascii="Arial" w:cs="Arial" w:eastAsia="Arial" w:hAnsi="Arial"/>
                <w:sz w:val="14"/>
                <w:szCs w:val="14"/>
                <w:color w:val="auto"/>
              </w:rPr>
              <w:t>XBRL Presentation Linkbase Document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caused this Report to be signed on its behalf by the undersigned, thereunto duly authorized.</w:t>
      </w:r>
    </w:p>
    <w:p>
      <w:pPr>
        <w:spacing w:after="0" w:line="33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Chief Executive Officer</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David Clark</w:t>
      </w:r>
    </w:p>
    <w:p>
      <w:pPr>
        <w:spacing w:after="0" w:line="59"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August 6, 2019</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Glenn Lurie, certify that:</w:t>
      </w:r>
    </w:p>
    <w:p>
      <w:pPr>
        <w:spacing w:after="0" w:line="225"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2019;</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68"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31750</wp:posOffset>
            </wp:positionV>
            <wp:extent cx="302704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SECURITIES AND EXCHANGE COMMISSION RULE 13a-14(a)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Clark, certify that:</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Synchronoss Technologies, Inc. for the quarter ended June 30, 2019;</w:t>
      </w:r>
    </w:p>
    <w:p>
      <w:pPr>
        <w:spacing w:after="0" w:line="18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26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31750</wp:posOffset>
            </wp:positionV>
            <wp:extent cx="2667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5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Synchronoss Technologies, Inc. (the “Company”) for the quarter ended June 30, 2019, as filed with the Securities and Exchange Commission on the date hereof (the “Report”), I, Glenn Lurie, the Chief Executive Officer of the Company, hereby certify, pursuant to 18 U.S.C. 1350, as adopted pursuant to Section 906 of the Sarbanes-Oxley Act of 2002, to the best of my knowledge and belief that:</w:t>
      </w:r>
    </w:p>
    <w:p>
      <w:pPr>
        <w:spacing w:after="0" w:line="233"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3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/s/ Glenn Lurie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31750</wp:posOffset>
            </wp:positionV>
            <wp:extent cx="30441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Glenn Lurie</w:t>
      </w:r>
    </w:p>
    <w:p>
      <w:pPr>
        <w:spacing w:after="0" w:line="63"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Synchronoss Technologies, Inc. (the “Company”) for the quarter ended June 30, 2019,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233"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2019</w:t>
      </w:r>
    </w:p>
    <w:p>
      <w:pPr>
        <w:spacing w:after="0" w:line="200" w:lineRule="exact"/>
        <w:rPr>
          <w:sz w:val="20"/>
          <w:szCs w:val="20"/>
          <w:color w:val="auto"/>
        </w:rPr>
      </w:pPr>
    </w:p>
    <w:p>
      <w:pPr>
        <w:spacing w:after="0" w:line="376"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31750</wp:posOffset>
            </wp:positionV>
            <wp:extent cx="25901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David Clark</w:t>
      </w:r>
    </w:p>
    <w:p>
      <w:pPr>
        <w:spacing w:after="0" w:line="63"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Chief Financial Officer</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x"/>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lvl w:ilvl="1">
      <w:lvlJc w:val="left"/>
      <w:lvlText w:val="\endash "/>
      <w:numFmt w:val="bullet"/>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lowerRoman"/>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decimal"/>
      <w:start w:val="2"/>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34" Type="http://schemas.openxmlformats.org/officeDocument/2006/relationships/hyperlink" Target="http://www.sec.gov/Archives/edgar/data/1131554/000095012306005985/y15440a2exv3w2.txt" TargetMode="External"/><Relationship Id="rId35" Type="http://schemas.openxmlformats.org/officeDocument/2006/relationships/hyperlink" Target="http://www.sec.gov/Archives/edgar/data/1131554/000095012306005985/y15440a2exv3w4.txt" TargetMode="External"/><Relationship Id="rId36" Type="http://schemas.openxmlformats.org/officeDocument/2006/relationships/hyperlink" Target="http://www.sec.gov/Archives/edgar/data/1131554/000110465918010721/a18-6289_1ex3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2019-12-28T08:24:42Z</dcterms:created>
  <dcterms:modified xsi:type="dcterms:W3CDTF">2019-12-28T08:24:42Z</dcterms:modified>
</cp:coreProperties>
</file>